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A7CA1">
      <w:pPr>
        <w:widowControl/>
        <w:shd w:val="clear" w:color="auto" w:fill="FFFFFF"/>
        <w:snapToGrid w:val="0"/>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青岛西海岸新区海洋牧场暂行管理办法</w:t>
      </w:r>
    </w:p>
    <w:p w14:paraId="484D216F">
      <w:pPr>
        <w:widowControl/>
        <w:shd w:val="clear" w:color="auto" w:fill="FFFFFF"/>
        <w:snapToGrid w:val="0"/>
        <w:spacing w:line="560" w:lineRule="exact"/>
        <w:jc w:val="center"/>
        <w:rPr>
          <w:rFonts w:ascii="楷体_GB2312" w:hAnsi="黑体" w:eastAsia="楷体_GB2312"/>
          <w:kern w:val="0"/>
          <w:sz w:val="32"/>
          <w:szCs w:val="32"/>
        </w:rPr>
      </w:pPr>
      <w:r>
        <w:rPr>
          <w:rFonts w:hint="eastAsia" w:ascii="楷体_GB2312" w:hAnsi="黑体" w:eastAsia="楷体_GB2312"/>
          <w:kern w:val="0"/>
          <w:sz w:val="32"/>
          <w:szCs w:val="32"/>
        </w:rPr>
        <w:t>（征求意见稿）</w:t>
      </w:r>
    </w:p>
    <w:p w14:paraId="568EDC89">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第一章  总则</w:t>
      </w:r>
    </w:p>
    <w:p w14:paraId="74CB7ABE">
      <w:pPr>
        <w:widowControl/>
        <w:shd w:val="clear" w:color="auto" w:fill="FFFFFF"/>
        <w:snapToGrid w:val="0"/>
        <w:spacing w:line="560" w:lineRule="exact"/>
        <w:rPr>
          <w:rFonts w:ascii="黑体" w:hAnsi="黑体" w:eastAsia="黑体"/>
          <w:kern w:val="0"/>
          <w:sz w:val="32"/>
          <w:szCs w:val="32"/>
        </w:rPr>
      </w:pPr>
    </w:p>
    <w:p w14:paraId="166C0748">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第一条</w:t>
      </w:r>
      <w:r>
        <w:rPr>
          <w:rFonts w:hint="eastAsia" w:ascii="仿宋" w:hAnsi="仿宋" w:eastAsia="仿宋"/>
          <w:kern w:val="0"/>
          <w:sz w:val="32"/>
          <w:szCs w:val="32"/>
        </w:rPr>
        <w:t xml:space="preserve"> 为了规范青岛西海岸新区海洋牧场（以下简称“海洋牧场”）的建设和管理，充分发挥海洋牧场典型引领和辐射带动作用，根据</w:t>
      </w:r>
      <w:r>
        <w:rPr>
          <w:rFonts w:ascii="仿宋" w:hAnsi="仿宋" w:eastAsia="仿宋"/>
          <w:kern w:val="0"/>
          <w:sz w:val="32"/>
          <w:szCs w:val="32"/>
        </w:rPr>
        <w:t>《中华人民共和国海域使用管理法》《中华人民共和国</w:t>
      </w:r>
      <w:r>
        <w:rPr>
          <w:rFonts w:hint="eastAsia" w:ascii="仿宋" w:hAnsi="仿宋" w:eastAsia="仿宋"/>
          <w:kern w:val="0"/>
          <w:sz w:val="32"/>
          <w:szCs w:val="32"/>
        </w:rPr>
        <w:t>渔业</w:t>
      </w:r>
      <w:r>
        <w:rPr>
          <w:rFonts w:ascii="仿宋" w:hAnsi="仿宋" w:eastAsia="仿宋"/>
          <w:kern w:val="0"/>
          <w:sz w:val="32"/>
          <w:szCs w:val="32"/>
        </w:rPr>
        <w:t>法》</w:t>
      </w:r>
      <w:r>
        <w:rPr>
          <w:rFonts w:hint="eastAsia" w:ascii="仿宋" w:hAnsi="仿宋" w:eastAsia="仿宋"/>
          <w:kern w:val="0"/>
          <w:sz w:val="32"/>
          <w:szCs w:val="32"/>
        </w:rPr>
        <w:t>《中华人民共和国海洋环境保护法》《青岛市海洋牧场管理条例》等法律法规，结合新区实际，制定本办法。</w:t>
      </w:r>
    </w:p>
    <w:p w14:paraId="06169C61">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 xml:space="preserve">第二条 </w:t>
      </w:r>
      <w:r>
        <w:rPr>
          <w:rFonts w:hint="eastAsia" w:ascii="仿宋" w:hAnsi="仿宋" w:eastAsia="仿宋"/>
          <w:kern w:val="0"/>
          <w:sz w:val="32"/>
          <w:szCs w:val="32"/>
        </w:rPr>
        <w:t>本办法适用于西海岸新区范围内上级正式批复的省级及以上海洋牧场。</w:t>
      </w:r>
    </w:p>
    <w:p w14:paraId="2DA7DFFC">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 xml:space="preserve">第三条 </w:t>
      </w:r>
      <w:r>
        <w:rPr>
          <w:rFonts w:hint="eastAsia" w:ascii="仿宋" w:hAnsi="仿宋" w:eastAsia="仿宋"/>
          <w:kern w:val="0"/>
          <w:sz w:val="32"/>
          <w:szCs w:val="32"/>
        </w:rPr>
        <w:t>本办法所称海洋牧场，是指在特定海域，通过人工鱼礁、增殖放流等措施，构建或者修复海洋生物繁殖、生长、索饵、栖息或者避敌所需场所，增殖养护渔业资源，改善海域生态环境，实现渔业资源可持续利用的渔业模式。</w:t>
      </w:r>
    </w:p>
    <w:p w14:paraId="40523348">
      <w:pPr>
        <w:widowControl/>
        <w:shd w:val="clear" w:color="auto" w:fill="FFFFFF"/>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本办法所称人工鱼礁，是指为修复和优化海洋生态环境，保护和增殖渔业资源，在特定海域</w:t>
      </w:r>
      <w:bookmarkStart w:id="0" w:name="_GoBack"/>
      <w:bookmarkEnd w:id="0"/>
      <w:r>
        <w:rPr>
          <w:rFonts w:hint="eastAsia" w:ascii="仿宋" w:hAnsi="仿宋" w:eastAsia="仿宋"/>
          <w:kern w:val="0"/>
          <w:sz w:val="32"/>
          <w:szCs w:val="32"/>
        </w:rPr>
        <w:t>中人工投放的构筑物或者设施。</w:t>
      </w:r>
      <w:r>
        <w:rPr>
          <w:rFonts w:hint="eastAsia" w:ascii="仿宋" w:hAnsi="仿宋" w:eastAsia="仿宋"/>
          <w:b/>
          <w:kern w:val="0"/>
          <w:sz w:val="32"/>
          <w:szCs w:val="32"/>
        </w:rPr>
        <w:t>第四条</w:t>
      </w:r>
      <w:r>
        <w:rPr>
          <w:rFonts w:hint="eastAsia" w:ascii="仿宋" w:hAnsi="仿宋" w:eastAsia="仿宋"/>
          <w:kern w:val="0"/>
          <w:sz w:val="32"/>
          <w:szCs w:val="32"/>
        </w:rPr>
        <w:t xml:space="preserve"> 区渔业主管部门负责辖区国家级海洋牧场的创建和人工鱼礁项目申报，负责对人工鱼礁项目建设监管，以及对海洋牧场运营、安全生产和生态保护等工作进行监管，并开展绩效评价，配合上级渔业主管部门开展年度评价和复查工作。</w:t>
      </w:r>
    </w:p>
    <w:p w14:paraId="07585EAA">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第五条</w:t>
      </w:r>
      <w:r>
        <w:rPr>
          <w:rFonts w:hint="eastAsia" w:ascii="仿宋" w:hAnsi="仿宋" w:eastAsia="仿宋"/>
          <w:kern w:val="0"/>
          <w:sz w:val="32"/>
          <w:szCs w:val="32"/>
        </w:rPr>
        <w:t xml:space="preserve"> 海洋牧场管理单位负责做好海洋牧场内人工鱼礁项目建设、运营管理、安全管理、生态保护管理等工作，配合渔业主管部门开展评价复查工作。</w:t>
      </w:r>
    </w:p>
    <w:p w14:paraId="487CBFE9">
      <w:pPr>
        <w:widowControl/>
        <w:shd w:val="clear" w:color="auto" w:fill="FFFFFF"/>
        <w:snapToGrid w:val="0"/>
        <w:spacing w:line="560" w:lineRule="exact"/>
        <w:ind w:firstLine="640" w:firstLineChars="200"/>
        <w:rPr>
          <w:rFonts w:ascii="仿宋" w:hAnsi="仿宋" w:eastAsia="仿宋"/>
          <w:color w:val="FF0000"/>
          <w:kern w:val="0"/>
          <w:sz w:val="32"/>
          <w:szCs w:val="32"/>
        </w:rPr>
      </w:pPr>
    </w:p>
    <w:p w14:paraId="37A0BB7E">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第二章  国家级海洋牧场创建和项目管理</w:t>
      </w:r>
    </w:p>
    <w:p w14:paraId="0B80F78A">
      <w:pPr>
        <w:widowControl/>
        <w:shd w:val="clear" w:color="auto" w:fill="FFFFFF"/>
        <w:snapToGrid w:val="0"/>
        <w:spacing w:line="560" w:lineRule="exact"/>
        <w:ind w:firstLine="640" w:firstLineChars="200"/>
        <w:rPr>
          <w:rFonts w:ascii="仿宋" w:hAnsi="仿宋" w:eastAsia="仿宋"/>
          <w:color w:val="FF0000"/>
          <w:kern w:val="0"/>
          <w:sz w:val="32"/>
          <w:szCs w:val="32"/>
        </w:rPr>
      </w:pPr>
    </w:p>
    <w:p w14:paraId="36739DBE">
      <w:pPr>
        <w:snapToGrid w:val="0"/>
        <w:spacing w:line="560" w:lineRule="exact"/>
        <w:ind w:firstLine="630" w:firstLineChars="196"/>
        <w:rPr>
          <w:rFonts w:ascii="仿宋" w:hAnsi="仿宋" w:eastAsia="仿宋"/>
          <w:b/>
          <w:kern w:val="0"/>
          <w:sz w:val="32"/>
          <w:szCs w:val="32"/>
        </w:rPr>
      </w:pPr>
      <w:r>
        <w:rPr>
          <w:rFonts w:hint="eastAsia" w:ascii="仿宋" w:hAnsi="仿宋" w:eastAsia="仿宋"/>
          <w:b/>
          <w:kern w:val="0"/>
          <w:sz w:val="32"/>
          <w:szCs w:val="32"/>
        </w:rPr>
        <w:t xml:space="preserve">第六条 </w:t>
      </w:r>
      <w:r>
        <w:rPr>
          <w:rFonts w:hint="eastAsia" w:ascii="仿宋" w:hAnsi="仿宋" w:eastAsia="仿宋"/>
          <w:kern w:val="0"/>
          <w:sz w:val="32"/>
          <w:szCs w:val="32"/>
        </w:rPr>
        <w:t>国家级海洋牧场的创建和人工鱼礁项目建设按照《农业农村部办公厅关于印发〈国家级海洋牧场示范区管理工作规范〉的通知》（农办渔〔2019〕29号）、《农业农村部办公厅关于印发〈人工鱼礁建设项目管理细则〉的通知》（农办渔〔2018〕66号）等有关规定执行。</w:t>
      </w:r>
    </w:p>
    <w:p w14:paraId="439E0C9B">
      <w:pPr>
        <w:widowControl/>
        <w:shd w:val="clear" w:color="auto" w:fill="FFFFFF"/>
        <w:snapToGrid w:val="0"/>
        <w:spacing w:line="560" w:lineRule="exact"/>
        <w:ind w:firstLine="630" w:firstLineChars="196"/>
        <w:rPr>
          <w:rFonts w:ascii="仿宋" w:hAnsi="仿宋" w:eastAsia="仿宋"/>
          <w:kern w:val="0"/>
          <w:sz w:val="32"/>
          <w:szCs w:val="32"/>
        </w:rPr>
      </w:pPr>
      <w:r>
        <w:rPr>
          <w:rFonts w:hint="eastAsia" w:ascii="仿宋" w:hAnsi="仿宋" w:eastAsia="仿宋"/>
          <w:b/>
          <w:kern w:val="0"/>
          <w:sz w:val="32"/>
          <w:szCs w:val="32"/>
        </w:rPr>
        <w:t xml:space="preserve">第七条 </w:t>
      </w:r>
      <w:r>
        <w:rPr>
          <w:rFonts w:hint="eastAsia" w:ascii="仿宋" w:hAnsi="仿宋" w:eastAsia="仿宋"/>
          <w:kern w:val="0"/>
          <w:sz w:val="32"/>
          <w:szCs w:val="32"/>
        </w:rPr>
        <w:t>人工鱼礁项目建设中央财政资金采取分年度补助的方式，获批后拨付50%补助资金，通过验收后拨付剩余50%。</w:t>
      </w:r>
    </w:p>
    <w:p w14:paraId="55817C8B">
      <w:pPr>
        <w:widowControl/>
        <w:shd w:val="clear" w:color="auto" w:fill="FFFFFF"/>
        <w:snapToGrid w:val="0"/>
        <w:spacing w:line="560" w:lineRule="exact"/>
        <w:ind w:firstLine="630" w:firstLineChars="196"/>
        <w:rPr>
          <w:rFonts w:ascii="仿宋" w:hAnsi="仿宋" w:eastAsia="仿宋"/>
          <w:kern w:val="0"/>
          <w:sz w:val="32"/>
          <w:szCs w:val="32"/>
        </w:rPr>
      </w:pPr>
      <w:r>
        <w:rPr>
          <w:rFonts w:hint="eastAsia" w:ascii="仿宋" w:hAnsi="仿宋" w:eastAsia="仿宋"/>
          <w:b/>
          <w:kern w:val="0"/>
          <w:sz w:val="32"/>
          <w:szCs w:val="32"/>
        </w:rPr>
        <w:t xml:space="preserve">第八条 </w:t>
      </w:r>
      <w:r>
        <w:rPr>
          <w:rFonts w:hint="eastAsia" w:ascii="仿宋" w:hAnsi="仿宋" w:eastAsia="仿宋"/>
          <w:kern w:val="0"/>
          <w:sz w:val="32"/>
          <w:szCs w:val="32"/>
        </w:rPr>
        <w:t>中央补助资金仅对海洋牧场申报后新增建设内容予以补助，申报前已建设的内容不予支持，也不得计入完成的项目任务量。</w:t>
      </w:r>
    </w:p>
    <w:p w14:paraId="263A27A2">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bCs/>
          <w:kern w:val="0"/>
          <w:sz w:val="32"/>
          <w:szCs w:val="32"/>
        </w:rPr>
        <w:t>九</w:t>
      </w:r>
      <w:r>
        <w:rPr>
          <w:rFonts w:hint="eastAsia" w:ascii="仿宋" w:hAnsi="仿宋" w:eastAsia="仿宋"/>
          <w:b/>
          <w:kern w:val="0"/>
          <w:sz w:val="32"/>
          <w:szCs w:val="32"/>
        </w:rPr>
        <w:t xml:space="preserve">条 </w:t>
      </w:r>
      <w:r>
        <w:rPr>
          <w:rFonts w:hint="eastAsia" w:ascii="仿宋" w:hAnsi="仿宋" w:eastAsia="仿宋"/>
          <w:kern w:val="0"/>
          <w:sz w:val="32"/>
          <w:szCs w:val="32"/>
        </w:rPr>
        <w:t>项目建设单位设置项目资金使用明细账，实行专账核算、专款专用，严格遵守政府采购等相关财务管理规章制度，严禁弄虚作假套取国家资金。</w:t>
      </w:r>
    </w:p>
    <w:p w14:paraId="5F26AFBA">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十</w:t>
      </w:r>
      <w:r>
        <w:rPr>
          <w:rFonts w:hint="eastAsia" w:ascii="仿宋" w:hAnsi="仿宋" w:eastAsia="仿宋"/>
          <w:b/>
          <w:bCs/>
          <w:kern w:val="0"/>
          <w:sz w:val="32"/>
          <w:szCs w:val="32"/>
        </w:rPr>
        <w:t>条</w:t>
      </w:r>
      <w:r>
        <w:rPr>
          <w:rFonts w:ascii="仿宋" w:hAnsi="仿宋" w:eastAsia="仿宋"/>
          <w:kern w:val="0"/>
          <w:sz w:val="32"/>
          <w:szCs w:val="32"/>
        </w:rPr>
        <w:t xml:space="preserve"> 中央补助资金出现结余，且额度不超过项目合同金额10%时，在不改变合同其他条款的前提下，</w:t>
      </w:r>
      <w:r>
        <w:rPr>
          <w:rFonts w:hint="eastAsia" w:ascii="仿宋" w:hAnsi="仿宋" w:eastAsia="仿宋"/>
          <w:kern w:val="0"/>
          <w:sz w:val="32"/>
          <w:szCs w:val="32"/>
        </w:rPr>
        <w:t>项目建设单位可以与中标单位签订补充合同用于人工鱼礁建设，并报区渔业主管部门审核。</w:t>
      </w:r>
    </w:p>
    <w:p w14:paraId="1A5B789C">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 xml:space="preserve">第十一条 </w:t>
      </w:r>
      <w:r>
        <w:rPr>
          <w:rFonts w:hint="eastAsia" w:ascii="仿宋" w:hAnsi="仿宋" w:eastAsia="仿宋"/>
          <w:kern w:val="0"/>
          <w:sz w:val="32"/>
          <w:szCs w:val="32"/>
        </w:rPr>
        <w:t>项目建设、勘察、设计、施工、监理、审计等各类项目参与单位，应当对各自提供的材料和数据的真实性负责，如提供虚假材料，将纳入区渔业主管部门信用体系黑名单，并将相关问题移交各行业主管部门处理，对人工鱼礁项目建设单位取消政策支持，当年度不安排项目和政策扶持。</w:t>
      </w:r>
    </w:p>
    <w:p w14:paraId="61F3F6A6">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 xml:space="preserve">第十二条 </w:t>
      </w:r>
      <w:r>
        <w:rPr>
          <w:rFonts w:hint="eastAsia" w:ascii="仿宋" w:hAnsi="仿宋" w:eastAsia="仿宋"/>
          <w:kern w:val="0"/>
          <w:sz w:val="32"/>
          <w:szCs w:val="32"/>
        </w:rPr>
        <w:t>区渔业主管部门会同区财政部门对人工鱼礁项目中央补助资金进行监管，对骗取、套取、贪污、挤占、挪用项目补助资金的行为，依据相关法律法规追究有关单位及其责任人的责任，涉嫌犯罪的，移交司法机关处理。</w:t>
      </w:r>
    </w:p>
    <w:p w14:paraId="31459368">
      <w:pPr>
        <w:widowControl/>
        <w:shd w:val="clear" w:color="auto" w:fill="FFFFFF"/>
        <w:snapToGrid w:val="0"/>
        <w:spacing w:line="560" w:lineRule="exact"/>
        <w:ind w:firstLine="640" w:firstLineChars="200"/>
        <w:rPr>
          <w:rFonts w:ascii="仿宋" w:hAnsi="仿宋" w:eastAsia="仿宋"/>
          <w:color w:val="FF0000"/>
          <w:kern w:val="0"/>
          <w:sz w:val="32"/>
          <w:szCs w:val="32"/>
        </w:rPr>
      </w:pPr>
      <w:r>
        <w:rPr>
          <w:rFonts w:hint="eastAsia" w:ascii="仿宋" w:hAnsi="仿宋" w:eastAsia="仿宋"/>
          <w:kern w:val="0"/>
          <w:sz w:val="32"/>
          <w:szCs w:val="32"/>
        </w:rPr>
        <w:t>对截留或挪用中央补助资金、不按实施方案建设内容进行建设、未能完成项目配套保障措施的，责令限期整改，拒不整改的将对财政资金补助项目予以限制，并按照相关规定处置。</w:t>
      </w:r>
    </w:p>
    <w:p w14:paraId="0CBCA696">
      <w:pPr>
        <w:widowControl/>
        <w:shd w:val="clear" w:color="auto" w:fill="FFFFFF"/>
        <w:snapToGrid w:val="0"/>
        <w:spacing w:line="560" w:lineRule="exact"/>
        <w:ind w:firstLine="642"/>
        <w:rPr>
          <w:rFonts w:ascii="仿宋" w:hAnsi="仿宋" w:eastAsia="仿宋"/>
          <w:b/>
          <w:kern w:val="0"/>
          <w:sz w:val="32"/>
          <w:szCs w:val="32"/>
        </w:rPr>
      </w:pPr>
    </w:p>
    <w:p w14:paraId="20CDB764">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第三章  运营管理</w:t>
      </w:r>
    </w:p>
    <w:p w14:paraId="3E0FAB87">
      <w:pPr>
        <w:autoSpaceDE w:val="0"/>
        <w:autoSpaceDN w:val="0"/>
        <w:adjustRightInd w:val="0"/>
        <w:spacing w:line="560" w:lineRule="exact"/>
        <w:ind w:firstLine="643" w:firstLineChars="200"/>
        <w:jc w:val="left"/>
        <w:rPr>
          <w:rFonts w:ascii="仿宋" w:hAnsi="仿宋" w:eastAsia="仿宋"/>
          <w:b/>
          <w:kern w:val="0"/>
          <w:sz w:val="32"/>
          <w:szCs w:val="32"/>
        </w:rPr>
      </w:pPr>
    </w:p>
    <w:p w14:paraId="27DAD8B6">
      <w:pPr>
        <w:autoSpaceDE w:val="0"/>
        <w:autoSpaceDN w:val="0"/>
        <w:adjustRightInd w:val="0"/>
        <w:spacing w:line="560" w:lineRule="exact"/>
        <w:ind w:firstLine="643" w:firstLineChars="200"/>
        <w:jc w:val="left"/>
        <w:rPr>
          <w:rFonts w:ascii="黑体" w:hAnsi="黑体" w:eastAsia="黑体"/>
          <w:kern w:val="0"/>
          <w:sz w:val="32"/>
          <w:szCs w:val="32"/>
        </w:rPr>
      </w:pPr>
      <w:r>
        <w:rPr>
          <w:rFonts w:hint="eastAsia" w:ascii="仿宋" w:hAnsi="仿宋" w:eastAsia="仿宋"/>
          <w:b/>
          <w:kern w:val="0"/>
          <w:sz w:val="32"/>
          <w:szCs w:val="32"/>
        </w:rPr>
        <w:t>第十三条</w:t>
      </w:r>
      <w:r>
        <w:rPr>
          <w:rFonts w:hint="eastAsia" w:ascii="仿宋" w:hAnsi="仿宋" w:eastAsia="仿宋"/>
          <w:kern w:val="0"/>
          <w:sz w:val="32"/>
          <w:szCs w:val="32"/>
        </w:rPr>
        <w:t>海洋牧场海域使用续期年限结合海洋牧场绩效评价等进行研究确定。海域使用权人应当按</w:t>
      </w:r>
      <w:r>
        <w:rPr>
          <w:rFonts w:ascii="仿宋" w:hAnsi="仿宋" w:eastAsia="仿宋"/>
          <w:kern w:val="0"/>
          <w:sz w:val="32"/>
          <w:szCs w:val="32"/>
        </w:rPr>
        <w:t>规定缴纳海域使用金</w:t>
      </w:r>
      <w:r>
        <w:rPr>
          <w:rFonts w:hint="eastAsia" w:ascii="仿宋" w:hAnsi="仿宋" w:eastAsia="仿宋"/>
          <w:kern w:val="0"/>
          <w:sz w:val="32"/>
          <w:szCs w:val="32"/>
        </w:rPr>
        <w:t>，不按期缴纳海域使用金的，限期缴纳，在限期内仍拒不缴纳的，依法注销海域使用权证书，收回海域使用权。</w:t>
      </w:r>
    </w:p>
    <w:p w14:paraId="7CAA4B69">
      <w:pPr>
        <w:autoSpaceDE w:val="0"/>
        <w:autoSpaceDN w:val="0"/>
        <w:adjustRightInd w:val="0"/>
        <w:spacing w:line="560" w:lineRule="exact"/>
        <w:ind w:firstLine="643" w:firstLineChars="200"/>
        <w:jc w:val="left"/>
        <w:rPr>
          <w:rFonts w:ascii="仿宋" w:hAnsi="仿宋" w:eastAsia="仿宋"/>
          <w:bCs/>
          <w:kern w:val="0"/>
          <w:sz w:val="32"/>
          <w:szCs w:val="32"/>
        </w:rPr>
      </w:pPr>
      <w:r>
        <w:rPr>
          <w:rFonts w:hint="eastAsia" w:ascii="仿宋" w:hAnsi="仿宋" w:eastAsia="仿宋"/>
          <w:b/>
          <w:kern w:val="0"/>
          <w:sz w:val="32"/>
          <w:szCs w:val="32"/>
        </w:rPr>
        <w:t xml:space="preserve">第十四条 </w:t>
      </w:r>
      <w:r>
        <w:rPr>
          <w:rFonts w:hint="eastAsia" w:ascii="仿宋" w:hAnsi="仿宋" w:eastAsia="仿宋"/>
          <w:kern w:val="0"/>
          <w:sz w:val="32"/>
          <w:szCs w:val="32"/>
        </w:rPr>
        <w:t>海洋牧场</w:t>
      </w:r>
      <w:r>
        <w:rPr>
          <w:rFonts w:hint="eastAsia" w:ascii="仿宋" w:hAnsi="仿宋" w:eastAsia="仿宋"/>
          <w:bCs/>
          <w:kern w:val="0"/>
          <w:sz w:val="32"/>
          <w:szCs w:val="32"/>
        </w:rPr>
        <w:t>应当按规定申请办理水域滩涂养殖证，并按照证书确定的面积、年限和用途使用海域</w:t>
      </w:r>
      <w:r>
        <w:rPr>
          <w:rFonts w:hint="eastAsia" w:ascii="仿宋" w:hAnsi="仿宋" w:eastAsia="仿宋"/>
          <w:kern w:val="0"/>
          <w:sz w:val="32"/>
          <w:szCs w:val="32"/>
        </w:rPr>
        <w:t>，水域滩涂养殖证原则上与不动产权证期限保持一致。</w:t>
      </w:r>
    </w:p>
    <w:p w14:paraId="22F2E728">
      <w:pPr>
        <w:widowControl/>
        <w:shd w:val="clear" w:color="auto" w:fill="FFFFFF"/>
        <w:spacing w:line="560" w:lineRule="exact"/>
        <w:ind w:firstLine="643" w:firstLineChars="200"/>
        <w:rPr>
          <w:rFonts w:ascii="仿宋" w:hAnsi="仿宋" w:eastAsia="仿宋"/>
          <w:bCs/>
          <w:kern w:val="0"/>
          <w:sz w:val="32"/>
          <w:szCs w:val="32"/>
        </w:rPr>
      </w:pPr>
      <w:r>
        <w:rPr>
          <w:rFonts w:hint="eastAsia" w:ascii="仿宋" w:hAnsi="仿宋" w:eastAsia="仿宋"/>
          <w:b/>
          <w:kern w:val="0"/>
          <w:sz w:val="32"/>
          <w:szCs w:val="32"/>
        </w:rPr>
        <w:t xml:space="preserve">第十五条 </w:t>
      </w:r>
      <w:r>
        <w:rPr>
          <w:rFonts w:hint="eastAsia" w:ascii="仿宋" w:hAnsi="仿宋" w:eastAsia="仿宋"/>
          <w:kern w:val="0"/>
          <w:sz w:val="32"/>
          <w:szCs w:val="32"/>
        </w:rPr>
        <w:t>海洋牧场</w:t>
      </w:r>
      <w:r>
        <w:rPr>
          <w:rFonts w:hint="eastAsia" w:ascii="仿宋" w:hAnsi="仿宋" w:eastAsia="仿宋"/>
          <w:bCs/>
          <w:kern w:val="0"/>
          <w:sz w:val="32"/>
          <w:szCs w:val="32"/>
        </w:rPr>
        <w:t>无正当理由未从事养殖生产的，或者最低放养量低于当地同类养殖水域放养量60%的，视为荒芜。</w:t>
      </w:r>
      <w:r>
        <w:rPr>
          <w:rFonts w:ascii="仿宋" w:hAnsi="仿宋" w:eastAsia="仿宋"/>
          <w:bCs/>
          <w:kern w:val="0"/>
          <w:sz w:val="32"/>
          <w:szCs w:val="32"/>
        </w:rPr>
        <w:t>无正当理由使水域、滩涂荒芜满一年的，由</w:t>
      </w:r>
      <w:r>
        <w:rPr>
          <w:rFonts w:hint="eastAsia" w:ascii="仿宋" w:hAnsi="仿宋" w:eastAsia="仿宋"/>
          <w:bCs/>
          <w:kern w:val="0"/>
          <w:sz w:val="32"/>
          <w:szCs w:val="32"/>
        </w:rPr>
        <w:t>区渔业主管部门</w:t>
      </w:r>
      <w:r>
        <w:rPr>
          <w:rFonts w:ascii="仿宋" w:hAnsi="仿宋" w:eastAsia="仿宋"/>
          <w:bCs/>
          <w:kern w:val="0"/>
          <w:sz w:val="32"/>
          <w:szCs w:val="32"/>
        </w:rPr>
        <w:t>责令限期开发利用</w:t>
      </w:r>
      <w:r>
        <w:rPr>
          <w:rFonts w:hint="eastAsia" w:ascii="仿宋" w:hAnsi="仿宋" w:eastAsia="仿宋"/>
          <w:bCs/>
          <w:kern w:val="0"/>
          <w:sz w:val="32"/>
          <w:szCs w:val="32"/>
        </w:rPr>
        <w:t>；</w:t>
      </w:r>
      <w:r>
        <w:rPr>
          <w:rFonts w:ascii="仿宋" w:hAnsi="仿宋" w:eastAsia="仿宋"/>
          <w:bCs/>
          <w:kern w:val="0"/>
          <w:sz w:val="32"/>
          <w:szCs w:val="32"/>
        </w:rPr>
        <w:t>逾期未开发利用的，吊销养殖证，</w:t>
      </w:r>
      <w:r>
        <w:rPr>
          <w:rFonts w:hint="eastAsia" w:ascii="仿宋" w:hAnsi="仿宋" w:eastAsia="仿宋"/>
          <w:bCs/>
          <w:kern w:val="0"/>
          <w:sz w:val="32"/>
          <w:szCs w:val="32"/>
        </w:rPr>
        <w:t>并给予相应处罚</w:t>
      </w:r>
      <w:r>
        <w:rPr>
          <w:rFonts w:ascii="仿宋" w:hAnsi="仿宋" w:eastAsia="仿宋"/>
          <w:bCs/>
          <w:kern w:val="0"/>
          <w:sz w:val="32"/>
          <w:szCs w:val="32"/>
        </w:rPr>
        <w:t>。</w:t>
      </w:r>
    </w:p>
    <w:p w14:paraId="6FEB5F16">
      <w:pPr>
        <w:widowControl/>
        <w:shd w:val="clear" w:color="auto" w:fill="FFFFFF"/>
        <w:spacing w:line="560" w:lineRule="exact"/>
        <w:ind w:firstLine="643" w:firstLineChars="200"/>
        <w:rPr>
          <w:rFonts w:ascii="仿宋" w:hAnsi="仿宋" w:eastAsia="仿宋"/>
          <w:bCs/>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十六条</w:t>
      </w:r>
      <w:r>
        <w:rPr>
          <w:rFonts w:hint="eastAsia" w:ascii="仿宋" w:hAnsi="仿宋" w:eastAsia="仿宋"/>
          <w:kern w:val="0"/>
          <w:sz w:val="32"/>
          <w:szCs w:val="32"/>
        </w:rPr>
        <w:t>海洋牧场</w:t>
      </w:r>
      <w:r>
        <w:rPr>
          <w:rFonts w:hint="eastAsia" w:ascii="仿宋" w:hAnsi="仿宋" w:eastAsia="仿宋"/>
          <w:bCs/>
          <w:kern w:val="0"/>
          <w:sz w:val="32"/>
          <w:szCs w:val="32"/>
        </w:rPr>
        <w:t>管理单位应当自持经营，原则上不得对外出租，确需对外出租海域经营的，需报区海洋主管部门备案。</w:t>
      </w:r>
    </w:p>
    <w:p w14:paraId="41CF4296">
      <w:pPr>
        <w:widowControl/>
        <w:shd w:val="clear" w:color="auto" w:fill="FFFFFF"/>
        <w:spacing w:line="560" w:lineRule="exact"/>
        <w:ind w:firstLine="643" w:firstLineChars="200"/>
        <w:rPr>
          <w:rFonts w:ascii="仿宋" w:hAnsi="仿宋" w:eastAsia="仿宋"/>
          <w:bCs/>
          <w:kern w:val="0"/>
          <w:sz w:val="32"/>
          <w:szCs w:val="32"/>
        </w:rPr>
      </w:pPr>
      <w:r>
        <w:rPr>
          <w:rFonts w:hint="eastAsia" w:ascii="仿宋" w:hAnsi="仿宋" w:eastAsia="仿宋"/>
          <w:b/>
          <w:kern w:val="0"/>
          <w:sz w:val="32"/>
          <w:szCs w:val="32"/>
        </w:rPr>
        <w:t>第十七条</w:t>
      </w:r>
      <w:r>
        <w:rPr>
          <w:rFonts w:hint="eastAsia" w:ascii="仿宋" w:hAnsi="仿宋" w:eastAsia="仿宋"/>
          <w:kern w:val="0"/>
          <w:sz w:val="32"/>
          <w:szCs w:val="32"/>
        </w:rPr>
        <w:t>海洋牧场</w:t>
      </w:r>
      <w:r>
        <w:rPr>
          <w:rFonts w:hint="eastAsia" w:ascii="仿宋" w:hAnsi="仿宋" w:eastAsia="仿宋"/>
          <w:bCs/>
          <w:kern w:val="0"/>
          <w:sz w:val="32"/>
          <w:szCs w:val="32"/>
        </w:rPr>
        <w:t>养殖用海应当优先租给当地渔民，充分考虑民生需求，合理确定价格区间，严禁抬高价格，高价出租。人工鱼礁项目用海严禁出租。</w:t>
      </w:r>
    </w:p>
    <w:p w14:paraId="2481B406">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第十八条</w:t>
      </w:r>
      <w:r>
        <w:rPr>
          <w:rFonts w:hint="eastAsia" w:ascii="仿宋" w:hAnsi="仿宋" w:eastAsia="仿宋"/>
          <w:kern w:val="0"/>
          <w:sz w:val="32"/>
          <w:szCs w:val="32"/>
        </w:rPr>
        <w:t>海洋牧场</w:t>
      </w:r>
      <w:r>
        <w:rPr>
          <w:rFonts w:hint="eastAsia" w:ascii="仿宋" w:hAnsi="仿宋" w:eastAsia="仿宋" w:cs="宋体"/>
          <w:kern w:val="0"/>
          <w:sz w:val="32"/>
          <w:szCs w:val="32"/>
        </w:rPr>
        <w:t>管理单位</w:t>
      </w:r>
      <w:r>
        <w:rPr>
          <w:rFonts w:hint="eastAsia" w:ascii="仿宋" w:hAnsi="仿宋" w:eastAsia="仿宋"/>
          <w:bCs/>
          <w:kern w:val="0"/>
          <w:sz w:val="32"/>
          <w:szCs w:val="32"/>
        </w:rPr>
        <w:t>在海洋牧场海域内从事生产、观光、垂钓、娱乐、文化、</w:t>
      </w:r>
      <w:r>
        <w:rPr>
          <w:rFonts w:hint="eastAsia" w:ascii="仿宋" w:hAnsi="仿宋" w:eastAsia="仿宋"/>
          <w:kern w:val="0"/>
          <w:sz w:val="32"/>
          <w:szCs w:val="32"/>
        </w:rPr>
        <w:t>科普等休闲经营活动的，应当具备以下条件：</w:t>
      </w:r>
    </w:p>
    <w:p w14:paraId="72C32A77">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（一）拥有或者租赁符合安全技术标准、经检验合格的船舶；</w:t>
      </w:r>
    </w:p>
    <w:p w14:paraId="0C549215">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（二）船舶应当配备足够数量的职务船员；</w:t>
      </w:r>
    </w:p>
    <w:p w14:paraId="6ECE372A">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（三）各类船员均实行持证上岗制度；</w:t>
      </w:r>
    </w:p>
    <w:p w14:paraId="234F1C19">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（四）拥有或者租赁供游客安全上下船的港口泊位，并采取有效措施保障临时登乘人员安全；</w:t>
      </w:r>
    </w:p>
    <w:p w14:paraId="217CE891">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（五）法律、法规规定的其他条件。</w:t>
      </w:r>
    </w:p>
    <w:p w14:paraId="4E49E151">
      <w:pPr>
        <w:widowControl/>
        <w:shd w:val="clear" w:color="auto" w:fill="FFFFFF"/>
        <w:snapToGrid w:val="0"/>
        <w:spacing w:line="560" w:lineRule="exact"/>
        <w:jc w:val="center"/>
        <w:rPr>
          <w:rFonts w:ascii="黑体" w:hAnsi="黑体" w:eastAsia="黑体"/>
          <w:kern w:val="0"/>
          <w:sz w:val="32"/>
          <w:szCs w:val="32"/>
        </w:rPr>
      </w:pPr>
    </w:p>
    <w:p w14:paraId="4C1D3FBC">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第四章  安全管理</w:t>
      </w:r>
    </w:p>
    <w:p w14:paraId="202CFF1F">
      <w:pPr>
        <w:widowControl/>
        <w:shd w:val="clear" w:color="auto" w:fill="FFFFFF"/>
        <w:snapToGrid w:val="0"/>
        <w:spacing w:line="560" w:lineRule="exact"/>
        <w:jc w:val="center"/>
        <w:rPr>
          <w:rFonts w:ascii="黑体" w:hAnsi="黑体" w:eastAsia="黑体"/>
          <w:kern w:val="0"/>
          <w:sz w:val="32"/>
          <w:szCs w:val="32"/>
        </w:rPr>
      </w:pPr>
    </w:p>
    <w:p w14:paraId="3F965F23">
      <w:pPr>
        <w:widowControl/>
        <w:shd w:val="clear" w:color="auto" w:fill="FFFFFF"/>
        <w:spacing w:line="560" w:lineRule="exact"/>
        <w:ind w:firstLine="643" w:firstLineChars="200"/>
        <w:rPr>
          <w:rFonts w:ascii="仿宋" w:hAnsi="仿宋" w:eastAsia="仿宋" w:cs="宋体"/>
          <w:kern w:val="0"/>
          <w:sz w:val="32"/>
          <w:szCs w:val="32"/>
        </w:rPr>
      </w:pPr>
      <w:r>
        <w:rPr>
          <w:rFonts w:hint="eastAsia" w:ascii="仿宋" w:hAnsi="仿宋" w:eastAsia="仿宋"/>
          <w:b/>
          <w:kern w:val="0"/>
          <w:sz w:val="32"/>
          <w:szCs w:val="32"/>
        </w:rPr>
        <w:t xml:space="preserve">第十九条 </w:t>
      </w:r>
      <w:r>
        <w:rPr>
          <w:rFonts w:hint="eastAsia" w:ascii="仿宋" w:hAnsi="仿宋" w:eastAsia="仿宋"/>
          <w:kern w:val="0"/>
          <w:sz w:val="32"/>
          <w:szCs w:val="32"/>
        </w:rPr>
        <w:t>海洋牧场</w:t>
      </w:r>
      <w:r>
        <w:rPr>
          <w:rFonts w:hint="eastAsia" w:ascii="仿宋" w:hAnsi="仿宋" w:eastAsia="仿宋" w:cs="宋体"/>
          <w:kern w:val="0"/>
          <w:sz w:val="32"/>
          <w:szCs w:val="32"/>
        </w:rPr>
        <w:t>管理单位承担安全主体责任，严格执行安全生产和消防安全管理规定，严格落实人工鱼礁建设、海洋牧场平台运营、船舶航行、旅游等安全生产工作责任制。制定安全生产制度和应急预案，定期组织开展安全生产教育、人员培训和应急演练。</w:t>
      </w:r>
    </w:p>
    <w:p w14:paraId="53B9D0DB">
      <w:pPr>
        <w:widowControl/>
        <w:shd w:val="clear" w:color="auto" w:fill="FFFFFF"/>
        <w:spacing w:line="560" w:lineRule="exact"/>
        <w:ind w:firstLine="643" w:firstLineChars="200"/>
        <w:rPr>
          <w:rFonts w:ascii="仿宋" w:hAnsi="仿宋" w:eastAsia="仿宋" w:cs="宋体"/>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w:t>
      </w:r>
      <w:r>
        <w:rPr>
          <w:rFonts w:hint="eastAsia" w:ascii="仿宋" w:hAnsi="仿宋" w:eastAsia="仿宋"/>
          <w:b/>
          <w:bCs/>
          <w:kern w:val="0"/>
          <w:sz w:val="32"/>
          <w:szCs w:val="32"/>
        </w:rPr>
        <w:t>条</w:t>
      </w:r>
      <w:r>
        <w:rPr>
          <w:rFonts w:hint="eastAsia" w:ascii="仿宋" w:hAnsi="仿宋" w:eastAsia="仿宋"/>
          <w:kern w:val="0"/>
          <w:sz w:val="32"/>
          <w:szCs w:val="32"/>
        </w:rPr>
        <w:t>海洋牧场</w:t>
      </w:r>
      <w:r>
        <w:rPr>
          <w:rFonts w:hint="eastAsia" w:ascii="仿宋" w:hAnsi="仿宋" w:eastAsia="仿宋"/>
          <w:bCs/>
          <w:kern w:val="0"/>
          <w:sz w:val="32"/>
          <w:szCs w:val="32"/>
        </w:rPr>
        <w:t>管理单位</w:t>
      </w:r>
      <w:r>
        <w:rPr>
          <w:rFonts w:hint="eastAsia" w:ascii="仿宋" w:hAnsi="仿宋" w:eastAsia="仿宋" w:cs="宋体"/>
          <w:kern w:val="0"/>
          <w:sz w:val="32"/>
          <w:szCs w:val="32"/>
        </w:rPr>
        <w:t>负责加强承租方的安全生产监督管理和教育培训等工作，</w:t>
      </w:r>
      <w:r>
        <w:rPr>
          <w:rFonts w:hint="eastAsia" w:ascii="仿宋" w:hAnsi="仿宋" w:eastAsia="仿宋"/>
          <w:bCs/>
          <w:kern w:val="0"/>
          <w:sz w:val="32"/>
          <w:szCs w:val="32"/>
        </w:rPr>
        <w:t>健全各项</w:t>
      </w:r>
      <w:r>
        <w:rPr>
          <w:rFonts w:hint="eastAsia" w:ascii="仿宋" w:hAnsi="仿宋" w:eastAsia="仿宋" w:cs="宋体"/>
          <w:kern w:val="0"/>
          <w:sz w:val="32"/>
          <w:szCs w:val="32"/>
        </w:rPr>
        <w:t>安全生产制度，建立安全管理台账，签订安全生产责任书。</w:t>
      </w:r>
    </w:p>
    <w:p w14:paraId="4AF60172">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二十一</w:t>
      </w:r>
      <w:r>
        <w:rPr>
          <w:rFonts w:hint="eastAsia" w:ascii="仿宋" w:hAnsi="仿宋" w:eastAsia="仿宋"/>
          <w:b/>
          <w:bCs/>
          <w:kern w:val="0"/>
          <w:sz w:val="32"/>
          <w:szCs w:val="32"/>
        </w:rPr>
        <w:t>条</w:t>
      </w:r>
      <w:r>
        <w:rPr>
          <w:rFonts w:hint="eastAsia" w:ascii="仿宋" w:hAnsi="仿宋" w:eastAsia="仿宋"/>
          <w:kern w:val="0"/>
          <w:sz w:val="32"/>
          <w:szCs w:val="32"/>
        </w:rPr>
        <w:t xml:space="preserve"> 海洋牧场平台应当符合有关法律、行政法规、规章以及强制性标准和技术规范的要求，经船舶检验机构检验，取得相应证书或者文书。未取得检验合格证书或者文书的海洋牧场平台不得投入运营。</w:t>
      </w:r>
    </w:p>
    <w:p w14:paraId="442274F8">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海洋牧场平台应当按照规定的用途使用，依法定期进行安全技术检验。已报废或者弃用的海洋牧场平台，其所有人应当自行拆除。</w:t>
      </w:r>
    </w:p>
    <w:p w14:paraId="642DFC0E">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二十二</w:t>
      </w:r>
      <w:r>
        <w:rPr>
          <w:rFonts w:hint="eastAsia" w:ascii="仿宋" w:hAnsi="仿宋" w:eastAsia="仿宋"/>
          <w:b/>
          <w:bCs/>
          <w:kern w:val="0"/>
          <w:sz w:val="32"/>
          <w:szCs w:val="32"/>
        </w:rPr>
        <w:t xml:space="preserve">条 </w:t>
      </w:r>
      <w:r>
        <w:rPr>
          <w:rFonts w:hint="eastAsia" w:ascii="仿宋" w:hAnsi="仿宋" w:eastAsia="仿宋"/>
          <w:kern w:val="0"/>
          <w:sz w:val="32"/>
          <w:szCs w:val="32"/>
        </w:rPr>
        <w:t>海洋牧场平台管理应当遵守下列规定：</w:t>
      </w:r>
    </w:p>
    <w:p w14:paraId="5F31E4D7">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（一）配备符合标准的船舶自动识别终端，正确显示号灯、号型；</w:t>
      </w:r>
    </w:p>
    <w:p w14:paraId="13A4BEB8">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（二）保持进出通道畅通，配备与其规模相适应的救生、消防、通信、定位、视频监控以及防漏电、防雷击等安全设施，且保持完好状态；</w:t>
      </w:r>
    </w:p>
    <w:p w14:paraId="6BCE1CB4">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（三）建立日常维护保养、安全生产培训等制度，制定岗位安全操作规程，完善安全营运档案，定期排查安全隐患；</w:t>
      </w:r>
    </w:p>
    <w:p w14:paraId="26C51347">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（四）在显著位置悬挂或者张贴安全须知、警示标牌，设置并适时开启夜间和大风、大雾、大浪等恶劣气象条件警示信号；</w:t>
      </w:r>
    </w:p>
    <w:p w14:paraId="46F0C268">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（五）配备垃圾分类回收设备设施，及时清理打捞平台周边垃圾，禁止海洋牧场平台向海洋排放固体垃圾、生活污水、含油污水以及其他污染物；</w:t>
      </w:r>
    </w:p>
    <w:p w14:paraId="74420288">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（六）法律、法规规定的其他要求。</w:t>
      </w:r>
    </w:p>
    <w:p w14:paraId="5426F0AE">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二十三</w:t>
      </w:r>
      <w:r>
        <w:rPr>
          <w:rFonts w:hint="eastAsia" w:ascii="仿宋" w:hAnsi="仿宋" w:eastAsia="仿宋"/>
          <w:b/>
          <w:bCs/>
          <w:kern w:val="0"/>
          <w:sz w:val="32"/>
          <w:szCs w:val="32"/>
        </w:rPr>
        <w:t>条</w:t>
      </w:r>
      <w:r>
        <w:rPr>
          <w:rFonts w:hint="eastAsia" w:ascii="仿宋" w:hAnsi="仿宋" w:eastAsia="仿宋"/>
          <w:kern w:val="0"/>
          <w:sz w:val="32"/>
          <w:szCs w:val="32"/>
        </w:rPr>
        <w:t xml:space="preserve"> 利用海洋牧场平台从事休闲活动，还应当遵守下列规定：</w:t>
      </w:r>
    </w:p>
    <w:p w14:paraId="5B0019AB">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（一）配备掌握救生、消防、通信、避碰等专业技能的人员，且符合最低安全配员要求；</w:t>
      </w:r>
    </w:p>
    <w:p w14:paraId="7DAAD857">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（二）经营活动时保持人员值守瞭望；</w:t>
      </w:r>
    </w:p>
    <w:p w14:paraId="28B721DF">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（三）建立临时登乘人员登离台账；</w:t>
      </w:r>
    </w:p>
    <w:p w14:paraId="58D84A5F">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（四）实际承载人数不得超过船舶检验机构核定人数；</w:t>
      </w:r>
    </w:p>
    <w:p w14:paraId="02B34565">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（五）法律、法规规定的其他要求。</w:t>
      </w:r>
    </w:p>
    <w:p w14:paraId="7D59C256">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二十四</w:t>
      </w:r>
      <w:r>
        <w:rPr>
          <w:rFonts w:hint="eastAsia" w:ascii="仿宋" w:hAnsi="仿宋" w:eastAsia="仿宋"/>
          <w:b/>
          <w:bCs/>
          <w:kern w:val="0"/>
          <w:sz w:val="32"/>
          <w:szCs w:val="32"/>
        </w:rPr>
        <w:t>条</w:t>
      </w:r>
      <w:r>
        <w:rPr>
          <w:rFonts w:hint="eastAsia" w:ascii="仿宋" w:hAnsi="仿宋" w:eastAsia="仿宋"/>
          <w:kern w:val="0"/>
          <w:sz w:val="32"/>
          <w:szCs w:val="32"/>
        </w:rPr>
        <w:t xml:space="preserve"> 当气象、实时海况达到下列条件之一的，禁止临时登乘人员登乘海洋牧场平台；已登临海洋牧场平台的，应当在确保安全的前提下撤离：</w:t>
      </w:r>
    </w:p>
    <w:p w14:paraId="76A43714">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（一）气象部门发布大风蓝色以上预警的；</w:t>
      </w:r>
    </w:p>
    <w:p w14:paraId="22658D0A">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（二）能见度低于一千米的；</w:t>
      </w:r>
    </w:p>
    <w:p w14:paraId="5D08255F">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（三）浪涌达到大浪级别的。</w:t>
      </w:r>
    </w:p>
    <w:p w14:paraId="02DB1C7B">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当气象、海洋部门发布的海上风浪预报等级超过海洋牧场平台抗风浪等级时，所有人员全部撤离。</w:t>
      </w:r>
    </w:p>
    <w:p w14:paraId="0DC1ADC7">
      <w:pPr>
        <w:widowControl/>
        <w:shd w:val="clear" w:color="auto" w:fill="FFFFFF"/>
        <w:spacing w:line="560" w:lineRule="exact"/>
        <w:ind w:firstLine="643" w:firstLineChars="200"/>
        <w:rPr>
          <w:rFonts w:ascii="仿宋" w:hAnsi="仿宋" w:eastAsia="仿宋"/>
          <w:b/>
          <w:bCs/>
          <w:kern w:val="0"/>
          <w:sz w:val="32"/>
          <w:szCs w:val="32"/>
        </w:rPr>
      </w:pPr>
    </w:p>
    <w:p w14:paraId="6A030ED8">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第五章  生态保护管理</w:t>
      </w:r>
    </w:p>
    <w:p w14:paraId="79859AB6">
      <w:pPr>
        <w:widowControl/>
        <w:shd w:val="clear" w:color="auto" w:fill="FFFFFF"/>
        <w:spacing w:line="560" w:lineRule="exact"/>
        <w:rPr>
          <w:rFonts w:ascii="仿宋" w:hAnsi="仿宋" w:eastAsia="仿宋"/>
          <w:b/>
          <w:bCs/>
          <w:kern w:val="0"/>
          <w:sz w:val="32"/>
          <w:szCs w:val="32"/>
        </w:rPr>
      </w:pPr>
    </w:p>
    <w:p w14:paraId="0202E7A8">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二十五</w:t>
      </w:r>
      <w:r>
        <w:rPr>
          <w:rFonts w:hint="eastAsia" w:ascii="仿宋" w:hAnsi="仿宋" w:eastAsia="仿宋"/>
          <w:b/>
          <w:bCs/>
          <w:kern w:val="0"/>
          <w:sz w:val="32"/>
          <w:szCs w:val="32"/>
        </w:rPr>
        <w:t>条</w:t>
      </w:r>
      <w:r>
        <w:rPr>
          <w:rFonts w:hint="eastAsia" w:ascii="仿宋" w:hAnsi="仿宋" w:eastAsia="仿宋"/>
          <w:kern w:val="0"/>
          <w:sz w:val="32"/>
          <w:szCs w:val="32"/>
        </w:rPr>
        <w:t xml:space="preserve"> 在海洋牧场海域内从事生产经营活动时，应当防止、减少环境污染和生态破坏，并遵守下列规定：</w:t>
      </w:r>
    </w:p>
    <w:p w14:paraId="27D48609">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从事海水养殖的，应当科学确定养殖种类和养殖密度，禁止排放固体垃圾、生活污水、含油污水以及其他污染物，防止造成海洋环境污染；生产中产生的贝壳、网衣、浮球、投入品包装袋等养殖生产副产物及废弃物要做到集中收置，不得非法侵占岸滩等公共资源进行网具存放，不得乱填乱占、堆积杂物，防止造成岸线污染；</w:t>
      </w:r>
    </w:p>
    <w:p w14:paraId="23732F17">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（二）从事渔业资源捕捞的，应当遵守禁渔期、渔具准入等管理规定，保持生物种群、资源平衡；</w:t>
      </w:r>
    </w:p>
    <w:p w14:paraId="13CDBC3E">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（三）从事垂钓、体验式捕捞等休闲经营活动的，应严格执行国家规定的可捕标准，经营单位对海钓人员的每种渔获单次钓获数量应做出限制，防止破坏渔业资源和生态环境；</w:t>
      </w:r>
    </w:p>
    <w:p w14:paraId="57BC6626">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（四）法律、法规规定的其他要求。</w:t>
      </w:r>
    </w:p>
    <w:p w14:paraId="07195E41">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二十六</w:t>
      </w:r>
      <w:r>
        <w:rPr>
          <w:rFonts w:hint="eastAsia" w:ascii="仿宋" w:hAnsi="仿宋" w:eastAsia="仿宋"/>
          <w:b/>
          <w:bCs/>
          <w:kern w:val="0"/>
          <w:sz w:val="32"/>
          <w:szCs w:val="32"/>
        </w:rPr>
        <w:t>条</w:t>
      </w:r>
      <w:r>
        <w:rPr>
          <w:rFonts w:hint="eastAsia" w:ascii="仿宋" w:hAnsi="仿宋" w:eastAsia="仿宋"/>
          <w:kern w:val="0"/>
          <w:sz w:val="32"/>
          <w:szCs w:val="32"/>
        </w:rPr>
        <w:t>海洋牧场</w:t>
      </w:r>
      <w:r>
        <w:rPr>
          <w:rFonts w:hint="eastAsia" w:ascii="仿宋" w:hAnsi="仿宋" w:eastAsia="仿宋"/>
          <w:bCs/>
          <w:kern w:val="0"/>
          <w:sz w:val="32"/>
          <w:szCs w:val="32"/>
        </w:rPr>
        <w:t>管理单位</w:t>
      </w:r>
      <w:r>
        <w:rPr>
          <w:rFonts w:hint="eastAsia" w:ascii="仿宋" w:hAnsi="仿宋" w:eastAsia="仿宋" w:cs="宋体"/>
          <w:kern w:val="0"/>
          <w:sz w:val="32"/>
          <w:szCs w:val="32"/>
        </w:rPr>
        <w:t>负责承租方的生态保护管理工作。</w:t>
      </w:r>
    </w:p>
    <w:p w14:paraId="3D9EDF35">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第二十七条</w:t>
      </w:r>
      <w:r>
        <w:rPr>
          <w:rFonts w:hint="eastAsia" w:ascii="仿宋" w:hAnsi="仿宋" w:eastAsia="仿宋"/>
          <w:kern w:val="0"/>
          <w:sz w:val="32"/>
          <w:szCs w:val="32"/>
        </w:rPr>
        <w:t xml:space="preserve"> 在海洋牧场海域实施增殖放流活动应当对放流苗种进行检验检疫，严格执行水生生物增殖放流相关规定，严防外来物种入侵。</w:t>
      </w:r>
    </w:p>
    <w:p w14:paraId="7DF6E11A">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第二十八条</w:t>
      </w:r>
      <w:r>
        <w:rPr>
          <w:rFonts w:hint="eastAsia" w:ascii="仿宋" w:hAnsi="仿宋" w:eastAsia="仿宋"/>
          <w:kern w:val="0"/>
          <w:sz w:val="32"/>
          <w:szCs w:val="32"/>
        </w:rPr>
        <w:t xml:space="preserve"> 在海洋牧场规划和建设区域内禁止违法从事下列行为：</w:t>
      </w:r>
    </w:p>
    <w:p w14:paraId="3AF344F5">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（一）采挖海砂；</w:t>
      </w:r>
    </w:p>
    <w:p w14:paraId="2EC9BC65">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（二）围填海工程建设；</w:t>
      </w:r>
    </w:p>
    <w:p w14:paraId="50358236">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（三）水下爆破作业；</w:t>
      </w:r>
    </w:p>
    <w:p w14:paraId="54826F38">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（四）排放污染物；</w:t>
      </w:r>
    </w:p>
    <w:p w14:paraId="0E32EE06">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（五）擅自改变海域自然属性；</w:t>
      </w:r>
    </w:p>
    <w:p w14:paraId="13BE5E2A">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（六）炸鱼、毒鱼、电鱼和网具捕捞作业。</w:t>
      </w:r>
    </w:p>
    <w:p w14:paraId="03E9DA8A">
      <w:pPr>
        <w:widowControl/>
        <w:shd w:val="clear" w:color="auto" w:fill="FFFFFF"/>
        <w:snapToGrid w:val="0"/>
        <w:spacing w:line="560" w:lineRule="exact"/>
        <w:rPr>
          <w:rFonts w:ascii="黑体" w:hAnsi="黑体" w:eastAsia="黑体"/>
          <w:kern w:val="0"/>
          <w:sz w:val="32"/>
          <w:szCs w:val="32"/>
        </w:rPr>
      </w:pPr>
    </w:p>
    <w:p w14:paraId="0E3232F7">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第六章  考核与评价</w:t>
      </w:r>
    </w:p>
    <w:p w14:paraId="4A76C89A">
      <w:pPr>
        <w:widowControl/>
        <w:shd w:val="clear" w:color="auto" w:fill="FFFFFF"/>
        <w:snapToGrid w:val="0"/>
        <w:spacing w:line="560" w:lineRule="exact"/>
        <w:rPr>
          <w:rFonts w:ascii="黑体" w:hAnsi="黑体" w:eastAsia="黑体"/>
          <w:kern w:val="0"/>
          <w:sz w:val="32"/>
          <w:szCs w:val="32"/>
        </w:rPr>
      </w:pPr>
    </w:p>
    <w:p w14:paraId="502BAA59">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bCs/>
          <w:kern w:val="0"/>
          <w:sz w:val="32"/>
          <w:szCs w:val="32"/>
        </w:rPr>
        <w:t>二十九</w:t>
      </w:r>
      <w:r>
        <w:rPr>
          <w:rFonts w:hint="eastAsia" w:ascii="仿宋" w:hAnsi="仿宋" w:eastAsia="仿宋"/>
          <w:b/>
          <w:kern w:val="0"/>
          <w:sz w:val="32"/>
          <w:szCs w:val="32"/>
        </w:rPr>
        <w:t>条</w:t>
      </w:r>
      <w:r>
        <w:rPr>
          <w:rFonts w:hint="eastAsia" w:ascii="仿宋" w:hAnsi="仿宋" w:eastAsia="仿宋"/>
          <w:kern w:val="0"/>
          <w:sz w:val="32"/>
          <w:szCs w:val="32"/>
        </w:rPr>
        <w:t xml:space="preserve"> 海洋牧场年度监测、年度评价和复查依照《国家级海洋牧场示范区年度评价及复查办法（试行）》（农办渔〔2018〕68号）有关要求开展。</w:t>
      </w:r>
    </w:p>
    <w:p w14:paraId="7E7FA01B">
      <w:pPr>
        <w:autoSpaceDE w:val="0"/>
        <w:autoSpaceDN w:val="0"/>
        <w:adjustRightInd w:val="0"/>
        <w:spacing w:line="560" w:lineRule="exact"/>
        <w:ind w:firstLine="643" w:firstLineChars="200"/>
        <w:jc w:val="left"/>
        <w:rPr>
          <w:rFonts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bCs/>
          <w:kern w:val="0"/>
          <w:sz w:val="32"/>
          <w:szCs w:val="32"/>
        </w:rPr>
        <w:t>三十</w:t>
      </w:r>
      <w:r>
        <w:rPr>
          <w:rFonts w:hint="eastAsia" w:ascii="仿宋" w:hAnsi="仿宋" w:eastAsia="仿宋"/>
          <w:b/>
          <w:kern w:val="0"/>
          <w:sz w:val="32"/>
          <w:szCs w:val="32"/>
        </w:rPr>
        <w:t>条</w:t>
      </w:r>
      <w:r>
        <w:rPr>
          <w:rFonts w:hint="eastAsia" w:ascii="仿宋" w:hAnsi="仿宋" w:eastAsia="仿宋"/>
          <w:kern w:val="0"/>
          <w:sz w:val="32"/>
          <w:szCs w:val="32"/>
        </w:rPr>
        <w:t>如海洋牧场年度评价为差或复查结果不合格，海域使用权证书到期后续期一年，在规定时限内完成整改后按程序办理，未按规定要求完成整改的不再续期。</w:t>
      </w:r>
    </w:p>
    <w:p w14:paraId="263774AC">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第三十一条</w:t>
      </w:r>
      <w:r>
        <w:rPr>
          <w:rFonts w:hint="eastAsia" w:ascii="仿宋" w:hAnsi="仿宋" w:eastAsia="仿宋"/>
          <w:kern w:val="0"/>
          <w:sz w:val="32"/>
          <w:szCs w:val="32"/>
        </w:rPr>
        <w:t xml:space="preserve"> 对复查结果较好的海洋牧场，在政策支持和项目安排方面予以倾斜。</w:t>
      </w:r>
    </w:p>
    <w:p w14:paraId="50D8C533">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第三十二条</w:t>
      </w:r>
      <w:r>
        <w:rPr>
          <w:rFonts w:hint="eastAsia" w:ascii="仿宋" w:hAnsi="仿宋" w:eastAsia="仿宋"/>
          <w:kern w:val="0"/>
          <w:sz w:val="32"/>
          <w:szCs w:val="32"/>
        </w:rPr>
        <w:t xml:space="preserve"> 海洋牧场有下列情形之一的，可不经年度评价程序，向农业农村部申请直接撤销国家级海洋牧场示范区称号：</w:t>
      </w:r>
    </w:p>
    <w:p w14:paraId="1E5DBE79">
      <w:pPr>
        <w:widowControl/>
        <w:shd w:val="clear" w:color="auto" w:fill="FFFFFF"/>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（一）因海洋牧场建设管理不当，引发重大生产安全、水域污染或生态灾害事故，造成严重后果的；</w:t>
      </w:r>
    </w:p>
    <w:p w14:paraId="3C35BBA4">
      <w:pPr>
        <w:widowControl/>
        <w:shd w:val="clear" w:color="auto" w:fill="FFFFFF"/>
        <w:spacing w:line="560" w:lineRule="exact"/>
        <w:ind w:firstLine="645"/>
        <w:rPr>
          <w:rFonts w:ascii="仿宋" w:hAnsi="仿宋" w:eastAsia="仿宋"/>
          <w:kern w:val="0"/>
          <w:sz w:val="32"/>
          <w:szCs w:val="32"/>
        </w:rPr>
      </w:pPr>
      <w:r>
        <w:rPr>
          <w:rFonts w:hint="eastAsia" w:ascii="仿宋" w:hAnsi="仿宋" w:eastAsia="仿宋"/>
          <w:kern w:val="0"/>
          <w:sz w:val="32"/>
          <w:szCs w:val="32"/>
        </w:rPr>
        <w:t>（二）海洋牧场严重偏离示范主题，已基本丧失示范功能的；</w:t>
      </w:r>
    </w:p>
    <w:p w14:paraId="33B71F43">
      <w:pPr>
        <w:widowControl/>
        <w:shd w:val="clear" w:color="auto" w:fill="FFFFFF"/>
        <w:spacing w:line="560" w:lineRule="exact"/>
        <w:ind w:firstLine="645"/>
        <w:rPr>
          <w:rFonts w:ascii="仿宋" w:hAnsi="仿宋" w:eastAsia="仿宋"/>
          <w:kern w:val="0"/>
          <w:sz w:val="32"/>
          <w:szCs w:val="32"/>
        </w:rPr>
      </w:pPr>
      <w:r>
        <w:rPr>
          <w:rFonts w:hint="eastAsia" w:ascii="仿宋" w:hAnsi="仿宋" w:eastAsia="仿宋"/>
          <w:kern w:val="0"/>
          <w:sz w:val="32"/>
          <w:szCs w:val="32"/>
        </w:rPr>
        <w:t>（三）复查不合格的；</w:t>
      </w:r>
    </w:p>
    <w:p w14:paraId="4DAF060C">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（四）有其他严重违规违法行为的。</w:t>
      </w:r>
    </w:p>
    <w:p w14:paraId="22695C81">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b/>
          <w:kern w:val="0"/>
          <w:sz w:val="32"/>
          <w:szCs w:val="32"/>
        </w:rPr>
        <w:t xml:space="preserve">第三十三条 </w:t>
      </w:r>
      <w:r>
        <w:rPr>
          <w:rFonts w:hint="eastAsia" w:ascii="仿宋" w:hAnsi="仿宋" w:eastAsia="仿宋"/>
          <w:kern w:val="0"/>
          <w:sz w:val="32"/>
          <w:szCs w:val="32"/>
        </w:rPr>
        <w:t>海洋牧场实行绩效评价制度。区渔业主管部门结合农业部国家级海洋牧场示范区年度评价（复查）结果，对海洋牧场开展绩效评价，对综合评价为差，纳入低效养殖用海的海洋牧场在渔业配套政策支持、海域续期年限等方面予以限制。</w:t>
      </w:r>
    </w:p>
    <w:p w14:paraId="34D32CAD">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三十四</w:t>
      </w:r>
      <w:r>
        <w:rPr>
          <w:rFonts w:hint="eastAsia" w:ascii="仿宋" w:hAnsi="仿宋" w:eastAsia="仿宋"/>
          <w:b/>
          <w:bCs/>
          <w:kern w:val="0"/>
          <w:sz w:val="32"/>
          <w:szCs w:val="32"/>
        </w:rPr>
        <w:t xml:space="preserve">条 </w:t>
      </w:r>
      <w:r>
        <w:rPr>
          <w:rFonts w:hint="eastAsia" w:ascii="仿宋" w:hAnsi="仿宋" w:eastAsia="仿宋"/>
          <w:kern w:val="0"/>
          <w:sz w:val="32"/>
          <w:szCs w:val="32"/>
        </w:rPr>
        <w:t>海洋牧场绩效评价采用评分法，满分为100分，评价结果划分为好、较好、一般、差4个等级。评价得分90分以上为好，75～89分为较好，60～74分为一般，60分以下为差。</w:t>
      </w:r>
    </w:p>
    <w:p w14:paraId="538DBDDF">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评价得分由农业部年度评价（或复查）结果和区级评分两部分组成，各占50%，即绩效评价得分=农业部年度评价（或复查）结果×50%+区级评分×50%。如当年度农业部未开展年度评价（或复查），绩效评价得分按区级评分计算。</w:t>
      </w:r>
    </w:p>
    <w:p w14:paraId="02FF664A">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其中，农业部年度评价为好、较好、一般、差的分别得分100、89、74、60分；复查评价结果为较好、合格、不合格的分别得分100、80、60分。</w:t>
      </w:r>
    </w:p>
    <w:p w14:paraId="6BD8965A">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b/>
          <w:bCs/>
          <w:kern w:val="0"/>
          <w:sz w:val="32"/>
          <w:szCs w:val="32"/>
        </w:rPr>
        <w:t>第</w:t>
      </w:r>
      <w:r>
        <w:rPr>
          <w:rFonts w:hint="eastAsia" w:ascii="仿宋" w:hAnsi="仿宋" w:eastAsia="仿宋"/>
          <w:b/>
          <w:kern w:val="0"/>
          <w:sz w:val="32"/>
          <w:szCs w:val="32"/>
        </w:rPr>
        <w:t>三十五</w:t>
      </w:r>
      <w:r>
        <w:rPr>
          <w:rFonts w:hint="eastAsia" w:ascii="仿宋" w:hAnsi="仿宋" w:eastAsia="仿宋"/>
          <w:b/>
          <w:bCs/>
          <w:kern w:val="0"/>
          <w:sz w:val="32"/>
          <w:szCs w:val="32"/>
        </w:rPr>
        <w:t xml:space="preserve">条 </w:t>
      </w:r>
      <w:r>
        <w:rPr>
          <w:rFonts w:hint="eastAsia" w:ascii="仿宋" w:hAnsi="仿宋" w:eastAsia="仿宋"/>
          <w:kern w:val="0"/>
          <w:sz w:val="32"/>
          <w:szCs w:val="32"/>
        </w:rPr>
        <w:t>区级评分满分100分，主要从以下六个方面进行量化评分。</w:t>
      </w:r>
    </w:p>
    <w:p w14:paraId="4399A907">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1.用海情况（15分）。未向主管部门备案对</w:t>
      </w:r>
      <w:r>
        <w:rPr>
          <w:rFonts w:hint="eastAsia" w:ascii="仿宋" w:hAnsi="仿宋" w:eastAsia="仿宋"/>
          <w:bCs/>
          <w:kern w:val="0"/>
          <w:sz w:val="32"/>
          <w:szCs w:val="32"/>
        </w:rPr>
        <w:t>外出租海域经营的不得分；无前款行为，</w:t>
      </w:r>
      <w:r>
        <w:rPr>
          <w:rFonts w:hint="eastAsia" w:ascii="仿宋" w:hAnsi="仿宋" w:eastAsia="仿宋"/>
          <w:kern w:val="0"/>
          <w:sz w:val="32"/>
          <w:szCs w:val="32"/>
        </w:rPr>
        <w:t>按时足额进行缴纳的该项得满分；未足额缴纳的按海域使用金缴纳比例进行得分；无故不缴纳的该项不得分。年度内因违规用海被处罚的每发生1次扣3分。</w:t>
      </w:r>
    </w:p>
    <w:p w14:paraId="4A6A4207">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2.安全生产情况（25分）。评价年度内积极配合主管部门生产检查，未发生一般性以上安全生产事故的该项得满分；发生一般安全生产事故造成2人以下人员死亡或失踪的，每发生一起扣10分；造成3人以上死亡被认定为安全生产责任事故的该项不得分。</w:t>
      </w:r>
    </w:p>
    <w:p w14:paraId="023910FE">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3.生态环境保护情况（10分）。年度内积极做好牧场生态环境保护工作，未造成生态环保污染，无生态环保处罚记录的该项得满分，因违反环保相关法律法规被处罚的每发生1次扣3分。</w:t>
      </w:r>
    </w:p>
    <w:p w14:paraId="6C27BDE8">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4.渔业生产情况（15分）。年度内遵守渔业法律法规开展生产作业，无渔业违法处罚记录的该项得满分；因违反渔业相关法律法规被处罚的每发生1次扣3分。</w:t>
      </w:r>
    </w:p>
    <w:p w14:paraId="3E6BBA84">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5.生产效益情况（20分）。海洋牧场年度渔业产量或产值达到前3年平均值的95%得10分，每降低1个百分点扣0.3分，最多扣5分，每提高1个百分点加0.2分，最多加10分。</w:t>
      </w:r>
    </w:p>
    <w:p w14:paraId="1170F518">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6.信访稳定情况（15分）。年度内未发生信访稳定事件的该项得满分；因企业主体责任引发的信访事件被上级部门通报的，市级扣5分，省级扣10分，国家级扣15分。</w:t>
      </w:r>
    </w:p>
    <w:p w14:paraId="3220F4DC">
      <w:pPr>
        <w:widowControl/>
        <w:shd w:val="clear" w:color="auto" w:fill="FFFFFF"/>
        <w:spacing w:line="560" w:lineRule="exact"/>
        <w:ind w:firstLine="640"/>
        <w:rPr>
          <w:rFonts w:ascii="仿宋" w:hAnsi="仿宋" w:eastAsia="仿宋"/>
          <w:kern w:val="0"/>
          <w:sz w:val="32"/>
          <w:szCs w:val="32"/>
        </w:rPr>
      </w:pPr>
      <w:r>
        <w:rPr>
          <w:rFonts w:hint="eastAsia" w:ascii="仿宋" w:hAnsi="仿宋" w:eastAsia="仿宋"/>
          <w:kern w:val="0"/>
          <w:sz w:val="32"/>
          <w:szCs w:val="32"/>
        </w:rPr>
        <w:t>7.加分情况（20分）。海洋牧场获得国家级、省、市、区荣誉称号的分别加10分、5分、3分、2分；在保障民生用海、公共利益、国防需要等方面做出突出贡献的视情予以加分，每提供1000亩海域用于生计渔民民生用海的加5分；以上累计加分不超过20分。</w:t>
      </w:r>
    </w:p>
    <w:p w14:paraId="0FA765EA">
      <w:pPr>
        <w:widowControl/>
        <w:shd w:val="clear" w:color="auto" w:fill="FFFFFF"/>
        <w:snapToGrid w:val="0"/>
        <w:spacing w:line="560" w:lineRule="exact"/>
        <w:jc w:val="center"/>
        <w:rPr>
          <w:rFonts w:ascii="黑体" w:hAnsi="黑体" w:eastAsia="黑体"/>
          <w:kern w:val="0"/>
          <w:sz w:val="32"/>
          <w:szCs w:val="32"/>
        </w:rPr>
      </w:pPr>
      <w:r>
        <w:rPr>
          <w:rFonts w:hint="eastAsia" w:ascii="黑体" w:hAnsi="黑体" w:eastAsia="黑体"/>
          <w:kern w:val="0"/>
          <w:sz w:val="32"/>
          <w:szCs w:val="32"/>
        </w:rPr>
        <w:t>第七章  附 则</w:t>
      </w:r>
    </w:p>
    <w:p w14:paraId="0ECA9D28">
      <w:pPr>
        <w:widowControl/>
        <w:shd w:val="clear" w:color="auto" w:fill="FFFFFF"/>
        <w:snapToGrid w:val="0"/>
        <w:spacing w:line="560" w:lineRule="exact"/>
        <w:ind w:firstLine="643" w:firstLineChars="200"/>
        <w:rPr>
          <w:rFonts w:ascii="仿宋" w:hAnsi="仿宋" w:eastAsia="仿宋"/>
          <w:color w:val="FF0000"/>
          <w:kern w:val="0"/>
          <w:sz w:val="32"/>
          <w:szCs w:val="32"/>
        </w:rPr>
      </w:pPr>
      <w:r>
        <w:rPr>
          <w:rFonts w:hint="eastAsia" w:ascii="仿宋" w:hAnsi="仿宋" w:eastAsia="仿宋"/>
          <w:b/>
          <w:kern w:val="0"/>
          <w:sz w:val="32"/>
          <w:szCs w:val="32"/>
        </w:rPr>
        <w:t xml:space="preserve">第三十六条 </w:t>
      </w:r>
      <w:r>
        <w:rPr>
          <w:rFonts w:hint="eastAsia" w:ascii="仿宋" w:hAnsi="仿宋" w:eastAsia="仿宋"/>
          <w:kern w:val="0"/>
          <w:sz w:val="32"/>
          <w:szCs w:val="32"/>
        </w:rPr>
        <w:t>新区范围内其他在确权海域内从事水产养殖等渔业活动的养殖主体的规划建设、经营管理、生态环保和监督管理等管理要求参照本办法执行。</w:t>
      </w:r>
    </w:p>
    <w:p w14:paraId="542FFFFD">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 xml:space="preserve">第三十七条 </w:t>
      </w:r>
      <w:r>
        <w:rPr>
          <w:rFonts w:hint="eastAsia" w:ascii="仿宋" w:hAnsi="仿宋" w:eastAsia="仿宋"/>
          <w:kern w:val="0"/>
          <w:sz w:val="32"/>
          <w:szCs w:val="32"/>
        </w:rPr>
        <w:t>本办法条款如有与上级部门新颁布规定不一致，按照上级规定执行。</w:t>
      </w:r>
    </w:p>
    <w:p w14:paraId="15454C8A">
      <w:pPr>
        <w:widowControl/>
        <w:shd w:val="clear" w:color="auto" w:fill="FFFFFF"/>
        <w:snapToGri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第三十八条</w:t>
      </w:r>
      <w:r>
        <w:rPr>
          <w:rFonts w:hint="eastAsia" w:ascii="仿宋" w:hAnsi="仿宋" w:eastAsia="仿宋"/>
          <w:kern w:val="0"/>
          <w:sz w:val="32"/>
          <w:szCs w:val="32"/>
        </w:rPr>
        <w:t xml:space="preserve"> 本管理办法自2024年  月  日起施行，有效期两年。</w:t>
      </w:r>
    </w:p>
    <w:p w14:paraId="00E557BF">
      <w:pPr>
        <w:widowControl/>
        <w:jc w:val="left"/>
        <w:rPr>
          <w:rFonts w:ascii="仿宋_GB2312" w:hAnsi="宋体" w:eastAsia="仿宋_GB2312"/>
          <w:kern w:val="0"/>
          <w:sz w:val="32"/>
          <w:szCs w:val="32"/>
        </w:rPr>
      </w:pPr>
    </w:p>
    <w:p w14:paraId="1E5DA490">
      <w:pPr>
        <w:widowControl/>
        <w:shd w:val="clear" w:color="auto" w:fill="FFFFFF"/>
        <w:snapToGrid w:val="0"/>
        <w:spacing w:line="560" w:lineRule="exact"/>
        <w:jc w:val="center"/>
        <w:rPr>
          <w:rFonts w:ascii="方正小标宋_GBK" w:hAnsi="方正小标宋_GBK" w:eastAsia="方正小标宋_GBK" w:cs="方正小标宋_GBK"/>
          <w:kern w:val="0"/>
          <w:sz w:val="44"/>
          <w:szCs w:val="44"/>
        </w:rPr>
      </w:pPr>
    </w:p>
    <w:p w14:paraId="3074EE86"/>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924618"/>
    </w:sdtPr>
    <w:sdtEndPr>
      <w:rPr>
        <w:rFonts w:asciiTheme="minorEastAsia" w:hAnsiTheme="minorEastAsia"/>
        <w:sz w:val="28"/>
        <w:szCs w:val="28"/>
      </w:rPr>
    </w:sdtEndPr>
    <w:sdtContent>
      <w:p w14:paraId="07517ABB">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52717D8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112877"/>
    </w:sdtPr>
    <w:sdtEndPr>
      <w:rPr>
        <w:rFonts w:asciiTheme="minorEastAsia" w:hAnsiTheme="minorEastAsia"/>
        <w:sz w:val="28"/>
        <w:szCs w:val="28"/>
      </w:rPr>
    </w:sdtEndPr>
    <w:sdtContent>
      <w:p w14:paraId="3D358C91">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zMzU4MDMwZjY3N2RmNTg0ZWYyODZkODc1YmY5YjkifQ=="/>
  </w:docVars>
  <w:rsids>
    <w:rsidRoot w:val="00594DB4"/>
    <w:rsid w:val="00184D33"/>
    <w:rsid w:val="00192709"/>
    <w:rsid w:val="002444A1"/>
    <w:rsid w:val="0033213A"/>
    <w:rsid w:val="004F31DF"/>
    <w:rsid w:val="00594DB4"/>
    <w:rsid w:val="009C79CC"/>
    <w:rsid w:val="00E42C0E"/>
    <w:rsid w:val="00F21407"/>
    <w:rsid w:val="00F41408"/>
    <w:rsid w:val="13056A09"/>
    <w:rsid w:val="432D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semiHidden/>
    <w:unhideWhenUsed/>
    <w:qFormat/>
    <w:uiPriority w:val="99"/>
    <w:pPr>
      <w:spacing w:line="560" w:lineRule="exact"/>
      <w:ind w:firstLine="640" w:firstLineChars="200"/>
    </w:pPr>
    <w:rPr>
      <w:rFonts w:ascii="仿宋_GB2312" w:hAnsi="仿宋_GB2312" w:eastAsia="仿宋_GB2312" w:cs="仿宋_GB2312"/>
      <w:color w:val="000000" w:themeColor="text1"/>
      <w:sz w:val="32"/>
      <w:szCs w:val="32"/>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100" w:beforeAutospacing="1" w:after="100" w:afterAutospacing="1"/>
      <w:jc w:val="left"/>
    </w:pPr>
    <w:rPr>
      <w:rFonts w:asciiTheme="minorHAnsi" w:hAnsiTheme="minorHAnsi" w:eastAsiaTheme="minorEastAsia"/>
      <w:sz w:val="24"/>
      <w:szCs w:val="22"/>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semiHidden/>
    <w:qFormat/>
    <w:uiPriority w:val="99"/>
    <w:rPr>
      <w:rFonts w:ascii="仿宋_GB2312" w:hAnsi="仿宋_GB2312" w:eastAsia="仿宋_GB2312" w:cs="仿宋_GB2312"/>
      <w:color w:val="000000" w:themeColor="text1"/>
      <w:sz w:val="32"/>
      <w:szCs w:val="32"/>
    </w:rPr>
  </w:style>
  <w:style w:type="character" w:customStyle="1" w:styleId="12">
    <w:name w:val="fontstyle01"/>
    <w:basedOn w:val="8"/>
    <w:qFormat/>
    <w:uiPriority w:val="0"/>
    <w:rPr>
      <w:rFonts w:hint="eastAsia" w:ascii="仿宋_GB2312" w:eastAsia="仿宋_GB2312"/>
      <w:color w:val="000000"/>
      <w:sz w:val="32"/>
      <w:szCs w:val="32"/>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4732</Words>
  <Characters>4811</Characters>
  <Lines>37</Lines>
  <Paragraphs>10</Paragraphs>
  <TotalTime>8</TotalTime>
  <ScaleCrop>false</ScaleCrop>
  <LinksUpToDate>false</LinksUpToDate>
  <CharactersWithSpaces>4861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2024-09-13T03:06:00Z</dcterms:created>
  <dc:creator>User</dc:creator>
  <cp:lastModifiedBy>Santiago</cp:lastModifiedBy>
  <dcterms:modified xsi:type="dcterms:W3CDTF">2024-09-13T03:25:25Z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B715705249A74C2BAA386DA6F5FE1781_12</vt:lpwstr>
  </property>
</Properties>
</file>