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9901B">
      <w:pPr>
        <w:pStyle w:val="12"/>
        <w:jc w:val="both"/>
      </w:pPr>
      <w:bookmarkStart w:id="0" w:name="_GoBack"/>
      <w:bookmarkEnd w:id="0"/>
    </w:p>
    <w:p w14:paraId="39FCD9EC">
      <w:pPr>
        <w:pStyle w:val="12"/>
      </w:pPr>
    </w:p>
    <w:p w14:paraId="1662EFBB">
      <w:pPr>
        <w:pStyle w:val="12"/>
      </w:pPr>
    </w:p>
    <w:p w14:paraId="57171A0A">
      <w:pPr>
        <w:pStyle w:val="12"/>
      </w:pPr>
    </w:p>
    <w:p w14:paraId="7857D9EA">
      <w:pPr>
        <w:pStyle w:val="12"/>
      </w:pPr>
    </w:p>
    <w:p w14:paraId="1D1D2C00">
      <w:pPr>
        <w:pStyle w:val="12"/>
      </w:pPr>
      <w:r>
        <w:rPr>
          <w:rFonts w:hint="eastAsia"/>
        </w:rPr>
        <w:t>青岛董家口化工产业园</w:t>
      </w:r>
    </w:p>
    <w:p w14:paraId="675ECA26">
      <w:pPr>
        <w:pStyle w:val="12"/>
      </w:pPr>
      <w:r>
        <w:rPr>
          <w:rFonts w:hint="eastAsia"/>
        </w:rPr>
        <w:t>2025年监测报告</w:t>
      </w:r>
    </w:p>
    <w:p w14:paraId="202AF02F">
      <w:pPr>
        <w:pStyle w:val="12"/>
        <w:jc w:val="both"/>
      </w:pPr>
    </w:p>
    <w:p w14:paraId="14343310">
      <w:pPr>
        <w:pStyle w:val="12"/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8844B6">
      <w:pPr>
        <w:ind w:firstLine="0" w:firstLineChars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综述</w:t>
      </w:r>
    </w:p>
    <w:p w14:paraId="77886B51">
      <w:pPr>
        <w:ind w:firstLine="640"/>
      </w:pPr>
      <w:r>
        <w:rPr>
          <w:rFonts w:hint="eastAsia"/>
        </w:rPr>
        <w:t>为保障园区及周边区域环境质量，及时掌握园区对区域环境质量的影响，董家口化工产业园落实规划环评跟踪监测计划，2025年组织对地表水、地下水、海水水质、声环境等进行监测，根据监测结果编制如下监测报告。</w:t>
      </w:r>
    </w:p>
    <w:p w14:paraId="7E46B186">
      <w:pPr>
        <w:pStyle w:val="2"/>
        <w:ind w:firstLine="640"/>
      </w:pPr>
      <w:r>
        <w:rPr>
          <w:rFonts w:hint="eastAsia"/>
        </w:rPr>
        <w:t>一、地表水环境</w:t>
      </w:r>
    </w:p>
    <w:p w14:paraId="79FCE71D">
      <w:pPr>
        <w:ind w:firstLine="640"/>
      </w:pPr>
      <w:r>
        <w:rPr>
          <w:rFonts w:hint="eastAsia"/>
        </w:rPr>
        <w:t>1.监测点位及监测因子</w:t>
      </w:r>
    </w:p>
    <w:p w14:paraId="4623241B">
      <w:pPr>
        <w:ind w:firstLine="640"/>
      </w:pPr>
      <w:r>
        <w:rPr>
          <w:rFonts w:hint="eastAsia"/>
        </w:rPr>
        <w:t>本次监测共设置了3个地表水（横河）监测点位，分别为横河贡北路断面、横河滨海大道断面及横河集成路断面，2025年共监测8次，监测因子主要有1,2-二氯乙烷，氯乙烯、苯乙烯、苯、二甲苯、甲苯、乙苯、活性氯等园区特征污染物。</w:t>
      </w:r>
    </w:p>
    <w:p w14:paraId="5D26F0EC">
      <w:pPr>
        <w:ind w:firstLine="640"/>
      </w:pPr>
      <w:r>
        <w:rPr>
          <w:rFonts w:hint="eastAsia"/>
        </w:rPr>
        <w:t>2.监测数据</w:t>
      </w:r>
    </w:p>
    <w:p w14:paraId="3C0FA717">
      <w:pPr>
        <w:ind w:firstLine="640"/>
      </w:pPr>
      <w:r>
        <w:rPr>
          <w:rFonts w:hint="eastAsia"/>
        </w:rPr>
        <w:t>1,2-二氯乙烷，氯乙烯、苯乙烯、苯、甲苯、乙苯、二甲苯、活性氯年均值分别为0.0052mg/L、＜0.0005mg/L（低于检出限）、＜0.0002mg/L（低于检出限）、＜0.0004mg/L（低于检出限）、＜0.0003mg/L（低于检出限）、＜0.0003mg/L（低于检出限）、＜0.0002mg/L（低于检出限）、＜0.004mg/L（低于检出限）。</w:t>
      </w:r>
    </w:p>
    <w:p w14:paraId="514EAB2C">
      <w:pPr>
        <w:ind w:firstLine="640"/>
      </w:pPr>
      <w:r>
        <w:rPr>
          <w:rFonts w:hint="eastAsia"/>
        </w:rPr>
        <w:t>3.监测结果</w:t>
      </w:r>
    </w:p>
    <w:p w14:paraId="077A3361">
      <w:pPr>
        <w:ind w:firstLine="640"/>
      </w:pPr>
      <w:r>
        <w:rPr>
          <w:rFonts w:hint="eastAsia"/>
        </w:rPr>
        <w:t>园区特征污染物均满足《地表水环境质量标准》（GB3838-2002）表3集中式生活饮用水地表水源地特定项目标准限值。</w:t>
      </w:r>
    </w:p>
    <w:p w14:paraId="479AF4F3">
      <w:pPr>
        <w:pStyle w:val="13"/>
        <w:ind w:firstLine="560"/>
      </w:pPr>
      <w:r>
        <w:rPr>
          <w:rFonts w:hint="eastAsia"/>
        </w:rPr>
        <w:t>*1.横河为季节性入海河流，园区河段均处于感潮河段。</w:t>
      </w:r>
    </w:p>
    <w:p w14:paraId="6BE7922A">
      <w:pPr>
        <w:pStyle w:val="13"/>
        <w:ind w:firstLine="560"/>
      </w:pPr>
      <w:r>
        <w:rPr>
          <w:rFonts w:hint="eastAsia"/>
        </w:rPr>
        <w:t>2.园区污水经园区污水处理厂处理后离岸深海排放，不与该河流发生水力联系。</w:t>
      </w:r>
    </w:p>
    <w:p w14:paraId="089AB1CB">
      <w:pPr>
        <w:pStyle w:val="2"/>
        <w:ind w:firstLine="640"/>
      </w:pPr>
      <w:r>
        <w:rPr>
          <w:rFonts w:hint="eastAsia"/>
        </w:rPr>
        <w:t>二、地下水环境</w:t>
      </w:r>
    </w:p>
    <w:p w14:paraId="311C14D7">
      <w:pPr>
        <w:ind w:firstLine="640"/>
      </w:pPr>
      <w:r>
        <w:rPr>
          <w:rFonts w:hint="eastAsia"/>
        </w:rPr>
        <w:t>1.监测点位及监测因子</w:t>
      </w:r>
    </w:p>
    <w:p w14:paraId="507C1E2E">
      <w:pPr>
        <w:ind w:firstLine="640"/>
      </w:pPr>
      <w:r>
        <w:rPr>
          <w:rFonts w:hint="eastAsia"/>
        </w:rPr>
        <w:t>本次监测共设置了15个地下水监测点位，分别为海力加、金能化学、康尼尔、双星轮胎、实华加气站、青岛特钢、岭前头、西小滩村、营上村、常河店、孙家庄村、尹家圈村、高家庄村、泊里河南村、西封家村。监测频率为丰水期、平水期、枯水期各一次，监测因子包括K</w:t>
      </w:r>
      <w:r>
        <w:rPr>
          <w:rFonts w:hint="eastAsia"/>
          <w:vertAlign w:val="superscript"/>
        </w:rPr>
        <w:t>+</w:t>
      </w:r>
      <w:r>
        <w:rPr>
          <w:rFonts w:hint="eastAsia"/>
        </w:rPr>
        <w:t>、Na</w:t>
      </w:r>
      <w:r>
        <w:rPr>
          <w:rFonts w:hint="eastAsia"/>
          <w:vertAlign w:val="superscript"/>
        </w:rPr>
        <w:t>+</w:t>
      </w:r>
      <w:r>
        <w:rPr>
          <w:rFonts w:hint="eastAsia"/>
        </w:rPr>
        <w:t>、Ca</w:t>
      </w:r>
      <w:r>
        <w:rPr>
          <w:rFonts w:hint="eastAsia"/>
          <w:vertAlign w:val="superscript"/>
        </w:rPr>
        <w:t>2+</w:t>
      </w:r>
      <w:r>
        <w:rPr>
          <w:rFonts w:hint="eastAsia"/>
        </w:rPr>
        <w:t>、Mg</w:t>
      </w:r>
      <w:r>
        <w:rPr>
          <w:rFonts w:hint="eastAsia"/>
          <w:vertAlign w:val="superscript"/>
        </w:rPr>
        <w:t>2+</w:t>
      </w:r>
      <w:r>
        <w:rPr>
          <w:rFonts w:hint="eastAsia"/>
        </w:rPr>
        <w:t>、碳酸盐、重碳酸盐、硫酸盐、氯化物、pH值、总硬度、溶解性总固体、铁、锰、铜、锌、铝、挥发酚、阴离子表面活性剂、耗氧量、氨氮（以N计）、硫化物、总大肠菌群、细菌总数、亚硝酸盐氮（以N计）、硝酸盐（以N计）、氰化物、碘化物、氟化物、汞、砷、硒、镉、六价铬、铅、三氯甲烷、四氯化碳、苯、甲苯、1,2-二氯乙烷、铬、钡、镍、甲醛、乙醛、乙苯、氯乙烯、甲醇、丙酮、异丙苯、环氧氯丙烷、丙烯酸、全盐量、总氮、石油类、钒、可吸附有机卤素（AOX）、苯并[α]芘、邻-二甲苯、间,对-二甲苯、苯乙烯、丙烯腈、双酚A、氯苯、二氯甲烷、1,4-二氯苯、乙腈、铍、硼、锑、钴、钼、银、铊。</w:t>
      </w:r>
    </w:p>
    <w:p w14:paraId="059B51AB">
      <w:pPr>
        <w:ind w:firstLine="640"/>
      </w:pPr>
      <w:r>
        <w:rPr>
          <w:rFonts w:hint="eastAsia"/>
        </w:rPr>
        <w:t>2.监测数据</w:t>
      </w:r>
    </w:p>
    <w:p w14:paraId="0C4B594F">
      <w:pPr>
        <w:ind w:firstLine="640"/>
      </w:pPr>
      <w:r>
        <w:rPr>
          <w:rFonts w:hint="eastAsia" w:hAnsi="微软雅黑" w:cs="宋体"/>
          <w:kern w:val="0"/>
          <w:szCs w:val="32"/>
        </w:rPr>
        <w:t>园区</w:t>
      </w:r>
      <w:r>
        <w:rPr>
          <w:rFonts w:hAnsi="微软雅黑" w:cs="宋体"/>
          <w:kern w:val="0"/>
          <w:szCs w:val="32"/>
        </w:rPr>
        <w:t>监测</w:t>
      </w:r>
      <w:r>
        <w:rPr>
          <w:rFonts w:hint="eastAsia" w:hAnsi="微软雅黑" w:cs="宋体"/>
          <w:kern w:val="0"/>
          <w:szCs w:val="32"/>
        </w:rPr>
        <w:t>点位</w:t>
      </w:r>
      <w:r>
        <w:rPr>
          <w:rFonts w:hAnsi="微软雅黑" w:cs="宋体"/>
          <w:kern w:val="0"/>
          <w:szCs w:val="32"/>
        </w:rPr>
        <w:t>特征污染物</w:t>
      </w:r>
      <w:r>
        <w:rPr>
          <w:rFonts w:hint="eastAsia" w:hAnsi="微软雅黑" w:cs="宋体"/>
          <w:kern w:val="0"/>
          <w:szCs w:val="32"/>
        </w:rPr>
        <w:t>苯、甲苯、二甲苯、阴离子表面活性剂、汞、三氯甲烷、四氯化碳、苯乙烯、乙苯、氯乙烯、1,2-二氯乙烷、甲醇、丙酮等监测数值均低于检出限。</w:t>
      </w:r>
    </w:p>
    <w:p w14:paraId="185ABCAC">
      <w:pPr>
        <w:ind w:firstLine="640"/>
      </w:pPr>
      <w:r>
        <w:rPr>
          <w:rFonts w:hint="eastAsia"/>
        </w:rPr>
        <w:t>3.监测结果</w:t>
      </w:r>
    </w:p>
    <w:p w14:paraId="7E226C1B">
      <w:pPr>
        <w:ind w:firstLine="640"/>
        <w:rPr>
          <w:rFonts w:hAnsi="微软雅黑" w:cs="宋体"/>
          <w:kern w:val="0"/>
          <w:szCs w:val="32"/>
        </w:rPr>
      </w:pPr>
      <w:r>
        <w:rPr>
          <w:rFonts w:hint="eastAsia" w:hAnsi="微软雅黑" w:cs="宋体"/>
          <w:kern w:val="0"/>
          <w:szCs w:val="32"/>
        </w:rPr>
        <w:t>园区地下水水质状况良好，除个别点位个别时段出现氯化物等短时超标外，其他监测因子均满足《地下水质量标准》（GBT14848-2017）Ⅳ类标准，园区特征污染物均未检出。</w:t>
      </w:r>
    </w:p>
    <w:p w14:paraId="3532847F">
      <w:pPr>
        <w:pStyle w:val="2"/>
        <w:ind w:firstLine="640"/>
      </w:pPr>
      <w:r>
        <w:rPr>
          <w:rFonts w:hint="eastAsia"/>
        </w:rPr>
        <w:t>三、海水水质</w:t>
      </w:r>
    </w:p>
    <w:p w14:paraId="033D8064">
      <w:pPr>
        <w:ind w:firstLine="640"/>
      </w:pPr>
      <w:r>
        <w:rPr>
          <w:rFonts w:hint="eastAsia"/>
        </w:rPr>
        <w:t>1.监测点位及监测因子</w:t>
      </w:r>
    </w:p>
    <w:p w14:paraId="3345899D">
      <w:pPr>
        <w:ind w:firstLine="640"/>
      </w:pPr>
      <w:r>
        <w:rPr>
          <w:rFonts w:hint="eastAsia"/>
        </w:rPr>
        <w:t>本次监测共设置12个海水水质监测点位， 2</w:t>
      </w:r>
      <w:r>
        <w:t>025</w:t>
      </w:r>
      <w:r>
        <w:rPr>
          <w:rFonts w:hint="eastAsia"/>
        </w:rPr>
        <w:t>年监测一次，</w:t>
      </w:r>
      <w:r>
        <w:rPr>
          <w:rFonts w:hint="eastAsia" w:hAnsi="微软雅黑" w:cs="宋体"/>
          <w:kern w:val="0"/>
          <w:szCs w:val="32"/>
        </w:rPr>
        <w:t>监测因子包括</w:t>
      </w:r>
      <w:r>
        <w:rPr>
          <w:rFonts w:hAnsi="微软雅黑" w:cs="宋体"/>
          <w:kern w:val="0"/>
          <w:szCs w:val="32"/>
        </w:rPr>
        <w:t>pH、无机氮、活性磷酸盐、化学需氧量、石</w:t>
      </w:r>
      <w:r>
        <w:rPr>
          <w:rFonts w:hint="eastAsia" w:hAnsi="微软雅黑" w:cs="宋体"/>
          <w:kern w:val="0"/>
          <w:szCs w:val="32"/>
        </w:rPr>
        <w:t>油类。</w:t>
      </w:r>
    </w:p>
    <w:p w14:paraId="5C732A30">
      <w:pPr>
        <w:ind w:firstLine="640"/>
      </w:pPr>
      <w:r>
        <w:rPr>
          <w:rFonts w:hint="eastAsia"/>
        </w:rPr>
        <w:t>2.监测数据</w:t>
      </w:r>
    </w:p>
    <w:p w14:paraId="0C1B6581">
      <w:pPr>
        <w:ind w:firstLine="640"/>
        <w:rPr>
          <w:rFonts w:hAnsi="微软雅黑" w:cs="宋体"/>
          <w:kern w:val="0"/>
          <w:szCs w:val="32"/>
        </w:rPr>
      </w:pPr>
      <w:r>
        <w:rPr>
          <w:rFonts w:hint="eastAsia" w:hAnsi="微软雅黑" w:cs="宋体"/>
          <w:kern w:val="0"/>
          <w:szCs w:val="32"/>
        </w:rPr>
        <w:t>一类海域水质污染物均值分别为pH7.95（无量纲）、无机氮0.144mg/L、活性磷酸盐＜0.004mg/L、化学需氧量0.845mg/L、石油类＜0.01mg/L。</w:t>
      </w:r>
    </w:p>
    <w:p w14:paraId="447598CC">
      <w:pPr>
        <w:ind w:firstLine="640"/>
        <w:rPr>
          <w:rFonts w:hAnsi="微软雅黑" w:cs="宋体"/>
          <w:kern w:val="0"/>
          <w:szCs w:val="32"/>
        </w:rPr>
      </w:pPr>
      <w:r>
        <w:rPr>
          <w:rFonts w:hint="eastAsia" w:hAnsi="微软雅黑" w:cs="宋体"/>
          <w:kern w:val="0"/>
          <w:szCs w:val="32"/>
        </w:rPr>
        <w:t>四类海域水质污染物均值分别为pH7.98（无量纲）、无机氮0.174mg/L、活性磷酸盐＜0.004mg/L、化学需氧量0.935mg/L、石油类＜0.01mg/L。</w:t>
      </w:r>
    </w:p>
    <w:p w14:paraId="7C53BC32">
      <w:pPr>
        <w:ind w:firstLine="640"/>
      </w:pPr>
      <w:r>
        <w:rPr>
          <w:rFonts w:hint="eastAsia"/>
        </w:rPr>
        <w:t>3.监测结果</w:t>
      </w:r>
    </w:p>
    <w:p w14:paraId="355C3076">
      <w:pPr>
        <w:ind w:firstLine="640"/>
      </w:pPr>
      <w:r>
        <w:rPr>
          <w:rFonts w:hint="eastAsia" w:hAnsi="微软雅黑" w:cs="宋体"/>
          <w:kern w:val="0"/>
          <w:szCs w:val="32"/>
        </w:rPr>
        <w:t>一类海域水质各监测因子均满足《海水水质标准》（GB3097-1997）第一类海水</w:t>
      </w:r>
      <w:r>
        <w:rPr>
          <w:rFonts w:hAnsi="微软雅黑" w:cs="宋体"/>
          <w:kern w:val="0"/>
          <w:szCs w:val="32"/>
        </w:rPr>
        <w:t>水质</w:t>
      </w:r>
      <w:r>
        <w:rPr>
          <w:rFonts w:hint="eastAsia" w:hAnsi="微软雅黑" w:cs="宋体"/>
          <w:kern w:val="0"/>
          <w:szCs w:val="32"/>
        </w:rPr>
        <w:t>标准，四类海域水质各监测因子均满足《海水水质标准》（GB3097-1997）第四类海水</w:t>
      </w:r>
      <w:r>
        <w:rPr>
          <w:rFonts w:hAnsi="微软雅黑" w:cs="宋体"/>
          <w:kern w:val="0"/>
          <w:szCs w:val="32"/>
        </w:rPr>
        <w:t>水质</w:t>
      </w:r>
      <w:r>
        <w:rPr>
          <w:rFonts w:hint="eastAsia" w:hAnsi="微软雅黑" w:cs="宋体"/>
          <w:kern w:val="0"/>
          <w:szCs w:val="32"/>
        </w:rPr>
        <w:t>标准。</w:t>
      </w:r>
    </w:p>
    <w:p w14:paraId="7EB507BB">
      <w:pPr>
        <w:pStyle w:val="2"/>
        <w:ind w:firstLine="640"/>
      </w:pPr>
      <w:r>
        <w:rPr>
          <w:rFonts w:hint="eastAsia"/>
        </w:rPr>
        <w:t>四、声环境</w:t>
      </w:r>
    </w:p>
    <w:p w14:paraId="24E2D0E8">
      <w:pPr>
        <w:ind w:firstLine="640"/>
      </w:pPr>
      <w:r>
        <w:rPr>
          <w:rFonts w:hint="eastAsia"/>
        </w:rPr>
        <w:t>1.监测点位及监测因子</w:t>
      </w:r>
    </w:p>
    <w:p w14:paraId="0E39F3CF">
      <w:pPr>
        <w:ind w:firstLine="640"/>
      </w:pPr>
      <w:r>
        <w:rPr>
          <w:rFonts w:hint="eastAsia" w:hAnsi="微软雅黑" w:cs="宋体"/>
          <w:kern w:val="0"/>
          <w:szCs w:val="32"/>
        </w:rPr>
        <w:t>本次监测共设置了</w:t>
      </w:r>
      <w:r>
        <w:rPr>
          <w:rFonts w:hAnsi="微软雅黑" w:cs="宋体"/>
          <w:kern w:val="0"/>
          <w:szCs w:val="32"/>
        </w:rPr>
        <w:t>9</w:t>
      </w:r>
      <w:r>
        <w:rPr>
          <w:rFonts w:hint="eastAsia" w:hAnsi="微软雅黑" w:cs="宋体"/>
          <w:kern w:val="0"/>
          <w:szCs w:val="32"/>
        </w:rPr>
        <w:t>个声环境监测点位，分别为蓝领公寓、金能化学厂界、双星轮胎厂界、海湾化学厂界、横河西路、横河东路、滨海大道、钢厂路、港润大道。2025年共监测2次，监测因子为昼间等效A声级和夜间等效A声级。</w:t>
      </w:r>
    </w:p>
    <w:p w14:paraId="4ADF6E46">
      <w:pPr>
        <w:ind w:firstLine="640"/>
      </w:pPr>
      <w:r>
        <w:rPr>
          <w:rFonts w:hint="eastAsia"/>
        </w:rPr>
        <w:t>2.监测数据</w:t>
      </w:r>
    </w:p>
    <w:p w14:paraId="4468E3CC">
      <w:pPr>
        <w:ind w:firstLine="640"/>
      </w:pPr>
      <w:r>
        <w:rPr>
          <w:rFonts w:hAnsi="微软雅黑" w:cs="宋体"/>
          <w:kern w:val="0"/>
          <w:szCs w:val="32"/>
        </w:rPr>
        <w:t>园区</w:t>
      </w:r>
      <w:r>
        <w:rPr>
          <w:rFonts w:hint="eastAsia" w:hAnsi="微软雅黑" w:cs="宋体"/>
          <w:kern w:val="0"/>
          <w:szCs w:val="32"/>
        </w:rPr>
        <w:t>外敏感</w:t>
      </w:r>
      <w:r>
        <w:rPr>
          <w:rFonts w:hAnsi="微软雅黑" w:cs="宋体"/>
          <w:kern w:val="0"/>
          <w:szCs w:val="32"/>
        </w:rPr>
        <w:t>目标</w:t>
      </w:r>
      <w:r>
        <w:rPr>
          <w:rFonts w:hint="eastAsia" w:hAnsi="微软雅黑" w:cs="宋体"/>
          <w:kern w:val="0"/>
          <w:szCs w:val="32"/>
        </w:rPr>
        <w:t>噪声昼间57</w:t>
      </w:r>
      <w:r>
        <w:rPr>
          <w:rFonts w:hAnsi="微软雅黑" w:cs="宋体"/>
          <w:kern w:val="0"/>
          <w:szCs w:val="32"/>
        </w:rPr>
        <w:t>dB</w:t>
      </w:r>
      <w:r>
        <w:rPr>
          <w:rFonts w:hint="eastAsia" w:hAnsi="微软雅黑" w:cs="宋体"/>
          <w:kern w:val="0"/>
          <w:szCs w:val="32"/>
        </w:rPr>
        <w:t>(A)、夜间47</w:t>
      </w:r>
      <w:r>
        <w:rPr>
          <w:rFonts w:hAnsi="微软雅黑" w:cs="宋体"/>
          <w:kern w:val="0"/>
          <w:szCs w:val="32"/>
        </w:rPr>
        <w:t>dB</w:t>
      </w:r>
      <w:r>
        <w:rPr>
          <w:rFonts w:hint="eastAsia" w:hAnsi="微软雅黑" w:cs="宋体"/>
          <w:kern w:val="0"/>
          <w:szCs w:val="32"/>
        </w:rPr>
        <w:t>(A)，园区重点</w:t>
      </w:r>
      <w:r>
        <w:rPr>
          <w:rFonts w:hAnsi="微软雅黑" w:cs="宋体"/>
          <w:kern w:val="0"/>
          <w:szCs w:val="32"/>
        </w:rPr>
        <w:t>企业厂界</w:t>
      </w:r>
      <w:r>
        <w:rPr>
          <w:rFonts w:hint="eastAsia" w:hAnsi="微软雅黑" w:cs="宋体"/>
          <w:kern w:val="0"/>
          <w:szCs w:val="32"/>
        </w:rPr>
        <w:t>噪声昼间57</w:t>
      </w:r>
      <w:r>
        <w:rPr>
          <w:rFonts w:hAnsi="微软雅黑" w:cs="宋体"/>
          <w:kern w:val="0"/>
          <w:szCs w:val="32"/>
        </w:rPr>
        <w:t>dB</w:t>
      </w:r>
      <w:r>
        <w:rPr>
          <w:rFonts w:hint="eastAsia" w:hAnsi="微软雅黑" w:cs="宋体"/>
          <w:kern w:val="0"/>
          <w:szCs w:val="32"/>
        </w:rPr>
        <w:t>(A)、夜间47</w:t>
      </w:r>
      <w:r>
        <w:rPr>
          <w:rFonts w:hAnsi="微软雅黑" w:cs="宋体"/>
          <w:kern w:val="0"/>
          <w:szCs w:val="32"/>
        </w:rPr>
        <w:t>dB</w:t>
      </w:r>
      <w:r>
        <w:rPr>
          <w:rFonts w:hint="eastAsia" w:hAnsi="微软雅黑" w:cs="宋体"/>
          <w:kern w:val="0"/>
          <w:szCs w:val="32"/>
        </w:rPr>
        <w:t>(A)，主要</w:t>
      </w:r>
      <w:r>
        <w:rPr>
          <w:rFonts w:hAnsi="微软雅黑" w:cs="宋体"/>
          <w:kern w:val="0"/>
          <w:szCs w:val="32"/>
        </w:rPr>
        <w:t>道路</w:t>
      </w:r>
      <w:r>
        <w:rPr>
          <w:rFonts w:hint="eastAsia" w:hAnsi="微软雅黑" w:cs="宋体"/>
          <w:kern w:val="0"/>
          <w:szCs w:val="32"/>
        </w:rPr>
        <w:t>噪声昼间58</w:t>
      </w:r>
      <w:r>
        <w:rPr>
          <w:rFonts w:hAnsi="微软雅黑" w:cs="宋体"/>
          <w:kern w:val="0"/>
          <w:szCs w:val="32"/>
        </w:rPr>
        <w:t>dB</w:t>
      </w:r>
      <w:r>
        <w:rPr>
          <w:rFonts w:hint="eastAsia" w:hAnsi="微软雅黑" w:cs="宋体"/>
          <w:kern w:val="0"/>
          <w:szCs w:val="32"/>
        </w:rPr>
        <w:t>(A)、夜间47</w:t>
      </w:r>
      <w:r>
        <w:rPr>
          <w:rFonts w:hAnsi="微软雅黑" w:cs="宋体"/>
          <w:kern w:val="0"/>
          <w:szCs w:val="32"/>
        </w:rPr>
        <w:t>dB</w:t>
      </w:r>
      <w:r>
        <w:rPr>
          <w:rFonts w:hint="eastAsia" w:hAnsi="微软雅黑" w:cs="宋体"/>
          <w:kern w:val="0"/>
          <w:szCs w:val="32"/>
        </w:rPr>
        <w:t>(A)。</w:t>
      </w:r>
    </w:p>
    <w:p w14:paraId="112CCA2D">
      <w:pPr>
        <w:ind w:firstLine="640"/>
      </w:pPr>
      <w:r>
        <w:rPr>
          <w:rFonts w:hint="eastAsia"/>
        </w:rPr>
        <w:t>3.监测结果</w:t>
      </w:r>
    </w:p>
    <w:p w14:paraId="3D0AE7C9">
      <w:pPr>
        <w:ind w:firstLine="640"/>
      </w:pPr>
      <w:r>
        <w:rPr>
          <w:rFonts w:hint="eastAsia" w:hAnsi="微软雅黑" w:cs="宋体"/>
          <w:kern w:val="0"/>
          <w:szCs w:val="32"/>
        </w:rPr>
        <w:t>园区外敏感目标昼间、夜间均满足《声环境质量标准》2类声环境功能区环境噪声限值，园区主要企业厂界昼间、夜间均满足《声环境质量标准》3类声环境功能区环境噪声限值，主要道路昼间、夜间均满足《声环境质量标准》4a类声环境功能区环境噪声限值。</w:t>
      </w:r>
    </w:p>
    <w:sectPr>
      <w:footerReference r:id="rId7" w:type="default"/>
      <w:pgSz w:w="11906" w:h="16838"/>
      <w:pgMar w:top="2098" w:right="1474" w:bottom="1984" w:left="1587" w:header="851" w:footer="1587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33B7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9C37">
    <w:pPr>
      <w:pStyle w:val="6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F7D19">
                          <w:pPr>
                            <w:pStyle w:val="6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F7D19">
                    <w:pPr>
                      <w:pStyle w:val="6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83529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80612"/>
    <w:rsid w:val="003875AE"/>
    <w:rsid w:val="003F6E8F"/>
    <w:rsid w:val="005C05D8"/>
    <w:rsid w:val="00720613"/>
    <w:rsid w:val="007F632E"/>
    <w:rsid w:val="00C64F6B"/>
    <w:rsid w:val="00C73218"/>
    <w:rsid w:val="00E41FB0"/>
    <w:rsid w:val="00E91C89"/>
    <w:rsid w:val="00EB3E1B"/>
    <w:rsid w:val="00F3453F"/>
    <w:rsid w:val="040E4592"/>
    <w:rsid w:val="07027CB2"/>
    <w:rsid w:val="08481AF0"/>
    <w:rsid w:val="0AD80612"/>
    <w:rsid w:val="0CED38B9"/>
    <w:rsid w:val="0FCC0171"/>
    <w:rsid w:val="11E22BBA"/>
    <w:rsid w:val="135018AF"/>
    <w:rsid w:val="14330D86"/>
    <w:rsid w:val="15467704"/>
    <w:rsid w:val="16D36F75"/>
    <w:rsid w:val="18EA6F23"/>
    <w:rsid w:val="18FF4764"/>
    <w:rsid w:val="191952E8"/>
    <w:rsid w:val="1AFD6FC7"/>
    <w:rsid w:val="1BA70429"/>
    <w:rsid w:val="1DBA50C5"/>
    <w:rsid w:val="1F334048"/>
    <w:rsid w:val="1FEC4DFC"/>
    <w:rsid w:val="20BF1705"/>
    <w:rsid w:val="21771C10"/>
    <w:rsid w:val="22D8400C"/>
    <w:rsid w:val="23BD6200"/>
    <w:rsid w:val="2A8E33A7"/>
    <w:rsid w:val="2B265929"/>
    <w:rsid w:val="2D0E2A7A"/>
    <w:rsid w:val="2D8045DF"/>
    <w:rsid w:val="30BA24F3"/>
    <w:rsid w:val="31554C66"/>
    <w:rsid w:val="32DC157A"/>
    <w:rsid w:val="34E20283"/>
    <w:rsid w:val="35B122D9"/>
    <w:rsid w:val="3A9A2DFA"/>
    <w:rsid w:val="3B402BB5"/>
    <w:rsid w:val="3C4C2D12"/>
    <w:rsid w:val="3CB011D4"/>
    <w:rsid w:val="3EBB2C44"/>
    <w:rsid w:val="3FE126A5"/>
    <w:rsid w:val="40642A6C"/>
    <w:rsid w:val="44D373EA"/>
    <w:rsid w:val="45716B9D"/>
    <w:rsid w:val="463F3128"/>
    <w:rsid w:val="471561E0"/>
    <w:rsid w:val="4DA87C2C"/>
    <w:rsid w:val="4E7567C2"/>
    <w:rsid w:val="516253C2"/>
    <w:rsid w:val="52534613"/>
    <w:rsid w:val="52AA6800"/>
    <w:rsid w:val="561C5C67"/>
    <w:rsid w:val="56B712D4"/>
    <w:rsid w:val="56CB3F9E"/>
    <w:rsid w:val="57715B3F"/>
    <w:rsid w:val="578B1A41"/>
    <w:rsid w:val="5B503153"/>
    <w:rsid w:val="5C317C44"/>
    <w:rsid w:val="5CE458F6"/>
    <w:rsid w:val="5E832095"/>
    <w:rsid w:val="60E50D3F"/>
    <w:rsid w:val="64CC4C7E"/>
    <w:rsid w:val="64DB7571"/>
    <w:rsid w:val="658A2C66"/>
    <w:rsid w:val="66B0547D"/>
    <w:rsid w:val="673A656D"/>
    <w:rsid w:val="6D9E3E83"/>
    <w:rsid w:val="703D6AAE"/>
    <w:rsid w:val="71B505CF"/>
    <w:rsid w:val="71F00486"/>
    <w:rsid w:val="743636AC"/>
    <w:rsid w:val="744D5040"/>
    <w:rsid w:val="75BE40B8"/>
    <w:rsid w:val="779E770A"/>
    <w:rsid w:val="791E600E"/>
    <w:rsid w:val="7BFE056B"/>
    <w:rsid w:val="7D5817F7"/>
    <w:rsid w:val="7E4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Times New Roman" w:hAnsi="Times New Roman" w:eastAsia="楷体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Balloon Text"/>
    <w:basedOn w:val="1"/>
    <w:link w:val="16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annotation subject"/>
    <w:basedOn w:val="4"/>
    <w:next w:val="4"/>
    <w:link w:val="15"/>
    <w:uiPriority w:val="0"/>
    <w:rPr>
      <w:b/>
      <w:bCs/>
    </w:rPr>
  </w:style>
  <w:style w:type="character" w:styleId="11">
    <w:name w:val="annotation reference"/>
    <w:basedOn w:val="10"/>
    <w:uiPriority w:val="0"/>
    <w:rPr>
      <w:sz w:val="21"/>
      <w:szCs w:val="21"/>
    </w:rPr>
  </w:style>
  <w:style w:type="paragraph" w:customStyle="1" w:styleId="12">
    <w:name w:val="大标题"/>
    <w:basedOn w:val="1"/>
    <w:qFormat/>
    <w:uiPriority w:val="0"/>
    <w:pPr>
      <w:spacing w:line="560" w:lineRule="atLeast"/>
      <w:ind w:firstLine="0" w:firstLineChars="0"/>
      <w:jc w:val="center"/>
    </w:pPr>
    <w:rPr>
      <w:rFonts w:ascii="Times New Roman" w:hAnsi="Times New Roman" w:eastAsia="方正小标宋简体"/>
      <w:sz w:val="72"/>
    </w:rPr>
  </w:style>
  <w:style w:type="paragraph" w:customStyle="1" w:styleId="13">
    <w:name w:val="备注"/>
    <w:basedOn w:val="1"/>
    <w:qFormat/>
    <w:uiPriority w:val="0"/>
    <w:pPr>
      <w:jc w:val="left"/>
    </w:pPr>
    <w:rPr>
      <w:rFonts w:ascii="Times New Roman" w:hAnsi="Times New Roman" w:eastAsia="楷体"/>
      <w:sz w:val="28"/>
    </w:rPr>
  </w:style>
  <w:style w:type="character" w:customStyle="1" w:styleId="14">
    <w:name w:val="批注文字 Char"/>
    <w:basedOn w:val="10"/>
    <w:link w:val="4"/>
    <w:uiPriority w:val="0"/>
    <w:rPr>
      <w:rFonts w:ascii="仿宋_GB2312" w:hAnsi="仿宋_GB2312" w:eastAsia="仿宋_GB2312" w:cstheme="minorBidi"/>
      <w:kern w:val="2"/>
      <w:sz w:val="32"/>
      <w:szCs w:val="24"/>
    </w:rPr>
  </w:style>
  <w:style w:type="character" w:customStyle="1" w:styleId="15">
    <w:name w:val="批注主题 Char"/>
    <w:basedOn w:val="14"/>
    <w:link w:val="8"/>
    <w:uiPriority w:val="0"/>
    <w:rPr>
      <w:rFonts w:ascii="仿宋_GB2312" w:hAnsi="仿宋_GB2312" w:eastAsia="仿宋_GB2312" w:cstheme="minorBidi"/>
      <w:b/>
      <w:bCs/>
      <w:kern w:val="2"/>
      <w:sz w:val="32"/>
      <w:szCs w:val="24"/>
    </w:rPr>
  </w:style>
  <w:style w:type="character" w:customStyle="1" w:styleId="16">
    <w:name w:val="批注框文本 Char"/>
    <w:basedOn w:val="10"/>
    <w:link w:val="5"/>
    <w:uiPriority w:val="0"/>
    <w:rPr>
      <w:rFonts w:ascii="仿宋_GB2312" w:hAnsi="仿宋_GB2312"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267</Words>
  <Characters>289</Characters>
  <Lines>14</Lines>
  <Paragraphs>4</Paragraphs>
  <TotalTime>26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2025-01-06T05:38:00Z</dcterms:created>
  <dc:creator>孤帆远影</dc:creator>
  <cp:lastModifiedBy>whx</cp:lastModifiedBy>
  <cp:lastPrinted>2026-02-10T06:06:00Z</cp:lastPrinted>
  <dcterms:modified xsi:type="dcterms:W3CDTF">2026-02-11T03:33:06Z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566C0F1D886A487B93D556F92B9715BF_13</vt:lpwstr>
  </property>
  <property fmtid="{D5CDD505-2E9C-101B-9397-08002B2CF9AE}" pid="4" name="KSOTemplateDocerSaveRecord">
    <vt:lpwstr>eyJoZGlkIjoiZTVhNTAyZTk4ZGUwNDA4ODQ2NmVkOTk4YjZkMzNlYzgiLCJ1c2VySWQiOiIyNDgzNTAwMjUifQ==</vt:lpwstr>
  </property>
</Properties>
</file>