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7CE9A">
      <w:pPr>
        <w:widowControl/>
        <w:spacing w:before="86" w:line="560" w:lineRule="exact"/>
        <w:jc w:val="left"/>
        <w:rPr>
          <w:rFonts w:ascii="黑体" w:hAnsi="黑体" w:eastAsia="黑体" w:cs="仿宋_GB2312"/>
          <w:color w:val="000000" w:themeColor="text1"/>
          <w:sz w:val="32"/>
          <w:szCs w:val="32"/>
          <w14:textFill>
            <w14:solidFill>
              <w14:schemeClr w14:val="tx1"/>
            </w14:solidFill>
          </w14:textFill>
        </w:rPr>
      </w:pPr>
      <w:bookmarkStart w:id="0" w:name="_Hlk124044342"/>
      <w:r>
        <w:rPr>
          <w:rFonts w:hint="eastAsia" w:ascii="黑体" w:hAnsi="黑体" w:eastAsia="黑体" w:cs="仿宋_GB2312"/>
          <w:color w:val="000000" w:themeColor="text1"/>
          <w:sz w:val="32"/>
          <w:szCs w:val="32"/>
          <w14:textFill>
            <w14:solidFill>
              <w14:schemeClr w14:val="tx1"/>
            </w14:solidFill>
          </w14:textFill>
        </w:rPr>
        <w:t>附件：</w:t>
      </w:r>
    </w:p>
    <w:p w14:paraId="4CCE5F7B">
      <w:pPr>
        <w:widowControl/>
        <w:spacing w:before="86"/>
        <w:ind w:firstLine="880" w:firstLineChars="200"/>
        <w:jc w:val="center"/>
        <w:rPr>
          <w:rFonts w:ascii="方正小标宋简体" w:hAnsi="黑体" w:eastAsia="方正小标宋简体" w:cs="仿宋_GB2312"/>
          <w:color w:val="000000" w:themeColor="text1"/>
          <w:sz w:val="44"/>
          <w:szCs w:val="44"/>
          <w14:textFill>
            <w14:solidFill>
              <w14:schemeClr w14:val="tx1"/>
            </w14:solidFill>
          </w14:textFill>
        </w:rPr>
      </w:pPr>
      <w:r>
        <w:rPr>
          <w:rFonts w:hint="eastAsia" w:ascii="方正小标宋简体" w:hAnsi="黑体" w:eastAsia="方正小标宋简体" w:cs="仿宋_GB2312"/>
          <w:color w:val="000000" w:themeColor="text1"/>
          <w:sz w:val="44"/>
          <w:szCs w:val="44"/>
          <w14:textFill>
            <w14:solidFill>
              <w14:schemeClr w14:val="tx1"/>
            </w14:solidFill>
          </w14:textFill>
        </w:rPr>
        <w:t>青岛市</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黄岛区</w:t>
      </w:r>
      <w:r>
        <w:rPr>
          <w:rFonts w:hint="eastAsia" w:ascii="方正小标宋简体" w:hAnsi="黑体" w:eastAsia="方正小标宋简体" w:cs="仿宋_GB2312"/>
          <w:color w:val="000000" w:themeColor="text1"/>
          <w:sz w:val="44"/>
          <w:szCs w:val="44"/>
          <w14:textFill>
            <w14:solidFill>
              <w14:schemeClr w14:val="tx1"/>
            </w14:solidFill>
          </w14:textFill>
        </w:rPr>
        <w:t>烟草制品零售点间距</w:t>
      </w:r>
    </w:p>
    <w:p w14:paraId="46B1DC52">
      <w:pPr>
        <w:widowControl/>
        <w:spacing w:before="86"/>
        <w:jc w:val="center"/>
        <w:rPr>
          <w:rFonts w:ascii="黑体" w:hAnsi="黑体" w:eastAsia="黑体" w:cs="仿宋_GB2312"/>
          <w:color w:val="000000" w:themeColor="text1"/>
          <w:sz w:val="32"/>
          <w:szCs w:val="32"/>
          <w14:textFill>
            <w14:solidFill>
              <w14:schemeClr w14:val="tx1"/>
            </w14:solidFill>
          </w14:textFill>
        </w:rPr>
      </w:pPr>
      <w:r>
        <w:rPr>
          <w:rFonts w:hint="eastAsia" w:ascii="方正小标宋简体" w:hAnsi="黑体" w:eastAsia="方正小标宋简体" w:cs="仿宋_GB2312"/>
          <w:color w:val="000000" w:themeColor="text1"/>
          <w:sz w:val="44"/>
          <w:szCs w:val="44"/>
          <w14:textFill>
            <w14:solidFill>
              <w14:schemeClr w14:val="tx1"/>
            </w14:solidFill>
          </w14:textFill>
        </w:rPr>
        <w:t>测量规则及标准</w:t>
      </w:r>
    </w:p>
    <w:p w14:paraId="1CB4CA22">
      <w:pPr>
        <w:widowControl/>
        <w:spacing w:before="86" w:line="560" w:lineRule="exact"/>
        <w:ind w:firstLine="640" w:firstLineChars="200"/>
        <w:jc w:val="left"/>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一、测量规则</w:t>
      </w:r>
    </w:p>
    <w:p w14:paraId="307CD2AC">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（一）应当使用符合国家标准的测量工具。</w:t>
      </w:r>
    </w:p>
    <w:p w14:paraId="15ABF5E8">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二）实地测量时，由两名及以上烟草核查人员在申请人或代理人现场见证下完成。最后由申请人或代理人对测量工具、测量过程、测量结果进行书面签字确认。申请人或代理人拒绝签字的，由核查人员在实地核查记录上注明情况。测量过程应当全过程记录，包括但不限于文字记录和音像记录。</w:t>
      </w:r>
    </w:p>
    <w:p w14:paraId="125AEAE9">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（三）申请人、代理人或利害关系人对间距的测量结果有异议的，可以申请重新实地测量一次，以最后一次测量的结果为准。测量时，申请人或代理人、利害关系人和烟草核查人员须同时在场。</w:t>
      </w:r>
    </w:p>
    <w:p w14:paraId="025A3570">
      <w:pPr>
        <w:widowControl/>
        <w:spacing w:before="86" w:line="560" w:lineRule="exact"/>
        <w:ind w:firstLine="640" w:firstLineChars="200"/>
        <w:jc w:val="left"/>
        <w:rPr>
          <w:rFonts w:ascii="仿宋_GB2312" w:hAnsi="仿宋" w:eastAsia="仿宋_GB2312" w:cs="仿宋_GB2312"/>
          <w:color w:val="000000" w:themeColor="text1"/>
          <w:kern w:val="0"/>
          <w:sz w:val="32"/>
          <w:szCs w:val="32"/>
          <w:lang w:bidi="ar"/>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（四）申请点与学校、幼儿园、最近零</w:t>
      </w:r>
      <w:r>
        <w:rPr>
          <w:rFonts w:hint="eastAsia" w:ascii="仿宋_GB2312" w:hAnsi="仿宋" w:eastAsia="仿宋_GB2312" w:cs="仿宋_GB2312"/>
          <w:color w:val="000000" w:themeColor="text1"/>
          <w:kern w:val="0"/>
          <w:sz w:val="32"/>
          <w:szCs w:val="32"/>
          <w:lang w:bidi="ar"/>
          <w14:textFill>
            <w14:solidFill>
              <w14:schemeClr w14:val="tx1"/>
            </w14:solidFill>
          </w14:textFill>
        </w:rPr>
        <w:t>售点间距测量应当在符合道路交通安全有关规定的前提下，按照行走的最短路径进行测量。</w:t>
      </w:r>
    </w:p>
    <w:p w14:paraId="12F467EA">
      <w:pPr>
        <w:widowControl/>
        <w:spacing w:before="86" w:line="560" w:lineRule="exact"/>
        <w:ind w:firstLine="640" w:firstLineChars="200"/>
        <w:jc w:val="left"/>
        <w:rPr>
          <w:rFonts w:ascii="仿宋_GB2312" w:hAnsi="仿宋" w:eastAsia="仿宋_GB2312" w:cs="仿宋_GB2312"/>
          <w:color w:val="000000" w:themeColor="text1"/>
          <w:kern w:val="0"/>
          <w:sz w:val="32"/>
          <w:szCs w:val="32"/>
          <w:lang w:bidi="ar"/>
          <w14:textFill>
            <w14:solidFill>
              <w14:schemeClr w14:val="tx1"/>
            </w14:solidFill>
          </w14:textFill>
        </w:rPr>
      </w:pPr>
      <w:r>
        <w:rPr>
          <w:rFonts w:hint="eastAsia" w:ascii="仿宋_GB2312" w:hAnsi="仿宋" w:eastAsia="仿宋_GB2312" w:cs="仿宋_GB2312"/>
          <w:color w:val="000000" w:themeColor="text1"/>
          <w:kern w:val="0"/>
          <w:sz w:val="32"/>
          <w:szCs w:val="32"/>
          <w:lang w:bidi="ar"/>
          <w14:textFill>
            <w14:solidFill>
              <w14:schemeClr w14:val="tx1"/>
            </w14:solidFill>
          </w14:textFill>
        </w:rPr>
        <w:t>（五）政府有关部门在街道或道路中设置的行人隔离带（栏）、绿化带等视为障碍物，测量时应当依法绕行。</w:t>
      </w:r>
    </w:p>
    <w:p w14:paraId="55857453">
      <w:pPr>
        <w:widowControl/>
        <w:spacing w:before="86" w:line="560" w:lineRule="exact"/>
        <w:ind w:firstLine="640" w:firstLineChars="200"/>
        <w:jc w:val="left"/>
        <w:rPr>
          <w:rFonts w:ascii="仿宋_GB2312" w:hAnsi="仿宋" w:eastAsia="仿宋_GB2312" w:cs="仿宋_GB2312"/>
          <w:color w:val="000000" w:themeColor="text1"/>
          <w:kern w:val="0"/>
          <w:sz w:val="32"/>
          <w:szCs w:val="32"/>
          <w:lang w:bidi="ar"/>
          <w14:textFill>
            <w14:solidFill>
              <w14:schemeClr w14:val="tx1"/>
            </w14:solidFill>
          </w14:textFill>
        </w:rPr>
      </w:pPr>
      <w:r>
        <w:rPr>
          <w:rFonts w:hint="eastAsia" w:ascii="仿宋_GB2312" w:hAnsi="仿宋" w:eastAsia="仿宋_GB2312" w:cs="仿宋_GB2312"/>
          <w:color w:val="000000" w:themeColor="text1"/>
          <w:kern w:val="0"/>
          <w:sz w:val="32"/>
          <w:szCs w:val="32"/>
          <w:lang w:bidi="ar"/>
          <w14:textFill>
            <w14:solidFill>
              <w14:schemeClr w14:val="tx1"/>
            </w14:solidFill>
          </w14:textFill>
        </w:rPr>
        <w:t>（六）在通行道路上临时设置的安全设施，临时放置的建筑材料、物品、车辆等，擅自设立、建造的建筑物、构筑物或其他物体等，以及因施工影响通行的围挡设施不视为障碍物。</w:t>
      </w:r>
    </w:p>
    <w:p w14:paraId="44C3CF85">
      <w:pPr>
        <w:widowControl/>
        <w:spacing w:before="86" w:line="560" w:lineRule="exact"/>
        <w:ind w:firstLine="640" w:firstLineChars="200"/>
        <w:jc w:val="left"/>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二、测量标准</w:t>
      </w:r>
    </w:p>
    <w:p w14:paraId="12BA53EC">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（一）零售点的测量起始点为消费者正常出入口中间点，有多个出入口的，选择零售点间距离最短的出入口中间点作为起始点。</w:t>
      </w:r>
    </w:p>
    <w:p w14:paraId="2BBFFE8B">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（二）“中、小学校”</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幼儿园</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的测量起始点为上述学校进出通道口中间点，</w:t>
      </w:r>
      <w:r>
        <w:rPr>
          <w:rFonts w:hint="eastAsia" w:ascii="仿宋_GB2312" w:hAnsi="黑体" w:eastAsia="仿宋_GB2312" w:cs="黑体"/>
          <w:color w:val="000000" w:themeColor="text1"/>
          <w:sz w:val="32"/>
          <w:szCs w:val="32"/>
          <w14:textFill>
            <w14:solidFill>
              <w14:schemeClr w14:val="tx1"/>
            </w14:solidFill>
          </w14:textFill>
        </w:rPr>
        <w:t>“间距”，是指申请点与最近零售点或</w:t>
      </w:r>
      <w:r>
        <w:rPr>
          <w:rFonts w:hint="eastAsia" w:ascii="仿宋_GB2312" w:hAnsi="仿宋" w:eastAsia="仿宋_GB2312" w:cs="仿宋_GB2312"/>
          <w:color w:val="000000" w:themeColor="text1"/>
          <w:sz w:val="32"/>
          <w:szCs w:val="32"/>
          <w14:textFill>
            <w14:solidFill>
              <w14:schemeClr w14:val="tx1"/>
            </w14:solidFill>
          </w14:textFill>
        </w:rPr>
        <w:t>“中、小学校”</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幼儿园</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进出通道口之间依法可通行的最短距离。</w:t>
      </w:r>
      <w:r>
        <w:rPr>
          <w:rFonts w:hint="eastAsia" w:ascii="仿宋_GB2312" w:hAnsi="仿宋" w:eastAsia="仿宋_GB2312" w:cs="仿宋_GB2312"/>
          <w:color w:val="000000" w:themeColor="text1"/>
          <w:sz w:val="32"/>
          <w:szCs w:val="32"/>
          <w14:textFill>
            <w14:solidFill>
              <w14:schemeClr w14:val="tx1"/>
            </w14:solidFill>
          </w14:textFill>
        </w:rPr>
        <w:t>“中、小学校”</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幼儿园</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进出通道口包括教职工通道、后勤通道、消防通道等长年关闭且无学生出入的进出口等。</w:t>
      </w:r>
    </w:p>
    <w:p w14:paraId="40563E1A">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（三）常见零售点间距测量类型：</w:t>
      </w:r>
    </w:p>
    <w:bookmarkEnd w:id="0"/>
    <w:p w14:paraId="2258F3EB">
      <w:pPr>
        <w:widowControl/>
        <w:spacing w:before="86" w:line="560" w:lineRule="exact"/>
        <w:ind w:firstLine="640" w:firstLineChars="200"/>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1.申请点与最近零售点经营场所同侧无障碍物的,测量最短直线距离。（如图1所示）</w:t>
      </w:r>
    </w:p>
    <w:p w14:paraId="368DD79B">
      <w:pPr>
        <w:widowControl/>
        <w:rPr>
          <w:rFonts w:ascii="仿宋" w:hAnsi="仿宋" w:eastAsia="仿宋" w:cs="仿宋_GB2312"/>
          <w:color w:val="000000" w:themeColor="text1"/>
          <w:kern w:val="0"/>
          <w:sz w:val="32"/>
          <w:szCs w:val="32"/>
          <w:lang w:bidi="ar"/>
          <w14:textFill>
            <w14:solidFill>
              <w14:schemeClr w14:val="tx1"/>
            </w14:solidFill>
          </w14:textFill>
        </w:rPr>
      </w:pPr>
      <w:r>
        <w:rPr>
          <w:rFonts w:hint="eastAsia" w:ascii="仿宋" w:hAnsi="仿宋" w:eastAsia="仿宋" w:cs="仿宋_GB2312"/>
          <w:color w:val="000000" w:themeColor="text1"/>
          <w:kern w:val="0"/>
          <w:sz w:val="32"/>
          <w:szCs w:val="32"/>
          <w:lang w:bidi="ar"/>
          <w14:textFill>
            <w14:solidFill>
              <w14:schemeClr w14:val="tx1"/>
            </w14:solidFill>
          </w14:textFill>
        </w:rPr>
        <w:object>
          <v:shape id="_x0000_i1025" o:spt="75" type="#_x0000_t75" style="height:189.8pt;width:413.3pt;" o:ole="t" filled="f" o:preferrelative="t" stroked="f" coordsize="21600,21600">
            <v:path/>
            <v:fill on="f" focussize="0,0"/>
            <v:stroke on="f" joinstyle="miter"/>
            <v:imagedata r:id="rId6" o:title=""/>
            <o:lock v:ext="edit" aspectratio="f"/>
            <w10:wrap type="none"/>
            <w10:anchorlock/>
          </v:shape>
          <o:OLEObject Type="Embed" ProgID="Visio.Drawing.11" ShapeID="_x0000_i1025" DrawAspect="Content" ObjectID="_1468075725" r:id="rId5">
            <o:LockedField>false</o:LockedField>
          </o:OLEObject>
        </w:object>
      </w:r>
    </w:p>
    <w:p w14:paraId="6E92B55C">
      <w:pPr>
        <w:widowControl/>
        <w:spacing w:before="86" w:line="257" w:lineRule="atLeast"/>
        <w:jc w:val="center"/>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(图1</w:t>
      </w:r>
      <w:r>
        <w:rPr>
          <w:rFonts w:ascii="仿宋_GB2312" w:hAnsi="仿宋" w:eastAsia="仿宋_GB2312" w:cs="仿宋_GB2312"/>
          <w:color w:val="000000" w:themeColor="text1"/>
          <w:sz w:val="32"/>
          <w:szCs w:val="32"/>
          <w14:textFill>
            <w14:solidFill>
              <w14:schemeClr w14:val="tx1"/>
            </w14:solidFill>
          </w14:textFill>
        </w:rPr>
        <w:t>)</w:t>
      </w:r>
    </w:p>
    <w:p w14:paraId="584889FE">
      <w:pPr>
        <w:widowControl/>
        <w:spacing w:before="86" w:line="560" w:lineRule="exact"/>
        <w:ind w:firstLine="641"/>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2</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申请点与最近零售点的经营场所同侧存在障碍物的，测量按直角分段绕过障碍物测量，分段距离之和即为申请点与最近零售点经营场所间的距离。（如图2所示）</w:t>
      </w:r>
    </w:p>
    <w:p w14:paraId="1F36A3F5">
      <w:pPr>
        <w:widowControl/>
        <w:spacing w:before="86" w:line="257" w:lineRule="atLeast"/>
        <w:jc w:val="left"/>
        <w:rPr>
          <w:rFonts w:ascii="仿宋" w:hAnsi="仿宋" w:eastAsia="仿宋" w:cs="仿宋_GB2312"/>
          <w:color w:val="000000" w:themeColor="text1"/>
          <w:kern w:val="0"/>
          <w:sz w:val="32"/>
          <w:szCs w:val="32"/>
          <w:lang w:bidi="ar"/>
          <w14:textFill>
            <w14:solidFill>
              <w14:schemeClr w14:val="tx1"/>
            </w14:solidFill>
          </w14:textFill>
        </w:rPr>
      </w:pPr>
      <w:r>
        <w:rPr>
          <w:rFonts w:hint="eastAsia" w:ascii="仿宋" w:hAnsi="仿宋" w:eastAsia="仿宋" w:cs="仿宋_GB2312"/>
          <w:color w:val="000000" w:themeColor="text1"/>
          <w:kern w:val="0"/>
          <w:sz w:val="32"/>
          <w:szCs w:val="32"/>
          <w:lang w:bidi="ar"/>
          <w14:textFill>
            <w14:solidFill>
              <w14:schemeClr w14:val="tx1"/>
            </w14:solidFill>
          </w14:textFill>
        </w:rPr>
        <w:object>
          <v:shape id="_x0000_i1026" o:spt="75" type="#_x0000_t75" style="height:209.45pt;width:413.3pt;" o:ole="t" filled="f" o:preferrelative="t" stroked="f" coordsize="21600,21600">
            <v:path/>
            <v:fill on="f" focussize="0,0"/>
            <v:stroke on="f" joinstyle="miter"/>
            <v:imagedata r:id="rId8" o:title=""/>
            <o:lock v:ext="edit" aspectratio="f"/>
            <w10:wrap type="none"/>
            <w10:anchorlock/>
          </v:shape>
          <o:OLEObject Type="Embed" ProgID="Visio.Drawing.11" ShapeID="_x0000_i1026" DrawAspect="Content" ObjectID="_1468075726" r:id="rId7">
            <o:LockedField>false</o:LockedField>
          </o:OLEObject>
        </w:object>
      </w:r>
    </w:p>
    <w:p w14:paraId="57A0CCC1">
      <w:pPr>
        <w:widowControl/>
        <w:spacing w:before="86" w:line="257" w:lineRule="atLeast"/>
        <w:jc w:val="center"/>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(图2)</w:t>
      </w:r>
    </w:p>
    <w:p w14:paraId="035E6EE5">
      <w:pPr>
        <w:spacing w:line="560" w:lineRule="exact"/>
        <w:ind w:firstLine="707" w:firstLineChars="221"/>
        <w:rPr>
          <w:rFonts w:ascii="仿宋_GB2312" w:hAnsi="仿宋" w:eastAsia="仿宋_GB2312" w:cs="仿宋_GB2312"/>
          <w:color w:val="000000" w:themeColor="text1"/>
          <w:sz w:val="32"/>
          <w:szCs w:val="32"/>
          <w14:textFill>
            <w14:solidFill>
              <w14:schemeClr w14:val="tx1"/>
            </w14:solidFill>
          </w14:textFill>
        </w:rPr>
      </w:pPr>
      <w:r>
        <w:rPr>
          <w:rFonts w:ascii="仿宋_GB2312" w:hAnsi="仿宋" w:eastAsia="仿宋_GB2312" w:cs="仿宋_GB2312"/>
          <w:color w:val="000000" w:themeColor="text1"/>
          <w:sz w:val="32"/>
          <w:szCs w:val="32"/>
          <w14:textFill>
            <w14:solidFill>
              <w14:schemeClr w14:val="tx1"/>
            </w14:solidFill>
          </w14:textFill>
        </w:rPr>
        <w:pict>
          <v:shape id="_x0000_s1026" o:spid="_x0000_s1026" o:spt="75" type="#_x0000_t75" style="position:absolute;left:0pt;margin-left:-13.3pt;margin-top:122.9pt;height:165.95pt;width:441.75pt;mso-wrap-distance-bottom:0pt;mso-wrap-distance-top:0pt;z-index:251659264;mso-width-relative:page;mso-height-relative:page;" o:ole="t" filled="f" o:preferrelative="t" stroked="f" coordsize="21600,21600">
            <v:path/>
            <v:fill on="f" focussize="0,0"/>
            <v:stroke on="f" joinstyle="miter"/>
            <v:imagedata r:id="rId10" o:title=""/>
            <o:lock v:ext="edit" aspectratio="f"/>
            <w10:wrap type="topAndBottom"/>
          </v:shape>
          <o:OLEObject Type="Embed" ProgID="Visio.Drawing.11" ShapeID="_x0000_s1026" DrawAspect="Content" ObjectID="_1468075727" r:id="rId9">
            <o:LockedField>false</o:LockedField>
          </o:OLEObject>
        </w:pict>
      </w:r>
      <w:r>
        <w:rPr>
          <w:rFonts w:hint="eastAsia" w:ascii="仿宋_GB2312" w:hAnsi="仿宋" w:eastAsia="仿宋_GB2312" w:cs="仿宋_GB2312"/>
          <w:color w:val="000000" w:themeColor="text1"/>
          <w:sz w:val="32"/>
          <w:szCs w:val="32"/>
          <w14:textFill>
            <w14:solidFill>
              <w14:schemeClr w14:val="tx1"/>
            </w14:solidFill>
          </w14:textFill>
        </w:rPr>
        <w:t>3</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申请点与最近零售点的经营场所位于道路两侧，道路无隔离带和斑马线情形的，测量按直角分段测量，分段距离之和即为申请点与最近零售点经营场所间的距离。（如图3所示）</w:t>
      </w:r>
    </w:p>
    <w:p w14:paraId="4E5A6D5F">
      <w:pPr>
        <w:spacing w:line="590" w:lineRule="exact"/>
        <w:jc w:val="center"/>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（图3）</w:t>
      </w:r>
    </w:p>
    <w:p w14:paraId="6A0EB449">
      <w:pPr>
        <w:spacing w:line="560" w:lineRule="exact"/>
        <w:ind w:firstLine="707" w:firstLineChars="221"/>
        <w:rPr>
          <w:rFonts w:ascii="仿宋_GB2312" w:hAnsi="仿宋" w:eastAsia="仿宋_GB2312" w:cs="仿宋_GB2312"/>
          <w:color w:val="000000" w:themeColor="text1"/>
          <w:sz w:val="32"/>
          <w:szCs w:val="32"/>
          <w14:textFill>
            <w14:solidFill>
              <w14:schemeClr w14:val="tx1"/>
            </w14:solidFill>
          </w14:textFill>
        </w:rPr>
      </w:pPr>
      <w:r>
        <w:rPr>
          <w:rFonts w:ascii="仿宋_GB2312" w:hAnsi="仿宋" w:eastAsia="仿宋_GB2312" w:cs="仿宋_GB2312"/>
          <w:color w:val="000000" w:themeColor="text1"/>
          <w:sz w:val="32"/>
          <w:szCs w:val="32"/>
          <w14:textFill>
            <w14:solidFill>
              <w14:schemeClr w14:val="tx1"/>
            </w14:solidFill>
          </w14:textFill>
        </w:rPr>
        <w:pict>
          <v:shape id="_x0000_s1027" o:spid="_x0000_s1027" o:spt="75" type="#_x0000_t75" style="position:absolute;left:0pt;margin-left:0.1pt;margin-top:123.3pt;height:174.25pt;width:441.75pt;mso-wrap-distance-bottom:0pt;mso-wrap-distance-top:0pt;z-index:251660288;mso-width-relative:page;mso-height-relative:page;" o:ole="t" filled="f" o:preferrelative="t" stroked="f" coordsize="21600,21600">
            <v:path/>
            <v:fill on="f" focussize="0,0"/>
            <v:stroke on="f" joinstyle="miter"/>
            <v:imagedata r:id="rId12" o:title=""/>
            <o:lock v:ext="edit" aspectratio="f"/>
            <w10:wrap type="topAndBottom"/>
          </v:shape>
          <o:OLEObject Type="Embed" ProgID="Visio.Drawing.11" ShapeID="_x0000_s1027" DrawAspect="Content" ObjectID="_1468075728" r:id="rId11">
            <o:LockedField>false</o:LockedField>
          </o:OLEObject>
        </w:pict>
      </w:r>
      <w:r>
        <w:rPr>
          <w:rFonts w:hint="eastAsia" w:ascii="仿宋_GB2312" w:hAnsi="仿宋" w:eastAsia="仿宋_GB2312" w:cs="仿宋_GB2312"/>
          <w:color w:val="000000" w:themeColor="text1"/>
          <w:sz w:val="32"/>
          <w:szCs w:val="32"/>
          <w14:textFill>
            <w14:solidFill>
              <w14:schemeClr w14:val="tx1"/>
            </w14:solidFill>
          </w14:textFill>
        </w:rPr>
        <w:t>4.申请点与最近零售点的经营场所位于道路两侧的，道路有隔离带但无斑马线情形的，选取最近障碍物断口开处，测量按直角分段测量，分段距离之和即为申请点与最近零售点经营场所间的距离。（如图4所示）</w:t>
      </w:r>
    </w:p>
    <w:p w14:paraId="251BF26F">
      <w:pPr>
        <w:spacing w:line="590" w:lineRule="exact"/>
        <w:jc w:val="center"/>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（图4）</w:t>
      </w:r>
    </w:p>
    <w:p w14:paraId="25A3DF05">
      <w:pPr>
        <w:spacing w:line="560" w:lineRule="exact"/>
        <w:ind w:firstLine="640" w:firstLineChars="200"/>
        <w:contextualSpacing/>
        <w:rPr>
          <w:rFonts w:ascii="仿宋" w:hAnsi="仿宋" w:eastAsia="仿宋" w:cs="仿宋_GB2312"/>
          <w:color w:val="000000" w:themeColor="text1"/>
          <w:sz w:val="32"/>
          <w:szCs w:val="32"/>
          <w14:textFill>
            <w14:solidFill>
              <w14:schemeClr w14:val="tx1"/>
            </w14:solidFill>
          </w14:textFill>
        </w:rPr>
      </w:pPr>
      <w:r>
        <w:rPr>
          <w:rFonts w:ascii="仿宋_GB2312" w:hAnsi="仿宋" w:eastAsia="仿宋_GB2312" w:cs="仿宋_GB2312"/>
          <w:color w:val="000000" w:themeColor="text1"/>
          <w:sz w:val="32"/>
          <w:szCs w:val="32"/>
          <w14:textFill>
            <w14:solidFill>
              <w14:schemeClr w14:val="tx1"/>
            </w14:solidFill>
          </w14:textFill>
        </w:rPr>
        <w:pict>
          <v:shape id="_x0000_s1028" o:spid="_x0000_s1028" o:spt="75" type="#_x0000_t75" style="position:absolute;left:0pt;margin-left:-8.55pt;margin-top:128.4pt;height:174.3pt;width:441.75pt;mso-wrap-distance-bottom:0pt;mso-wrap-distance-top:0pt;z-index:251662336;mso-width-relative:page;mso-height-relative:page;" o:ole="t" filled="f" o:preferrelative="t" stroked="f" coordsize="21600,21600">
            <v:path/>
            <v:fill on="f" focussize="0,0"/>
            <v:stroke on="f" joinstyle="miter"/>
            <v:imagedata r:id="rId14" o:title=""/>
            <o:lock v:ext="edit" aspectratio="f"/>
            <w10:wrap type="topAndBottom"/>
          </v:shape>
          <o:OLEObject Type="Embed" ProgID="Visio.Drawing.11" ShapeID="_x0000_s1028" DrawAspect="Content" ObjectID="_1468075729" r:id="rId13">
            <o:LockedField>false</o:LockedField>
          </o:OLEObject>
        </w:pict>
      </w:r>
      <w:r>
        <w:rPr>
          <w:rFonts w:hint="eastAsia" w:ascii="仿宋_GB2312" w:hAnsi="仿宋" w:eastAsia="仿宋_GB2312" w:cs="仿宋_GB2312"/>
          <w:color w:val="000000" w:themeColor="text1"/>
          <w:sz w:val="32"/>
          <w:szCs w:val="32"/>
          <w14:textFill>
            <w14:solidFill>
              <w14:schemeClr w14:val="tx1"/>
            </w14:solidFill>
          </w14:textFill>
        </w:rPr>
        <w:t>5</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 xml:space="preserve">申请点与最近零售点的经营场所位于道路两侧的，道路上有隔离带且有斑马线的，从隔离带最近开口处选取最近斑马线，按直角分段测量，分段距离之和即为申请点与最近零售点经营场所间的距离。（如图5所示） </w:t>
      </w:r>
      <w:r>
        <w:rPr>
          <w:rFonts w:hint="eastAsia" w:ascii="仿宋" w:hAnsi="仿宋" w:eastAsia="仿宋" w:cs="宋体"/>
          <w:color w:val="000000" w:themeColor="text1"/>
          <w:sz w:val="32"/>
          <w:szCs w:val="32"/>
          <w:lang w:bidi="ug-CN"/>
          <w14:textFill>
            <w14:solidFill>
              <w14:schemeClr w14:val="tx1"/>
            </w14:solidFill>
          </w14:textFill>
        </w:rPr>
        <w:t xml:space="preserve"> </w:t>
      </w:r>
    </w:p>
    <w:p w14:paraId="0A111631">
      <w:pPr>
        <w:spacing w:line="560" w:lineRule="exact"/>
        <w:contextualSpacing/>
        <w:jc w:val="center"/>
        <w:rPr>
          <w:rFonts w:ascii="仿宋" w:hAnsi="仿宋" w:eastAsia="仿宋"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（图5）</w:t>
      </w:r>
    </w:p>
    <w:p w14:paraId="026164E6">
      <w:pPr>
        <w:widowControl/>
        <w:spacing w:before="86" w:line="560" w:lineRule="exact"/>
        <w:ind w:firstLine="641"/>
        <w:jc w:val="left"/>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6</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申请点与最近零售点的经营场所之间道路存在有转角的，按直角分段测量，分段距离之和即为申请点与最近零售点经营场所间的距离。（如图6所示）</w:t>
      </w:r>
    </w:p>
    <w:p w14:paraId="745808D7">
      <w:pPr>
        <w:rPr>
          <w:color w:val="000000" w:themeColor="text1"/>
          <w14:textFill>
            <w14:solidFill>
              <w14:schemeClr w14:val="tx1"/>
            </w14:solidFill>
          </w14:textFill>
        </w:rPr>
      </w:pPr>
      <w:r>
        <w:rPr>
          <w:color w:val="000000" w:themeColor="text1"/>
          <w14:textFill>
            <w14:solidFill>
              <w14:schemeClr w14:val="tx1"/>
            </w14:solidFill>
          </w14:textFill>
        </w:rPr>
        <w:object>
          <v:shape id="_x0000_i1027" o:spt="75" type="#_x0000_t75" style="height:203.85pt;width:413.3pt;" o:ole="t" filled="f" o:preferrelative="t" stroked="f" coordsize="21600,21600">
            <v:path/>
            <v:fill on="f" focussize="0,0"/>
            <v:stroke on="f" joinstyle="miter"/>
            <v:imagedata r:id="rId16" o:title=""/>
            <o:lock v:ext="edit" aspectratio="f"/>
            <w10:wrap type="none"/>
            <w10:anchorlock/>
          </v:shape>
          <o:OLEObject Type="Embed" ProgID="Visio.Drawing.11" ShapeID="_x0000_i1027" DrawAspect="Content" ObjectID="_1468075730" r:id="rId15">
            <o:LockedField>false</o:LockedField>
          </o:OLEObject>
        </w:object>
      </w:r>
    </w:p>
    <w:p w14:paraId="273E8767">
      <w:pPr>
        <w:spacing w:line="590" w:lineRule="exact"/>
        <w:jc w:val="center"/>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（图6）</w:t>
      </w:r>
    </w:p>
    <w:p w14:paraId="46442303">
      <w:pPr>
        <w:spacing w:line="560" w:lineRule="exact"/>
        <w:ind w:firstLine="640" w:firstLineChars="200"/>
        <w:contextualSpacing/>
        <w:rPr>
          <w:rFonts w:ascii="仿宋" w:hAnsi="仿宋" w:eastAsia="仿宋" w:cs="仿宋_GB2312"/>
          <w:color w:val="000000" w:themeColor="text1"/>
          <w:sz w:val="32"/>
          <w:szCs w:val="32"/>
          <w14:textFill>
            <w14:solidFill>
              <w14:schemeClr w14:val="tx1"/>
            </w14:solidFill>
          </w14:textFill>
        </w:rPr>
      </w:pPr>
      <w:r>
        <w:rPr>
          <w:rFonts w:ascii="仿宋_GB2312" w:hAnsi="仿宋" w:eastAsia="仿宋_GB2312" w:cs="仿宋_GB2312"/>
          <w:color w:val="000000" w:themeColor="text1"/>
          <w:sz w:val="32"/>
          <w:szCs w:val="32"/>
          <w14:textFill>
            <w14:solidFill>
              <w14:schemeClr w14:val="tx1"/>
            </w14:solidFill>
          </w14:textFill>
        </w:rPr>
        <w:pict>
          <v:shape id="_x0000_s1029" o:spid="_x0000_s1029" o:spt="75" type="#_x0000_t75" style="position:absolute;left:0pt;margin-left:-18.8pt;margin-top:70.05pt;height:168.05pt;width:449.75pt;mso-wrap-distance-bottom:0pt;mso-wrap-distance-top:0pt;z-index:251661312;mso-width-relative:page;mso-height-relative:page;" o:ole="t" filled="f" o:preferrelative="t" stroked="f" coordsize="21600,21600">
            <v:path/>
            <v:fill on="f" focussize="0,0"/>
            <v:stroke on="f" joinstyle="miter"/>
            <v:imagedata r:id="rId18" o:title=""/>
            <o:lock v:ext="edit" aspectratio="f"/>
            <w10:wrap type="topAndBottom"/>
          </v:shape>
          <o:OLEObject Type="Embed" ProgID="Visio.Drawing.11" ShapeID="_x0000_s1029" DrawAspect="Content" ObjectID="_1468075731" r:id="rId17">
            <o:LockedField>false</o:LockedField>
          </o:OLEObject>
        </w:pict>
      </w:r>
      <w:r>
        <w:rPr>
          <w:rFonts w:hint="eastAsia" w:ascii="仿宋_GB2312" w:hAnsi="仿宋" w:eastAsia="仿宋_GB2312" w:cs="仿宋_GB2312"/>
          <w:color w:val="000000" w:themeColor="text1"/>
          <w:sz w:val="32"/>
          <w:szCs w:val="32"/>
          <w14:textFill>
            <w14:solidFill>
              <w14:schemeClr w14:val="tx1"/>
            </w14:solidFill>
          </w14:textFill>
        </w:rPr>
        <w:t>7</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 xml:space="preserve">申请点出入口较多，取与最近零售点经营场所最短的出入口进行测量。（如图7所示） </w:t>
      </w:r>
      <w:r>
        <w:rPr>
          <w:rFonts w:hint="eastAsia" w:ascii="仿宋" w:hAnsi="仿宋" w:eastAsia="仿宋" w:cs="宋体"/>
          <w:color w:val="000000" w:themeColor="text1"/>
          <w:sz w:val="32"/>
          <w:szCs w:val="32"/>
          <w:lang w:bidi="ug-CN"/>
          <w14:textFill>
            <w14:solidFill>
              <w14:schemeClr w14:val="tx1"/>
            </w14:solidFill>
          </w14:textFill>
        </w:rPr>
        <w:t xml:space="preserve"> </w:t>
      </w:r>
    </w:p>
    <w:p w14:paraId="78BB5639">
      <w:pPr>
        <w:spacing w:line="590" w:lineRule="exact"/>
        <w:jc w:val="center"/>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（图7）</w:t>
      </w:r>
    </w:p>
    <w:p w14:paraId="7E33D2BE">
      <w:pPr>
        <w:spacing w:line="560" w:lineRule="exact"/>
        <w:ind w:firstLine="640" w:firstLineChars="200"/>
        <w:contextualSpacing/>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8</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申请点与最近零售点的经营场所之间有台阶、楼梯的，以其平面坡长进行测量（如图8所示）；有电梯的，以层高进行测量；楼梯与电梯并存的，以最短距离的为准。</w:t>
      </w:r>
    </w:p>
    <w:p w14:paraId="6E68875B">
      <w:pPr>
        <w:rPr>
          <w:color w:val="000000" w:themeColor="text1"/>
          <w14:textFill>
            <w14:solidFill>
              <w14:schemeClr w14:val="tx1"/>
            </w14:solidFill>
          </w14:textFill>
        </w:rPr>
      </w:pPr>
    </w:p>
    <w:p w14:paraId="736DFB1D">
      <w:pPr>
        <w:contextualSpacing/>
        <w:jc w:val="center"/>
        <w:rPr>
          <w:rFonts w:ascii="仿宋_GB2312" w:hAnsi="仿宋"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object>
          <v:shape id="_x0000_i1028" o:spt="75" type="#_x0000_t75" style="height:178.6pt;width:416.1pt;" o:ole="t" filled="f" o:preferrelative="t" stroked="f" coordsize="21600,21600">
            <v:path/>
            <v:fill on="f" focussize="0,0"/>
            <v:stroke on="f" joinstyle="miter"/>
            <v:imagedata r:id="rId20" o:title=""/>
            <o:lock v:ext="edit" aspectratio="f"/>
            <w10:wrap type="none"/>
            <w10:anchorlock/>
          </v:shape>
          <o:OLEObject Type="Embed" ProgID="Visio.Drawing.11" ShapeID="_x0000_i1028" DrawAspect="Content" ObjectID="_1468075732" r:id="rId19">
            <o:LockedField>false</o:LockedField>
          </o:OLEObject>
        </w:object>
      </w:r>
      <w:r>
        <w:rPr>
          <w:rFonts w:hint="eastAsia" w:ascii="仿宋_GB2312" w:hAnsi="仿宋" w:eastAsia="仿宋_GB2312" w:cs="仿宋_GB2312"/>
          <w:color w:val="000000" w:themeColor="text1"/>
          <w:sz w:val="32"/>
          <w:szCs w:val="32"/>
          <w14:textFill>
            <w14:solidFill>
              <w14:schemeClr w14:val="tx1"/>
            </w14:solidFill>
          </w14:textFill>
        </w:rPr>
        <w:t>（图8）</w:t>
      </w:r>
    </w:p>
    <w:p w14:paraId="5413BCCA">
      <w:pPr>
        <w:spacing w:line="560" w:lineRule="exact"/>
        <w:ind w:firstLine="640" w:firstLineChars="200"/>
        <w:contextualSpacing/>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9</w:t>
      </w:r>
      <w:r>
        <w:rPr>
          <w:rFonts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 w:eastAsia="仿宋_GB2312" w:cs="仿宋_GB2312"/>
          <w:color w:val="000000" w:themeColor="text1"/>
          <w:sz w:val="32"/>
          <w:szCs w:val="32"/>
          <w14:textFill>
            <w14:solidFill>
              <w14:schemeClr w14:val="tx1"/>
            </w14:solidFill>
          </w14:textFill>
        </w:rPr>
        <w:t>各类市场、封闭式小区内、广场等区域零售点间距测量方法均以原设计道路、人行通道行人正常安全行走的最短距离进行测量。</w:t>
      </w:r>
    </w:p>
    <w:p w14:paraId="079973F0">
      <w:pPr>
        <w:spacing w:line="560" w:lineRule="exact"/>
        <w:ind w:firstLine="640" w:firstLineChars="200"/>
        <w:contextualSpacing/>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10.在商场商厦、综合体等大型建筑室内设置柜台的申请点，</w:t>
      </w:r>
      <w:r>
        <w:rPr>
          <w:rFonts w:ascii="仿宋_GB2312" w:hAnsi="仿宋" w:eastAsia="仿宋_GB2312" w:cs="仿宋_GB2312"/>
          <w:color w:val="000000" w:themeColor="text1"/>
          <w:sz w:val="32"/>
          <w:szCs w:val="32"/>
          <w14:textFill>
            <w14:solidFill>
              <w14:schemeClr w14:val="tx1"/>
            </w14:solidFill>
          </w14:textFill>
        </w:rPr>
        <w:t>按照上述测量方法，</w:t>
      </w:r>
      <w:r>
        <w:rPr>
          <w:rFonts w:hint="eastAsia" w:ascii="仿宋_GB2312" w:hAnsi="仿宋" w:eastAsia="仿宋_GB2312" w:cs="仿宋_GB2312"/>
          <w:color w:val="000000" w:themeColor="text1"/>
          <w:sz w:val="32"/>
          <w:szCs w:val="32"/>
          <w14:textFill>
            <w14:solidFill>
              <w14:schemeClr w14:val="tx1"/>
            </w14:solidFill>
          </w14:textFill>
        </w:rPr>
        <w:t>以距离最近通道口的柜台中间点为测量起始点进行测量。</w:t>
      </w:r>
    </w:p>
    <w:p w14:paraId="09009CEB">
      <w:pPr>
        <w:spacing w:line="560" w:lineRule="exact"/>
        <w:ind w:firstLine="640" w:firstLineChars="200"/>
        <w:contextualSpacing/>
        <w:rPr>
          <w:rFonts w:ascii="仿宋_GB2312" w:hAnsi="仿宋" w:eastAsia="仿宋_GB2312" w:cs="仿宋_GB2312"/>
          <w:color w:val="000000" w:themeColor="text1"/>
          <w:sz w:val="32"/>
          <w:szCs w:val="32"/>
          <w14:textFill>
            <w14:solidFill>
              <w14:schemeClr w14:val="tx1"/>
            </w14:solidFill>
          </w14:textFill>
        </w:rPr>
      </w:pPr>
      <w:r>
        <w:rPr>
          <w:rFonts w:ascii="仿宋_GB2312" w:hAnsi="仿宋" w:eastAsia="仿宋_GB2312" w:cs="仿宋_GB2312"/>
          <w:color w:val="000000" w:themeColor="text1"/>
          <w:sz w:val="32"/>
          <w:szCs w:val="32"/>
          <w14:textFill>
            <w14:solidFill>
              <w14:schemeClr w14:val="tx1"/>
            </w14:solidFill>
          </w14:textFill>
        </w:rPr>
        <w:t>1</w:t>
      </w:r>
      <w:r>
        <w:rPr>
          <w:rFonts w:hint="eastAsia" w:ascii="仿宋_GB2312" w:hAnsi="仿宋" w:eastAsia="仿宋_GB2312" w:cs="仿宋_GB2312"/>
          <w:color w:val="000000" w:themeColor="text1"/>
          <w:sz w:val="32"/>
          <w:szCs w:val="32"/>
          <w14:textFill>
            <w14:solidFill>
              <w14:schemeClr w14:val="tx1"/>
            </w14:solidFill>
          </w14:textFill>
        </w:rPr>
        <w:t>1.特殊地形测量：因地形、地貌或设计等原因导致道路、通道成不规则形态，通过前述方法无法测量的，取可安全通行路径最短距离进行测量。</w:t>
      </w:r>
    </w:p>
    <w:p w14:paraId="104068CB">
      <w:pPr>
        <w:ind w:left="210" w:leftChars="100"/>
        <w:jc w:val="left"/>
      </w:pPr>
    </w:p>
    <w:p w14:paraId="6059F0EF">
      <w:pPr>
        <w:ind w:left="210" w:leftChars="100"/>
        <w:jc w:val="left"/>
        <w:rPr>
          <w:rFonts w:hint="eastAsia"/>
        </w:rPr>
      </w:pPr>
    </w:p>
    <w:p w14:paraId="17AF94E1">
      <w:pPr>
        <w:jc w:val="left"/>
      </w:pPr>
    </w:p>
    <w:p w14:paraId="11AB73F0">
      <w:pPr>
        <w:jc w:val="left"/>
      </w:pPr>
    </w:p>
    <w:p w14:paraId="7E851A7C">
      <w:pPr>
        <w:jc w:val="left"/>
      </w:pPr>
    </w:p>
    <w:p w14:paraId="0CFAFCB4">
      <w:pPr>
        <w:jc w:val="left"/>
      </w:pPr>
    </w:p>
    <w:p w14:paraId="5D54DDC1">
      <w:pPr>
        <w:jc w:val="left"/>
      </w:pPr>
    </w:p>
    <w:p w14:paraId="4CDB01B8">
      <w:pPr>
        <w:jc w:val="left"/>
      </w:pPr>
    </w:p>
    <w:p w14:paraId="7F6F4ADC">
      <w:pPr>
        <w:jc w:val="left"/>
      </w:pPr>
    </w:p>
    <w:p w14:paraId="434BE5CE">
      <w:pPr>
        <w:jc w:val="left"/>
      </w:pPr>
    </w:p>
    <w:p w14:paraId="73A3C902">
      <w:pPr>
        <w:jc w:val="left"/>
      </w:pPr>
    </w:p>
    <w:p w14:paraId="7EB0557E">
      <w:pPr>
        <w:jc w:val="left"/>
      </w:pPr>
    </w:p>
    <w:p w14:paraId="57369F2A">
      <w:pPr>
        <w:jc w:val="left"/>
      </w:pPr>
    </w:p>
    <w:p w14:paraId="4550C3A1">
      <w:pPr>
        <w:jc w:val="left"/>
      </w:pPr>
    </w:p>
    <w:p w14:paraId="2F298B70">
      <w:pPr>
        <w:jc w:val="left"/>
      </w:pPr>
    </w:p>
    <w:p w14:paraId="00019BE2">
      <w:pPr>
        <w:jc w:val="left"/>
      </w:pPr>
    </w:p>
    <w:p w14:paraId="1BCC457F">
      <w:pPr>
        <w:jc w:val="left"/>
      </w:pPr>
    </w:p>
    <w:p w14:paraId="40D121A6">
      <w:pPr>
        <w:jc w:val="left"/>
      </w:pPr>
    </w:p>
    <w:p w14:paraId="7EE79ECB">
      <w:pPr>
        <w:jc w:val="left"/>
      </w:pPr>
    </w:p>
    <w:p w14:paraId="3F88E4D1">
      <w:pPr>
        <w:jc w:val="left"/>
      </w:pPr>
    </w:p>
    <w:p w14:paraId="028EB064">
      <w:pPr>
        <w:jc w:val="left"/>
      </w:pPr>
    </w:p>
    <w:p w14:paraId="0D2FB4C7">
      <w:pPr>
        <w:jc w:val="left"/>
      </w:pPr>
    </w:p>
    <w:p w14:paraId="6121312C">
      <w:pPr>
        <w:jc w:val="left"/>
      </w:pPr>
    </w:p>
    <w:p w14:paraId="184F557E">
      <w:pPr>
        <w:jc w:val="left"/>
      </w:pPr>
    </w:p>
    <w:p w14:paraId="7DF97E93">
      <w:pPr>
        <w:jc w:val="left"/>
      </w:pPr>
    </w:p>
    <w:p w14:paraId="60FAA8E9">
      <w:pPr>
        <w:jc w:val="left"/>
      </w:pPr>
    </w:p>
    <w:p w14:paraId="327D3D54">
      <w:pPr>
        <w:jc w:val="left"/>
      </w:pPr>
    </w:p>
    <w:p w14:paraId="25F3BE7F">
      <w:pPr>
        <w:jc w:val="left"/>
      </w:pPr>
    </w:p>
    <w:p w14:paraId="4D28EBC3">
      <w:pPr>
        <w:jc w:val="left"/>
      </w:pPr>
    </w:p>
    <w:p w14:paraId="6D587612">
      <w:pPr>
        <w:jc w:val="left"/>
      </w:pPr>
    </w:p>
    <w:p w14:paraId="7C7E3FBC">
      <w:pPr>
        <w:jc w:val="left"/>
      </w:pPr>
    </w:p>
    <w:p w14:paraId="40C22033">
      <w:pPr>
        <w:jc w:val="left"/>
      </w:pPr>
    </w:p>
    <w:p w14:paraId="554C9FBC">
      <w:pPr>
        <w:jc w:val="left"/>
      </w:pPr>
    </w:p>
    <w:p w14:paraId="57C46D0C">
      <w:pPr>
        <w:adjustRightInd w:val="0"/>
        <w:snapToGrid w:val="0"/>
        <w:spacing w:line="360" w:lineRule="auto"/>
        <w:ind w:firstLine="420"/>
        <w:jc w:val="left"/>
        <w:rPr>
          <w:rFonts w:hint="eastAsia" w:ascii="方正小标宋简体" w:eastAsia="方正小标宋简体" w:cs="仿宋_GB2312"/>
          <w:sz w:val="44"/>
          <w:szCs w:val="44"/>
        </w:rPr>
      </w:pPr>
      <w:r>
        <w:rPr>
          <w:rFonts w:hint="eastAsia" w:ascii="仿宋_GB2312" w:eastAsia="仿宋_GB2312"/>
          <w:sz w:val="32"/>
          <w:szCs w:val="32"/>
        </w:rPr>
        <w:t>附件2：</w:t>
      </w:r>
    </w:p>
    <w:p w14:paraId="609F5AC5">
      <w:pPr>
        <w:adjustRightInd w:val="0"/>
        <w:snapToGrid w:val="0"/>
        <w:spacing w:line="360" w:lineRule="auto"/>
        <w:ind w:firstLine="420"/>
        <w:jc w:val="center"/>
        <w:rPr>
          <w:rFonts w:hint="eastAsia" w:ascii="方正小标宋简体" w:eastAsia="方正小标宋简体" w:cs="仿宋_GB2312"/>
          <w:sz w:val="44"/>
          <w:szCs w:val="44"/>
        </w:rPr>
      </w:pPr>
      <w:r>
        <w:rPr>
          <w:rFonts w:hint="eastAsia" w:ascii="方正小标宋简体" w:eastAsia="方正小标宋简体" w:cs="仿宋_GB2312"/>
          <w:sz w:val="44"/>
          <w:szCs w:val="44"/>
        </w:rPr>
        <w:t>青岛</w:t>
      </w:r>
      <w:r>
        <w:rPr>
          <w:rFonts w:hint="eastAsia" w:ascii="方正小标宋简体" w:eastAsia="方正小标宋简体" w:cs="仿宋_GB2312"/>
          <w:sz w:val="44"/>
          <w:szCs w:val="44"/>
          <w:lang w:val="en-US" w:eastAsia="zh-CN"/>
        </w:rPr>
        <w:t>市黄岛区</w:t>
      </w:r>
      <w:r>
        <w:rPr>
          <w:rFonts w:hint="eastAsia" w:ascii="方正小标宋简体" w:eastAsia="方正小标宋简体" w:cs="仿宋_GB2312"/>
          <w:sz w:val="44"/>
          <w:szCs w:val="44"/>
        </w:rPr>
        <w:t>雪茄烟零售点布局规定</w:t>
      </w:r>
    </w:p>
    <w:p w14:paraId="2BC3576F">
      <w:pPr>
        <w:adjustRightInd w:val="0"/>
        <w:snapToGrid w:val="0"/>
        <w:spacing w:line="360" w:lineRule="auto"/>
        <w:ind w:firstLine="420"/>
        <w:jc w:val="center"/>
        <w:rPr>
          <w:rFonts w:hint="eastAsia" w:ascii="方正小标宋简体" w:eastAsia="方正小标宋简体" w:cs="仿宋_GB2312"/>
          <w:sz w:val="44"/>
          <w:szCs w:val="44"/>
        </w:rPr>
      </w:pPr>
      <w:r>
        <w:rPr>
          <w:rFonts w:hint="eastAsia" w:ascii="方正小标宋简体" w:eastAsia="方正小标宋简体" w:cs="仿宋_GB2312"/>
          <w:color w:val="000000" w:themeColor="text1"/>
          <w:sz w:val="44"/>
          <w:szCs w:val="44"/>
          <w14:textFill>
            <w14:solidFill>
              <w14:schemeClr w14:val="tx1"/>
            </w14:solidFill>
          </w14:textFill>
        </w:rPr>
        <w:t>（征求意见稿）</w:t>
      </w:r>
    </w:p>
    <w:p w14:paraId="356A0903">
      <w:pPr>
        <w:adjustRightInd w:val="0"/>
        <w:snapToGrid w:val="0"/>
        <w:spacing w:line="360" w:lineRule="auto"/>
        <w:ind w:firstLine="420"/>
        <w:jc w:val="center"/>
        <w:rPr>
          <w:rFonts w:ascii="仿宋_GB2312" w:hAnsi="仿宋" w:eastAsia="仿宋_GB2312" w:cs="仿宋_GB2312"/>
          <w:sz w:val="32"/>
          <w:szCs w:val="32"/>
        </w:rPr>
      </w:pPr>
      <w:r>
        <w:rPr>
          <w:rFonts w:hint="eastAsia" w:ascii="方正小标宋简体" w:eastAsia="方正小标宋简体" w:cs="仿宋_GB2312"/>
          <w:sz w:val="44"/>
          <w:szCs w:val="44"/>
          <w:lang w:val="en-US" w:eastAsia="zh-CN"/>
        </w:rPr>
        <w:t xml:space="preserve"> </w:t>
      </w:r>
      <w:r>
        <w:rPr>
          <w:rFonts w:hint="eastAsia" w:ascii="黑体" w:hAnsi="黑体" w:eastAsia="黑体" w:cs="黑体"/>
          <w:sz w:val="32"/>
          <w:szCs w:val="32"/>
        </w:rPr>
        <w:t xml:space="preserve">第一条 </w:t>
      </w:r>
      <w:r>
        <w:rPr>
          <w:rFonts w:hint="eastAsia" w:ascii="仿宋_GB2312" w:hAnsi="黑体" w:eastAsia="仿宋_GB2312" w:cs="黑体"/>
          <w:sz w:val="32"/>
          <w:szCs w:val="32"/>
        </w:rPr>
        <w:t xml:space="preserve"> </w:t>
      </w:r>
      <w:r>
        <w:rPr>
          <w:rFonts w:hint="eastAsia" w:ascii="仿宋_GB2312" w:hAnsi="仿宋" w:eastAsia="仿宋_GB2312" w:cs="仿宋_GB2312"/>
          <w:sz w:val="32"/>
          <w:szCs w:val="32"/>
        </w:rPr>
        <w:t>为维护国家利益和消费者利益，规范雪茄烟零售市场经营秩序，进一步优化雪茄烟零售点布局，加强烟草专卖零售许可证管理，依据《中华人民共和国烟草专卖法》、《中华人民共和国行政许可法》、《中华人民共和国未成年人保护法》、《中华人民共和国烟草专卖法实施条例》、《烟草专卖许可证管理办法》（工信部37号令）、《烟草专卖许可证管理办法实施细则》（国烟法〔2020〕205号）、《完善烟草专卖零售许可管理优化政务服务工作指引》（国烟法〔2024〕55号）等法律法规、规章和规范性文件，结合本区实际，制定本规定。</w:t>
      </w:r>
    </w:p>
    <w:p w14:paraId="50415183">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第二条</w:t>
      </w:r>
      <w:r>
        <w:rPr>
          <w:rFonts w:hint="eastAsia" w:ascii="仿宋" w:hAnsi="仿宋" w:eastAsia="仿宋" w:cs="仿宋_GB2312"/>
          <w:sz w:val="32"/>
          <w:szCs w:val="32"/>
        </w:rPr>
        <w:t xml:space="preserve">  </w:t>
      </w:r>
      <w:r>
        <w:rPr>
          <w:rFonts w:hint="eastAsia" w:ascii="仿宋_GB2312" w:hAnsi="仿宋" w:eastAsia="仿宋_GB2312" w:cs="仿宋_GB2312"/>
          <w:sz w:val="32"/>
          <w:szCs w:val="32"/>
        </w:rPr>
        <w:t>本规定所称雪茄烟零售点是指依法取得烟草专卖零售许可证的公民、法人及其他组织，单独从事雪茄烟专营业务的与住所相独立的固定经营场所。雪茄烟零售点经营范围不包含卷烟、电子烟和有包装的烟丝。</w:t>
      </w:r>
    </w:p>
    <w:p w14:paraId="2F8D873D">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零售点经营场所地址应当具体明确，具有唯一性，与营业执照登记地址相符。</w:t>
      </w:r>
    </w:p>
    <w:p w14:paraId="566BCA5A">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第三条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本规定适用于</w:t>
      </w:r>
      <w:r>
        <w:rPr>
          <w:rFonts w:hint="eastAsia" w:ascii="仿宋_GB2312" w:hAnsi="黑体" w:eastAsia="仿宋_GB2312" w:cs="黑体"/>
          <w:sz w:val="32"/>
          <w:szCs w:val="32"/>
          <w:lang w:val="en-US" w:eastAsia="zh-CN"/>
        </w:rPr>
        <w:t>青岛市黄岛区</w:t>
      </w:r>
      <w:r>
        <w:rPr>
          <w:rFonts w:hint="eastAsia" w:ascii="仿宋_GB2312" w:hAnsi="黑体" w:eastAsia="仿宋_GB2312" w:cs="黑体"/>
          <w:sz w:val="32"/>
          <w:szCs w:val="32"/>
        </w:rPr>
        <w:t>烟草专卖局管辖区域内雪茄烟（不含电子烟、卷烟）零售点的布局管理。</w:t>
      </w:r>
    </w:p>
    <w:p w14:paraId="03058A9B">
      <w:pPr>
        <w:adjustRightInd w:val="0"/>
        <w:snapToGrid w:val="0"/>
        <w:spacing w:line="360" w:lineRule="auto"/>
        <w:ind w:firstLine="640" w:firstLineChars="200"/>
        <w:rPr>
          <w:rFonts w:ascii="楷体_GB2312" w:eastAsia="楷体_GB2312" w:cs="楷体_GB2312"/>
          <w:bCs/>
          <w:sz w:val="30"/>
          <w:szCs w:val="30"/>
        </w:rPr>
      </w:pPr>
      <w:r>
        <w:rPr>
          <w:rFonts w:hint="eastAsia" w:ascii="黑体" w:hAnsi="黑体" w:eastAsia="黑体" w:cs="仿宋_GB2312"/>
          <w:sz w:val="32"/>
          <w:szCs w:val="32"/>
        </w:rPr>
        <w:t>第四条</w:t>
      </w:r>
      <w:r>
        <w:rPr>
          <w:rFonts w:hint="eastAsia" w:ascii="仿宋" w:hAnsi="仿宋" w:eastAsia="仿宋" w:cs="仿宋_GB2312"/>
          <w:sz w:val="32"/>
          <w:szCs w:val="32"/>
        </w:rPr>
        <w:t xml:space="preserve">  雪茄烟</w:t>
      </w:r>
      <w:r>
        <w:rPr>
          <w:rFonts w:hint="eastAsia" w:ascii="仿宋_GB2312" w:hAnsi="黑体" w:eastAsia="仿宋_GB2312" w:cs="黑体"/>
          <w:sz w:val="32"/>
          <w:szCs w:val="32"/>
        </w:rPr>
        <w:t>零售点布局管理遵循依法行政、科学规划、服务社会、均衡发展、未成年人保护、控烟履约、信赖保护的原则。</w:t>
      </w:r>
    </w:p>
    <w:p w14:paraId="49B1D3F6">
      <w:pPr>
        <w:adjustRightInd w:val="0"/>
        <w:snapToGrid w:val="0"/>
        <w:spacing w:line="360" w:lineRule="auto"/>
        <w:ind w:firstLine="640" w:firstLineChars="200"/>
        <w:rPr>
          <w:rFonts w:ascii="Times New Roman" w:hAnsi="Times New Roman" w:eastAsia="仿宋_GB2312"/>
          <w:sz w:val="32"/>
          <w:szCs w:val="32"/>
        </w:rPr>
      </w:pPr>
      <w:r>
        <w:rPr>
          <w:rFonts w:hint="eastAsia" w:ascii="黑体" w:hAnsi="黑体" w:eastAsia="黑体" w:cs="仿宋_GB2312"/>
          <w:sz w:val="32"/>
          <w:szCs w:val="32"/>
        </w:rPr>
        <w:t>第五条</w:t>
      </w:r>
      <w:r>
        <w:rPr>
          <w:rFonts w:hint="eastAsia" w:ascii="仿宋" w:hAnsi="仿宋" w:eastAsia="仿宋" w:cs="仿宋_GB2312"/>
          <w:sz w:val="32"/>
          <w:szCs w:val="32"/>
        </w:rPr>
        <w:t xml:space="preserve">  </w:t>
      </w:r>
      <w:r>
        <w:rPr>
          <w:rFonts w:hint="eastAsia" w:ascii="Times New Roman" w:hAnsi="Times New Roman" w:eastAsia="仿宋_GB2312"/>
          <w:sz w:val="32"/>
          <w:szCs w:val="32"/>
        </w:rPr>
        <w:t>一个经营场所已经办理了烟草专卖零售许可证，在许可有效期内不再核准雪茄烟零售许可。</w:t>
      </w:r>
    </w:p>
    <w:p w14:paraId="6129D709">
      <w:pPr>
        <w:ind w:firstLine="640" w:firstLineChars="200"/>
        <w:rPr>
          <w:rFonts w:ascii="仿宋_GB2312" w:hAnsi="黑体" w:eastAsia="仿宋_GB2312" w:cs="黑体"/>
          <w:sz w:val="32"/>
          <w:szCs w:val="32"/>
        </w:rPr>
      </w:pPr>
      <w:r>
        <w:rPr>
          <w:rFonts w:hint="eastAsia" w:ascii="黑体" w:hAnsi="黑体" w:eastAsia="黑体" w:cs="仿宋_GB2312"/>
          <w:sz w:val="32"/>
          <w:szCs w:val="32"/>
        </w:rPr>
        <w:t>第六条</w:t>
      </w:r>
      <w:r>
        <w:rPr>
          <w:rFonts w:hint="eastAsia" w:ascii="仿宋_GB2312" w:hAnsi="仿宋" w:eastAsia="仿宋_GB2312" w:cs="仿宋_GB2312"/>
          <w:sz w:val="20"/>
          <w:szCs w:val="32"/>
        </w:rPr>
        <w:t xml:space="preserve">   </w:t>
      </w:r>
      <w:r>
        <w:rPr>
          <w:rFonts w:hint="eastAsia" w:ascii="仿宋_GB2312" w:hAnsi="黑体" w:eastAsia="仿宋_GB2312" w:cs="黑体"/>
          <w:sz w:val="32"/>
          <w:szCs w:val="32"/>
        </w:rPr>
        <w:t>雪茄烟零售点应符合下列经营条件：</w:t>
      </w:r>
    </w:p>
    <w:p w14:paraId="4ADCE97E">
      <w:pPr>
        <w:numPr>
          <w:ilvl w:val="255"/>
          <w:numId w:val="0"/>
        </w:numPr>
        <w:ind w:firstLine="640" w:firstLineChars="200"/>
        <w:rPr>
          <w:rFonts w:ascii="仿宋_GB2312" w:hAnsi="仿宋_GB2312" w:eastAsia="仿宋_GB2312" w:cs="仿宋_GB2312"/>
          <w:sz w:val="32"/>
          <w:szCs w:val="32"/>
        </w:rPr>
      </w:pPr>
      <w:r>
        <w:rPr>
          <w:rFonts w:hint="eastAsia" w:ascii="仿宋_GB2312" w:hAnsi="黑体" w:eastAsia="仿宋_GB2312" w:cs="黑体"/>
          <w:sz w:val="32"/>
          <w:szCs w:val="32"/>
        </w:rPr>
        <w:t>（一）</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有专门用于雪茄烟陈列、展示的设施；</w:t>
      </w:r>
    </w:p>
    <w:p w14:paraId="03F5ABCC">
      <w:pPr>
        <w:ind w:firstLine="672"/>
        <w:rPr>
          <w:rFonts w:ascii="仿宋_GB2312" w:hAnsi="仿宋_GB2312" w:eastAsia="仿宋_GB2312" w:cs="仿宋_GB2312"/>
          <w:sz w:val="32"/>
          <w:szCs w:val="32"/>
        </w:rPr>
      </w:pPr>
      <w:r>
        <w:rPr>
          <w:rFonts w:hint="eastAsia" w:ascii="仿宋_GB2312" w:hAnsi="仿宋_GB2312" w:eastAsia="仿宋_GB2312" w:cs="仿宋_GB2312"/>
          <w:bCs/>
          <w:sz w:val="32"/>
          <w:szCs w:val="32"/>
        </w:rPr>
        <w:t>（二）</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有符合恒定保持</w:t>
      </w:r>
      <w:r>
        <w:rPr>
          <w:rFonts w:ascii="仿宋_GB2312" w:hAnsi="仿宋_GB2312" w:eastAsia="仿宋_GB2312" w:cs="仿宋_GB2312"/>
          <w:sz w:val="32"/>
          <w:szCs w:val="32"/>
        </w:rPr>
        <w:t>雪茄烟储存所需湿度、温度条件的</w:t>
      </w:r>
      <w:r>
        <w:rPr>
          <w:rFonts w:hint="eastAsia" w:ascii="仿宋_GB2312" w:hAnsi="仿宋_GB2312" w:eastAsia="仿宋_GB2312" w:cs="仿宋_GB2312"/>
          <w:sz w:val="32"/>
          <w:szCs w:val="32"/>
        </w:rPr>
        <w:t>设备设施；</w:t>
      </w:r>
    </w:p>
    <w:p w14:paraId="076F9159">
      <w:pPr>
        <w:ind w:firstLine="672"/>
        <w:rPr>
          <w:rFonts w:ascii="仿宋_GB2312" w:hAnsi="仿宋_GB2312" w:eastAsia="仿宋_GB2312" w:cs="仿宋_GB2312"/>
          <w:sz w:val="32"/>
          <w:szCs w:val="32"/>
        </w:rPr>
      </w:pPr>
      <w:r>
        <w:rPr>
          <w:rFonts w:hint="eastAsia" w:ascii="仿宋_GB2312" w:hAnsi="仿宋_GB2312" w:eastAsia="仿宋_GB2312" w:cs="仿宋_GB2312"/>
          <w:bCs/>
          <w:sz w:val="32"/>
          <w:szCs w:val="32"/>
        </w:rPr>
        <w:t>（三）</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Cs/>
          <w:sz w:val="32"/>
          <w:szCs w:val="32"/>
        </w:rPr>
        <w:t>经营</w:t>
      </w:r>
      <w:r>
        <w:rPr>
          <w:rFonts w:hint="eastAsia" w:ascii="仿宋_GB2312" w:hAnsi="仿宋_GB2312" w:eastAsia="仿宋_GB2312" w:cs="仿宋_GB2312"/>
          <w:sz w:val="32"/>
          <w:szCs w:val="32"/>
        </w:rPr>
        <w:t>场所内有满足雪茄烟品鉴条件的区域、工具及</w:t>
      </w:r>
      <w:r>
        <w:rPr>
          <w:rFonts w:ascii="仿宋_GB2312" w:hAnsi="仿宋_GB2312" w:eastAsia="仿宋_GB2312" w:cs="仿宋_GB2312"/>
          <w:sz w:val="32"/>
          <w:szCs w:val="32"/>
        </w:rPr>
        <w:t>良好通风</w:t>
      </w:r>
      <w:r>
        <w:rPr>
          <w:rFonts w:hint="eastAsia" w:ascii="仿宋_GB2312" w:hAnsi="仿宋_GB2312" w:eastAsia="仿宋_GB2312" w:cs="仿宋_GB2312"/>
          <w:sz w:val="32"/>
          <w:szCs w:val="32"/>
        </w:rPr>
        <w:t>条件的品鉴</w:t>
      </w:r>
      <w:r>
        <w:rPr>
          <w:rFonts w:ascii="仿宋_GB2312" w:hAnsi="仿宋_GB2312" w:eastAsia="仿宋_GB2312" w:cs="仿宋_GB2312"/>
          <w:sz w:val="32"/>
          <w:szCs w:val="32"/>
        </w:rPr>
        <w:t>环境</w:t>
      </w:r>
    </w:p>
    <w:p w14:paraId="7616B467">
      <w:pPr>
        <w:adjustRightInd w:val="0"/>
        <w:snapToGrid w:val="0"/>
        <w:spacing w:line="360" w:lineRule="auto"/>
        <w:ind w:firstLine="640" w:firstLineChars="200"/>
        <w:rPr>
          <w:rFonts w:ascii="仿宋_GB2312" w:hAnsi="仿宋_GB2312" w:eastAsia="仿宋_GB2312" w:cs="仿宋_GB2312"/>
          <w:sz w:val="32"/>
          <w:szCs w:val="32"/>
        </w:rPr>
      </w:pPr>
      <w:r>
        <w:rPr>
          <w:rFonts w:hint="eastAsia" w:ascii="黑体" w:hAnsi="黑体" w:eastAsia="黑体" w:cs="仿宋_GB2312"/>
          <w:sz w:val="32"/>
          <w:szCs w:val="32"/>
        </w:rPr>
        <w:t>第七条</w:t>
      </w:r>
      <w:r>
        <w:rPr>
          <w:rFonts w:hint="eastAsia" w:ascii="仿宋_GB2312" w:hAnsi="仿宋_GB2312" w:eastAsia="仿宋_GB2312" w:cs="仿宋_GB2312"/>
          <w:sz w:val="32"/>
          <w:szCs w:val="32"/>
        </w:rPr>
        <w:t xml:space="preserve">  </w:t>
      </w:r>
      <w:r>
        <w:rPr>
          <w:rFonts w:hint="eastAsia" w:ascii="仿宋_GB2312" w:hAnsi="黑体" w:eastAsia="仿宋_GB2312" w:cs="黑体"/>
          <w:sz w:val="32"/>
          <w:szCs w:val="32"/>
        </w:rPr>
        <w:t>雪茄烟零售点单独发证，不受间距限制，雪茄烟零售点数量设置的标准，原则上只在镇域市场单元设置，且不超过其申请地址所在镇域市场单元容量的</w:t>
      </w:r>
      <w:r>
        <w:rPr>
          <w:rFonts w:hint="eastAsia" w:ascii="仿宋_GB2312" w:hAnsi="黑体" w:eastAsia="仿宋_GB2312" w:cs="黑体"/>
          <w:sz w:val="32"/>
          <w:szCs w:val="32"/>
          <w:highlight w:val="red"/>
          <w:lang w:val="en-US" w:eastAsia="zh-CN"/>
        </w:rPr>
        <w:t>10</w:t>
      </w:r>
      <w:r>
        <w:rPr>
          <w:rFonts w:hint="eastAsia" w:ascii="仿宋_GB2312" w:hAnsi="黑体" w:eastAsia="仿宋_GB2312" w:cs="黑体"/>
          <w:sz w:val="32"/>
          <w:szCs w:val="32"/>
        </w:rPr>
        <w:t>%。雪茄烟零售点不作为测量其他卷烟零售点间距及测算市场容量的参照点。 市场单元划分参照《</w:t>
      </w:r>
      <w:r>
        <w:rPr>
          <w:rFonts w:hint="eastAsia" w:ascii="仿宋_GB2312" w:hAnsi="黑体" w:eastAsia="仿宋_GB2312" w:cs="黑体"/>
          <w:sz w:val="32"/>
          <w:szCs w:val="32"/>
          <w:lang w:val="en-US" w:eastAsia="zh-CN"/>
        </w:rPr>
        <w:t>青岛市黄岛区</w:t>
      </w:r>
      <w:r>
        <w:rPr>
          <w:rFonts w:hint="eastAsia" w:ascii="仿宋_GB2312" w:hAnsi="黑体" w:eastAsia="仿宋_GB2312" w:cs="黑体"/>
          <w:sz w:val="32"/>
          <w:szCs w:val="32"/>
        </w:rPr>
        <w:t>烟草制品零售点布局规定》（x烟专【2026】*号）第六条、第七条、第八条执行。</w:t>
      </w:r>
    </w:p>
    <w:p w14:paraId="0B4EED20">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第八条  </w:t>
      </w:r>
      <w:r>
        <w:rPr>
          <w:rFonts w:ascii="仿宋_GB2312" w:hAnsi="黑体" w:eastAsia="仿宋_GB2312" w:cs="黑体"/>
          <w:sz w:val="32"/>
          <w:szCs w:val="32"/>
        </w:rPr>
        <w:t>申请</w:t>
      </w:r>
      <w:r>
        <w:rPr>
          <w:rFonts w:hint="eastAsia" w:ascii="仿宋_GB2312" w:hAnsi="黑体" w:eastAsia="仿宋_GB2312" w:cs="黑体"/>
          <w:sz w:val="32"/>
          <w:szCs w:val="32"/>
        </w:rPr>
        <w:t>人</w:t>
      </w:r>
      <w:r>
        <w:rPr>
          <w:rFonts w:ascii="仿宋_GB2312" w:hAnsi="黑体" w:eastAsia="仿宋_GB2312" w:cs="黑体"/>
          <w:sz w:val="32"/>
          <w:szCs w:val="32"/>
        </w:rPr>
        <w:t>有下列情形之一的，</w:t>
      </w:r>
      <w:r>
        <w:rPr>
          <w:rFonts w:hint="eastAsia" w:ascii="仿宋_GB2312" w:hAnsi="黑体" w:eastAsia="仿宋_GB2312" w:cs="黑体"/>
          <w:sz w:val="32"/>
          <w:szCs w:val="32"/>
        </w:rPr>
        <w:t>不予核发雪茄烟专卖零售许可证</w:t>
      </w:r>
      <w:r>
        <w:rPr>
          <w:rFonts w:ascii="仿宋_GB2312" w:hAnsi="黑体" w:eastAsia="仿宋_GB2312" w:cs="黑体"/>
          <w:sz w:val="32"/>
          <w:szCs w:val="32"/>
        </w:rPr>
        <w:t>：</w:t>
      </w:r>
    </w:p>
    <w:p w14:paraId="4F6A5DF8">
      <w:pPr>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（一）未成年人、</w:t>
      </w:r>
      <w:r>
        <w:rPr>
          <w:rFonts w:ascii="仿宋_GB2312" w:hAnsi="黑体" w:eastAsia="仿宋_GB2312" w:cs="黑体"/>
          <w:sz w:val="32"/>
          <w:szCs w:val="32"/>
        </w:rPr>
        <w:t>无民事行为能力人</w:t>
      </w:r>
      <w:r>
        <w:rPr>
          <w:rFonts w:hint="eastAsia" w:ascii="仿宋_GB2312" w:hAnsi="黑体" w:eastAsia="仿宋_GB2312" w:cs="黑体"/>
          <w:sz w:val="32"/>
          <w:szCs w:val="32"/>
        </w:rPr>
        <w:t>或者</w:t>
      </w:r>
      <w:r>
        <w:rPr>
          <w:rFonts w:ascii="仿宋_GB2312" w:hAnsi="黑体" w:eastAsia="仿宋_GB2312" w:cs="黑体"/>
          <w:sz w:val="32"/>
          <w:szCs w:val="32"/>
        </w:rPr>
        <w:t>限制民事行为能力人</w:t>
      </w:r>
      <w:r>
        <w:rPr>
          <w:rFonts w:hint="eastAsia" w:ascii="仿宋_GB2312" w:hAnsi="黑体" w:eastAsia="仿宋_GB2312" w:cs="黑体"/>
          <w:sz w:val="32"/>
          <w:szCs w:val="32"/>
        </w:rPr>
        <w:t>；</w:t>
      </w:r>
    </w:p>
    <w:p w14:paraId="0D8E3414">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（二）</w:t>
      </w:r>
      <w:r>
        <w:rPr>
          <w:rFonts w:ascii="仿宋_GB2312" w:hAnsi="黑体" w:eastAsia="仿宋_GB2312" w:cs="黑体"/>
          <w:sz w:val="32"/>
          <w:szCs w:val="32"/>
        </w:rPr>
        <w:t>外商投资的商业企业或者个体工商户</w:t>
      </w:r>
      <w:r>
        <w:rPr>
          <w:rFonts w:hint="eastAsia" w:ascii="仿宋_GB2312" w:hAnsi="黑体" w:eastAsia="仿宋_GB2312" w:cs="黑体"/>
          <w:sz w:val="32"/>
          <w:szCs w:val="32"/>
        </w:rPr>
        <w:t>，或者其</w:t>
      </w:r>
      <w:r>
        <w:rPr>
          <w:rFonts w:ascii="仿宋_GB2312" w:hAnsi="黑体" w:eastAsia="仿宋_GB2312" w:cs="黑体"/>
          <w:sz w:val="32"/>
          <w:szCs w:val="32"/>
        </w:rPr>
        <w:t>以特许、吸纳加盟</w:t>
      </w:r>
      <w:r>
        <w:rPr>
          <w:rFonts w:hint="eastAsia" w:ascii="仿宋_GB2312" w:hAnsi="黑体" w:eastAsia="仿宋_GB2312" w:cs="黑体"/>
          <w:sz w:val="32"/>
          <w:szCs w:val="32"/>
        </w:rPr>
        <w:t>店</w:t>
      </w:r>
      <w:r>
        <w:rPr>
          <w:rFonts w:ascii="仿宋_GB2312" w:hAnsi="黑体" w:eastAsia="仿宋_GB2312" w:cs="黑体"/>
          <w:sz w:val="32"/>
          <w:szCs w:val="32"/>
        </w:rPr>
        <w:t>以及其他再投资等形式变相从事烟草专卖品经营的</w:t>
      </w:r>
      <w:r>
        <w:rPr>
          <w:rFonts w:hint="eastAsia" w:ascii="仿宋_GB2312" w:hAnsi="黑体" w:eastAsia="仿宋_GB2312" w:cs="黑体"/>
          <w:sz w:val="32"/>
          <w:szCs w:val="32"/>
        </w:rPr>
        <w:t>；</w:t>
      </w:r>
    </w:p>
    <w:p w14:paraId="137FD454">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（三）</w:t>
      </w:r>
      <w:r>
        <w:rPr>
          <w:rFonts w:ascii="仿宋_GB2312" w:hAnsi="黑体" w:eastAsia="仿宋_GB2312" w:cs="黑体"/>
          <w:sz w:val="32"/>
          <w:szCs w:val="32"/>
        </w:rPr>
        <w:t>取消从事烟草专卖业务资格不满三年的</w:t>
      </w:r>
      <w:r>
        <w:rPr>
          <w:rFonts w:hint="eastAsia" w:ascii="仿宋_GB2312" w:hAnsi="黑体" w:eastAsia="仿宋_GB2312" w:cs="黑体"/>
          <w:sz w:val="32"/>
          <w:szCs w:val="32"/>
        </w:rPr>
        <w:t>；</w:t>
      </w:r>
    </w:p>
    <w:p w14:paraId="17954567">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（四）</w:t>
      </w:r>
      <w:r>
        <w:rPr>
          <w:rFonts w:ascii="仿宋_GB2312" w:hAnsi="黑体" w:eastAsia="仿宋_GB2312" w:cs="黑体"/>
          <w:sz w:val="32"/>
          <w:szCs w:val="32"/>
        </w:rPr>
        <w:t>隐瞒有关情况或者提供虚假材料，烟草专卖局作出不予受理或者不予发证决定后，一年内再次提出申请的</w:t>
      </w:r>
      <w:r>
        <w:rPr>
          <w:rFonts w:hint="eastAsia" w:ascii="仿宋_GB2312" w:hAnsi="黑体" w:eastAsia="仿宋_GB2312" w:cs="黑体"/>
          <w:sz w:val="32"/>
          <w:szCs w:val="32"/>
        </w:rPr>
        <w:t>；</w:t>
      </w:r>
    </w:p>
    <w:p w14:paraId="2F6A9310">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（五）</w:t>
      </w:r>
      <w:r>
        <w:rPr>
          <w:rFonts w:ascii="仿宋_GB2312" w:hAnsi="黑体" w:eastAsia="仿宋_GB2312" w:cs="黑体"/>
          <w:sz w:val="32"/>
          <w:szCs w:val="32"/>
        </w:rPr>
        <w:t>以欺骗、贿赂等不正当手段取得的烟草专卖许可证被撤销后，三年内再次提出申请的</w:t>
      </w:r>
      <w:r>
        <w:rPr>
          <w:rFonts w:hint="eastAsia" w:ascii="仿宋_GB2312" w:hAnsi="黑体" w:eastAsia="仿宋_GB2312" w:cs="黑体"/>
          <w:sz w:val="32"/>
          <w:szCs w:val="32"/>
        </w:rPr>
        <w:t>；</w:t>
      </w:r>
    </w:p>
    <w:p w14:paraId="0AA4EAC7">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（六）未领取烟草专卖零售许可证经营烟草专卖品业务被追究刑事责任，在三年内申请领取烟草专卖零售许可证的；</w:t>
      </w:r>
    </w:p>
    <w:p w14:paraId="01E8DA02">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（七）未领取烟草专卖零售许可证经营烟草专卖品业务，并且一年内被执法机关处罚两次以上，在三年内申请领取烟草专卖零售许可证的；</w:t>
      </w:r>
    </w:p>
    <w:p w14:paraId="5B2CBE63">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（八）</w:t>
      </w:r>
      <w:r>
        <w:rPr>
          <w:rFonts w:ascii="仿宋_GB2312" w:hAnsi="黑体" w:eastAsia="仿宋_GB2312" w:cs="黑体"/>
          <w:sz w:val="32"/>
          <w:szCs w:val="32"/>
        </w:rPr>
        <w:t>其他依法不得从事烟草制品零售业务的情形。</w:t>
      </w:r>
    </w:p>
    <w:p w14:paraId="410ED80F">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第九条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经营场所有下列情形之一的，不予核发雪茄烟专卖零售许可证：</w:t>
      </w:r>
    </w:p>
    <w:p w14:paraId="4821C5AB">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（一）无固定经营场所的；</w:t>
      </w:r>
    </w:p>
    <w:p w14:paraId="32CFBD5F">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（二）经营场所与住所不相独立的；</w:t>
      </w:r>
    </w:p>
    <w:p w14:paraId="5009483E">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（三）申请办理雪茄烟专卖零售许可证的经营场所内不具备雪茄烟的存储、展示、销售等经营条件的；</w:t>
      </w:r>
    </w:p>
    <w:p w14:paraId="0CF8595E">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（四）</w:t>
      </w:r>
      <w:r>
        <w:rPr>
          <w:rFonts w:ascii="仿宋_GB2312" w:hAnsi="黑体" w:eastAsia="仿宋_GB2312" w:cs="黑体"/>
          <w:sz w:val="32"/>
          <w:szCs w:val="32"/>
        </w:rPr>
        <w:t>中小学</w:t>
      </w:r>
      <w:r>
        <w:rPr>
          <w:rFonts w:hint="eastAsia" w:ascii="仿宋_GB2312" w:hAnsi="黑体" w:eastAsia="仿宋_GB2312" w:cs="黑体"/>
          <w:sz w:val="32"/>
          <w:szCs w:val="32"/>
        </w:rPr>
        <w:t>校、</w:t>
      </w:r>
      <w:r>
        <w:rPr>
          <w:rFonts w:ascii="仿宋_GB2312" w:hAnsi="黑体" w:eastAsia="仿宋_GB2312" w:cs="黑体"/>
          <w:sz w:val="32"/>
          <w:szCs w:val="32"/>
        </w:rPr>
        <w:t>幼儿园</w:t>
      </w:r>
      <w:r>
        <w:rPr>
          <w:rFonts w:hint="eastAsia" w:ascii="仿宋_GB2312" w:hAnsi="黑体" w:eastAsia="仿宋_GB2312" w:cs="黑体"/>
          <w:sz w:val="32"/>
          <w:szCs w:val="32"/>
        </w:rPr>
        <w:t>内及其进出通道口向外延伸100</w:t>
      </w:r>
      <w:r>
        <w:rPr>
          <w:rFonts w:ascii="仿宋_GB2312" w:hAnsi="黑体" w:eastAsia="仿宋_GB2312" w:cs="黑体"/>
          <w:sz w:val="32"/>
          <w:szCs w:val="32"/>
        </w:rPr>
        <w:t>米</w:t>
      </w:r>
      <w:r>
        <w:rPr>
          <w:rFonts w:hint="eastAsia" w:ascii="仿宋_GB2312" w:hAnsi="黑体" w:eastAsia="仿宋_GB2312" w:cs="黑体"/>
          <w:sz w:val="32"/>
          <w:szCs w:val="32"/>
        </w:rPr>
        <w:t>以</w:t>
      </w:r>
      <w:r>
        <w:rPr>
          <w:rFonts w:ascii="仿宋_GB2312" w:hAnsi="黑体" w:eastAsia="仿宋_GB2312" w:cs="黑体"/>
          <w:sz w:val="32"/>
          <w:szCs w:val="32"/>
        </w:rPr>
        <w:t>内的</w:t>
      </w:r>
      <w:r>
        <w:rPr>
          <w:rFonts w:hint="eastAsia" w:ascii="仿宋_GB2312" w:hAnsi="黑体" w:eastAsia="仿宋_GB2312" w:cs="黑体"/>
          <w:sz w:val="32"/>
          <w:szCs w:val="32"/>
        </w:rPr>
        <w:t>；</w:t>
      </w:r>
    </w:p>
    <w:p w14:paraId="4686334F">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（五）位于</w:t>
      </w:r>
      <w:r>
        <w:rPr>
          <w:rFonts w:ascii="仿宋_GB2312" w:hAnsi="黑体" w:eastAsia="仿宋_GB2312" w:cs="黑体"/>
          <w:sz w:val="32"/>
          <w:szCs w:val="32"/>
        </w:rPr>
        <w:t>党政机关、医疗机构内部</w:t>
      </w:r>
      <w:r>
        <w:rPr>
          <w:rFonts w:hint="eastAsia" w:ascii="仿宋_GB2312" w:hAnsi="黑体" w:eastAsia="仿宋_GB2312" w:cs="黑体"/>
          <w:sz w:val="32"/>
          <w:szCs w:val="32"/>
        </w:rPr>
        <w:t>的；</w:t>
      </w:r>
    </w:p>
    <w:p w14:paraId="4B208A83">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（六）已被政府纳入拆迁规划的区域；</w:t>
      </w:r>
    </w:p>
    <w:p w14:paraId="2E2F1FEE">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（七）办公楼、写字楼等除首层以外的场所；</w:t>
      </w:r>
    </w:p>
    <w:p w14:paraId="4B48855A">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（八）未取得消防安全相关资质的加油站内设便利店；</w:t>
      </w:r>
    </w:p>
    <w:p w14:paraId="06E91A33">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九）爱国主义教育基地、图书馆、青少年宫、儿童活动中心、儿童之家、博物馆、纪念馆、科技馆、展览馆、美术馆、文化馆、社区公益性互联网上网服务场所以及影剧院、体育场馆、动物园、植物园、公园等及其附属设施内部；</w:t>
      </w:r>
    </w:p>
    <w:p w14:paraId="340CA952">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（十）母婴用品、文具玩具、青少年培训机构、未成年人游乐场所等容易诱导未成年人关注、购买、吸食烟草制品的场所内部；</w:t>
      </w:r>
    </w:p>
    <w:p w14:paraId="0C581D3D">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（十一）生产、经营、储存有毒有害、易燃易爆易挥发类物质，容易造成烟草制品污染或基于安全因素不适宜经营烟草制品的经营场所；</w:t>
      </w:r>
    </w:p>
    <w:p w14:paraId="2A3CF434">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（十二）政府或相关部门明文规定不适宜经营烟草制品的场所；</w:t>
      </w:r>
    </w:p>
    <w:p w14:paraId="5F0EFB8D">
      <w:pPr>
        <w:adjustRightInd w:val="0"/>
        <w:snapToGrid w:val="0"/>
        <w:spacing w:line="360" w:lineRule="auto"/>
        <w:ind w:firstLine="1056" w:firstLineChars="330"/>
        <w:jc w:val="left"/>
        <w:rPr>
          <w:rFonts w:ascii="仿宋_GB2312" w:hAnsi="黑体" w:eastAsia="仿宋_GB2312" w:cs="黑体"/>
          <w:sz w:val="32"/>
          <w:szCs w:val="32"/>
        </w:rPr>
      </w:pPr>
      <w:r>
        <w:rPr>
          <w:rFonts w:hint="eastAsia" w:ascii="仿宋_GB2312" w:hAnsi="黑体" w:eastAsia="仿宋_GB2312" w:cs="黑体"/>
          <w:sz w:val="32"/>
          <w:szCs w:val="32"/>
        </w:rPr>
        <w:t>（十三）其他依法不得从事烟草制品零售业务的场所。</w:t>
      </w:r>
    </w:p>
    <w:p w14:paraId="4CB0E99F">
      <w:pPr>
        <w:spacing w:line="360" w:lineRule="auto"/>
        <w:ind w:firstLine="899" w:firstLineChars="281"/>
        <w:rPr>
          <w:rFonts w:ascii="仿宋_GB2312" w:hAnsi="黑体" w:eastAsia="仿宋_GB2312" w:cs="黑体"/>
          <w:sz w:val="32"/>
          <w:szCs w:val="32"/>
        </w:rPr>
      </w:pPr>
      <w:r>
        <w:rPr>
          <w:rFonts w:hint="eastAsia" w:ascii="黑体" w:hAnsi="黑体" w:eastAsia="黑体" w:cs="仿宋_GB2312"/>
          <w:sz w:val="32"/>
          <w:szCs w:val="32"/>
        </w:rPr>
        <w:t>第十条</w:t>
      </w:r>
      <w:r>
        <w:rPr>
          <w:rFonts w:hint="eastAsia" w:ascii="仿宋_GB2312" w:hAnsi="黑体" w:eastAsia="仿宋_GB2312" w:cs="黑体"/>
          <w:sz w:val="32"/>
          <w:szCs w:val="32"/>
        </w:rPr>
        <w:t xml:space="preserve">  经营模式有下列情形之一的，不予核发雪茄烟烟草专卖零售许可证：</w:t>
      </w:r>
    </w:p>
    <w:p w14:paraId="798A57AF">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（一）利用自动售货机（柜）或其他自动售货方式销售雪茄烟的；</w:t>
      </w:r>
    </w:p>
    <w:p w14:paraId="6D7214F5">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（二）以无人售货等形式销售雪茄烟的；</w:t>
      </w:r>
    </w:p>
    <w:p w14:paraId="34187F24">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（三）以游戏、博彩等方式经营雪茄烟的；</w:t>
      </w:r>
    </w:p>
    <w:p w14:paraId="04EBB7B4">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（四）通过信息网络销售雪茄烟的；</w:t>
      </w:r>
    </w:p>
    <w:p w14:paraId="7593C63B">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（五）其他依法不得从事雪茄烟零售业务的情形。</w:t>
      </w:r>
    </w:p>
    <w:p w14:paraId="7023486F">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第十一条</w:t>
      </w:r>
      <w:r>
        <w:rPr>
          <w:rFonts w:hint="eastAsia" w:ascii="仿宋_GB2312" w:hAnsi="黑体" w:eastAsia="仿宋_GB2312" w:cs="黑体"/>
          <w:sz w:val="32"/>
          <w:szCs w:val="32"/>
        </w:rPr>
        <w:t xml:space="preserve">   主营业务为服装鞋帽、医疗器械、物流寄递、电子商品、网吧网咖、美发美容、保健按摩、五金汽修、文体用品、鲜花绿植、家居建材等专业性较强，与烟草制品零售业务没有直接或间接互补营销关系的业态类型不予设置零售点。</w:t>
      </w:r>
    </w:p>
    <w:p w14:paraId="19200829">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第十二条  </w:t>
      </w:r>
      <w:r>
        <w:rPr>
          <w:rFonts w:hint="eastAsia" w:ascii="仿宋_GB2312" w:hAnsi="黑体" w:eastAsia="仿宋_GB2312" w:cs="黑体"/>
          <w:sz w:val="32"/>
          <w:szCs w:val="32"/>
        </w:rPr>
        <w:t>有下列情形之一的，可以变更雪茄烟零售许可证：</w:t>
      </w:r>
    </w:p>
    <w:p w14:paraId="23557BCD">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（一）经营场所位于中小学、幼儿园周围限制区域，持证人在许可证有效期内申请变更到本辖区内其他地址经营的；</w:t>
      </w:r>
    </w:p>
    <w:p w14:paraId="12935270">
      <w:pPr>
        <w:spacing w:line="360" w:lineRule="auto"/>
        <w:ind w:firstLine="899" w:firstLineChars="281"/>
        <w:rPr>
          <w:rFonts w:ascii="仿宋_GB2312" w:hAnsi="黑体" w:eastAsia="仿宋_GB2312" w:cs="黑体"/>
          <w:sz w:val="32"/>
          <w:szCs w:val="32"/>
        </w:rPr>
      </w:pPr>
      <w:r>
        <w:rPr>
          <w:rFonts w:hint="eastAsia" w:ascii="仿宋_GB2312" w:hAnsi="黑体" w:eastAsia="仿宋_GB2312" w:cs="黑体"/>
          <w:sz w:val="32"/>
          <w:szCs w:val="32"/>
        </w:rPr>
        <w:t>（二）因道路规划、城市建设、自然灾害等客观原因造成无法在核定经营地址经营，持证人在许可证有效期内申请变更到本辖区内其他地址经营的。</w:t>
      </w:r>
    </w:p>
    <w:p w14:paraId="15555166">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第十三条  </w:t>
      </w:r>
      <w:r>
        <w:rPr>
          <w:rFonts w:hint="eastAsia" w:ascii="仿宋_GB2312" w:hAnsi="黑体" w:eastAsia="仿宋_GB2312" w:cs="黑体"/>
          <w:sz w:val="32"/>
          <w:szCs w:val="32"/>
        </w:rPr>
        <w:t>原持证人为个人经营的个体工商户，若原持证人死亡或完全丧失民事行为能力的，其直系亲属（限于配偶、父母、子女）或法定监护人，在原持证人死亡或丧失民事行为能力之日起90个自然日内，在原经营地址重新申领雪茄烟零售许可证的。应予以受理并重新办理。办理时可不受该地址所在市场单元容量限制和间距限制。申请主体应符合以下要求：</w:t>
      </w:r>
    </w:p>
    <w:p w14:paraId="152F6437">
      <w:pPr>
        <w:adjustRightInd w:val="0"/>
        <w:snapToGrid w:val="0"/>
        <w:spacing w:line="360" w:lineRule="auto"/>
        <w:ind w:firstLine="960" w:firstLineChars="300"/>
        <w:rPr>
          <w:rFonts w:ascii="仿宋_GB2312" w:hAnsi="黑体" w:eastAsia="仿宋_GB2312" w:cs="黑体"/>
          <w:sz w:val="32"/>
          <w:szCs w:val="32"/>
        </w:rPr>
      </w:pPr>
      <w:r>
        <w:rPr>
          <w:rFonts w:hint="eastAsia" w:ascii="仿宋_GB2312" w:hAnsi="黑体" w:eastAsia="仿宋_GB2312" w:cs="黑体"/>
          <w:sz w:val="32"/>
          <w:szCs w:val="32"/>
        </w:rPr>
        <w:t>（一</w:t>
      </w:r>
      <w:bookmarkStart w:id="1" w:name="_GoBack"/>
      <w:bookmarkEnd w:id="1"/>
      <w:r>
        <w:rPr>
          <w:rFonts w:hint="eastAsia" w:ascii="仿宋_GB2312" w:hAnsi="黑体" w:eastAsia="仿宋_GB2312" w:cs="黑体"/>
          <w:sz w:val="32"/>
          <w:szCs w:val="32"/>
        </w:rPr>
        <w:t>）申请人需提供相关法律关系证明，且原持证人在许可证有效期内，注销前2年内无涉烟违法违规经营记录；（以行政处罚决定书或司法机关文书为准）</w:t>
      </w:r>
    </w:p>
    <w:p w14:paraId="36B104EE">
      <w:pPr>
        <w:adjustRightInd w:val="0"/>
        <w:snapToGrid w:val="0"/>
        <w:spacing w:line="360" w:lineRule="auto"/>
        <w:ind w:firstLine="960" w:firstLineChars="300"/>
        <w:rPr>
          <w:rFonts w:ascii="仿宋_GB2312" w:hAnsi="黑体" w:eastAsia="仿宋_GB2312" w:cs="黑体"/>
          <w:sz w:val="32"/>
          <w:szCs w:val="32"/>
        </w:rPr>
      </w:pPr>
      <w:r>
        <w:rPr>
          <w:rFonts w:hint="eastAsia" w:ascii="仿宋_GB2312" w:hAnsi="黑体" w:eastAsia="仿宋_GB2312" w:cs="黑体"/>
          <w:sz w:val="32"/>
          <w:szCs w:val="32"/>
        </w:rPr>
        <w:t>（二）新申请人必须具备经营资格与经营能力，并满足年满十八周岁及具有完全民事行为能力的申请主体要求。</w:t>
      </w:r>
    </w:p>
    <w:p w14:paraId="0F61DC30">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第十四条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本规定中下列用语的含义：</w:t>
      </w:r>
    </w:p>
    <w:p w14:paraId="13CFE97C">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（一）“固定经营场所</w:t>
      </w:r>
      <w:r>
        <w:rPr>
          <w:rFonts w:hint="eastAsia" w:ascii="仿宋_GB2312" w:hAnsi="黑体" w:eastAsia="仿宋_GB2312" w:cs="黑体"/>
          <w:sz w:val="32"/>
          <w:szCs w:val="32"/>
        </w:rPr>
        <w:t>”，是指用于商品销售、存储的不可移动且合法使用的场所，不包括住宅、公寓或其附属的地下室、储藏室、车库等</w:t>
      </w:r>
      <w:r>
        <w:rPr>
          <w:rFonts w:hint="eastAsia" w:ascii="仿宋_GB2312" w:eastAsia="仿宋_GB2312"/>
          <w:sz w:val="32"/>
          <w:szCs w:val="32"/>
        </w:rPr>
        <w:t>。</w:t>
      </w:r>
      <w:r>
        <w:rPr>
          <w:rFonts w:hint="eastAsia" w:ascii="仿宋_GB2312" w:hAnsi="黑体" w:eastAsia="仿宋_GB2312" w:cs="黑体"/>
          <w:sz w:val="32"/>
          <w:szCs w:val="32"/>
        </w:rPr>
        <w:t>也不包含流动摊点（车、棚）、违章建筑、临时建筑物（建筑工地除外）等。但申请人用于存放烟草制品的仓库与经营场所相连接的空间视为经营场所，应当在实地核查时予以明确。</w:t>
      </w:r>
    </w:p>
    <w:p w14:paraId="35613422">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（二）“与住所相独立”，是指经营场所与生活居住场所在物理空间上隔离且有明确的区域界线。</w:t>
      </w:r>
    </w:p>
    <w:p w14:paraId="171853D3">
      <w:pPr>
        <w:adjustRightInd w:val="0"/>
        <w:snapToGrid w:val="0"/>
        <w:spacing w:line="360" w:lineRule="auto"/>
        <w:ind w:firstLine="1056" w:firstLineChars="330"/>
        <w:rPr>
          <w:rFonts w:ascii="仿宋_GB2312" w:hAnsi="黑体" w:eastAsia="仿宋_GB2312" w:cs="黑体"/>
          <w:sz w:val="32"/>
          <w:szCs w:val="32"/>
        </w:rPr>
      </w:pPr>
      <w:r>
        <w:rPr>
          <w:rFonts w:hint="eastAsia" w:ascii="仿宋_GB2312" w:hAnsi="黑体" w:eastAsia="仿宋_GB2312" w:cs="黑体"/>
          <w:sz w:val="32"/>
          <w:szCs w:val="32"/>
        </w:rPr>
        <w:t>（三）“中、小学校”，是指普通中小学、特殊学校、中等职业学校、专门学校。“中、小学校”“幼儿园”进出通道口不包括教职工通道、后勤通道、消防通道等长年关闭且无学生出入的进出口等。</w:t>
      </w:r>
    </w:p>
    <w:p w14:paraId="2FDD5C65">
      <w:pPr>
        <w:widowControl/>
        <w:spacing w:line="560" w:lineRule="exact"/>
        <w:ind w:firstLine="640" w:firstLineChars="200"/>
        <w:jc w:val="left"/>
        <w:rPr>
          <w:rFonts w:ascii="仿宋_GB2312" w:hAnsi="黑体" w:eastAsia="仿宋_GB2312" w:cs="黑体"/>
          <w:sz w:val="32"/>
          <w:szCs w:val="32"/>
        </w:rPr>
      </w:pPr>
      <w:r>
        <w:rPr>
          <w:rFonts w:hint="eastAsia" w:ascii="黑体" w:hAnsi="黑体" w:eastAsia="黑体" w:cs="仿宋_GB2312"/>
          <w:sz w:val="32"/>
          <w:szCs w:val="32"/>
        </w:rPr>
        <w:t>第十五条</w:t>
      </w:r>
      <w:r>
        <w:rPr>
          <w:rFonts w:hint="eastAsia" w:ascii="Times New Roman" w:hAnsi="Times New Roman" w:eastAsia="仿宋_GB2312"/>
          <w:color w:val="000000"/>
          <w:sz w:val="32"/>
          <w:szCs w:val="32"/>
          <w:lang w:bidi="ar"/>
        </w:rPr>
        <w:t xml:space="preserve">  </w:t>
      </w:r>
      <w:r>
        <w:rPr>
          <w:rFonts w:hint="eastAsia" w:ascii="仿宋_GB2312" w:hAnsi="黑体" w:eastAsia="仿宋_GB2312" w:cs="黑体"/>
          <w:sz w:val="32"/>
          <w:szCs w:val="32"/>
        </w:rPr>
        <w:t>本规定仅适用于雪茄烟零售点的设置。雪茄烟零售点申请变更经营范围，增加卷烟的，应当符合</w:t>
      </w:r>
      <w:r>
        <w:rPr>
          <w:rFonts w:hint="eastAsia" w:ascii="仿宋_GB2312" w:hAnsi="黑体" w:eastAsia="仿宋_GB2312" w:cs="黑体"/>
          <w:sz w:val="32"/>
          <w:szCs w:val="32"/>
          <w:lang w:val="en-US" w:eastAsia="zh-CN"/>
        </w:rPr>
        <w:t>青岛市黄岛区</w:t>
      </w:r>
      <w:r>
        <w:rPr>
          <w:rFonts w:hint="eastAsia" w:ascii="仿宋_GB2312" w:hAnsi="黑体" w:eastAsia="仿宋_GB2312" w:cs="黑体"/>
          <w:sz w:val="32"/>
          <w:szCs w:val="32"/>
        </w:rPr>
        <w:t>烟草制品零售点布局规定。</w:t>
      </w:r>
    </w:p>
    <w:p w14:paraId="6C23CD3A">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第十六条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本规定中“以上”、“以内”包括本数。</w:t>
      </w:r>
    </w:p>
    <w:p w14:paraId="204478F3">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第十七条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本规定在实施过程中，法律、法规、规章及上级主管部门制定的文件另有规定的，从其规定。</w:t>
      </w:r>
    </w:p>
    <w:p w14:paraId="753F0BA3">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第十八条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本规定由</w:t>
      </w:r>
      <w:r>
        <w:rPr>
          <w:rFonts w:hint="eastAsia" w:ascii="仿宋_GB2312" w:hAnsi="黑体" w:eastAsia="仿宋_GB2312" w:cs="黑体"/>
          <w:sz w:val="32"/>
          <w:szCs w:val="32"/>
          <w:lang w:val="en-US" w:eastAsia="zh-CN"/>
        </w:rPr>
        <w:t>黄岛区</w:t>
      </w:r>
      <w:r>
        <w:rPr>
          <w:rFonts w:hint="eastAsia" w:ascii="仿宋_GB2312" w:hAnsi="黑体" w:eastAsia="仿宋_GB2312" w:cs="黑体"/>
          <w:sz w:val="32"/>
          <w:szCs w:val="32"/>
        </w:rPr>
        <w:t>烟草专卖局负责解释。</w:t>
      </w:r>
    </w:p>
    <w:p w14:paraId="3A308820">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第十九条  </w:t>
      </w:r>
      <w:r>
        <w:rPr>
          <w:rFonts w:hint="eastAsia" w:ascii="仿宋_GB2312" w:hAnsi="黑体" w:eastAsia="仿宋_GB2312" w:cs="黑体"/>
          <w:sz w:val="32"/>
          <w:szCs w:val="32"/>
        </w:rPr>
        <w:t>本规定自2026年*月*日起施行。</w:t>
      </w:r>
    </w:p>
    <w:p w14:paraId="7EE4B37C">
      <w:pPr>
        <w:adjustRightInd w:val="0"/>
        <w:snapToGrid w:val="0"/>
        <w:spacing w:line="360" w:lineRule="auto"/>
        <w:ind w:firstLine="1056" w:firstLineChars="330"/>
        <w:rPr>
          <w:rFonts w:ascii="仿宋_GB2312" w:eastAsia="仿宋_GB2312"/>
          <w:sz w:val="32"/>
          <w:szCs w:val="32"/>
        </w:rPr>
      </w:pPr>
    </w:p>
    <w:p w14:paraId="6613E2BE">
      <w:pPr>
        <w:adjustRightInd w:val="0"/>
        <w:snapToGrid w:val="0"/>
        <w:spacing w:line="360" w:lineRule="auto"/>
        <w:ind w:firstLine="1056" w:firstLineChars="330"/>
        <w:rPr>
          <w:rFonts w:ascii="仿宋_GB2312" w:hAnsi="黑体" w:eastAsia="仿宋_GB2312" w:cs="黑体"/>
          <w:sz w:val="32"/>
          <w:szCs w:val="32"/>
        </w:rPr>
      </w:pPr>
    </w:p>
    <w:p w14:paraId="0AFA7855">
      <w:pPr>
        <w:adjustRightInd w:val="0"/>
        <w:snapToGrid w:val="0"/>
        <w:spacing w:line="360" w:lineRule="auto"/>
        <w:ind w:firstLine="1056" w:firstLineChars="330"/>
        <w:rPr>
          <w:rFonts w:ascii="仿宋_GB2312" w:hAnsi="黑体" w:eastAsia="仿宋_GB2312" w:cs="黑体"/>
          <w:sz w:val="32"/>
          <w:szCs w:val="32"/>
        </w:rPr>
      </w:pPr>
    </w:p>
    <w:p w14:paraId="5656E58B">
      <w:pPr>
        <w:adjustRightInd w:val="0"/>
        <w:snapToGrid w:val="0"/>
        <w:spacing w:line="360" w:lineRule="auto"/>
        <w:ind w:firstLine="420"/>
        <w:jc w:val="center"/>
        <w:rPr>
          <w:rFonts w:ascii="方正小标宋简体" w:eastAsia="方正小标宋简体" w:cs="仿宋_GB2312"/>
          <w:sz w:val="44"/>
          <w:szCs w:val="44"/>
        </w:rPr>
      </w:pPr>
    </w:p>
    <w:p w14:paraId="4D385961"/>
    <w:p w14:paraId="50EA64E4">
      <w:pPr>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1D10">
    <w:pPr>
      <w:pStyle w:val="3"/>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28</w:t>
    </w:r>
    <w:r>
      <w:rPr>
        <w:rFonts w:asciiTheme="minorEastAsia" w:hAnsiTheme="minorEastAsia"/>
        <w:sz w:val="28"/>
        <w:szCs w:val="28"/>
      </w:rPr>
      <w:fldChar w:fldCharType="end"/>
    </w:r>
  </w:p>
  <w:p w14:paraId="5389D8FB">
    <w:pPr>
      <w:pStyle w:val="3"/>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5E7"/>
    <w:rsid w:val="00194086"/>
    <w:rsid w:val="005E56A5"/>
    <w:rsid w:val="006C638C"/>
    <w:rsid w:val="0080088D"/>
    <w:rsid w:val="009B5673"/>
    <w:rsid w:val="00A31287"/>
    <w:rsid w:val="00A52867"/>
    <w:rsid w:val="00A56698"/>
    <w:rsid w:val="00A76D39"/>
    <w:rsid w:val="00B968E6"/>
    <w:rsid w:val="00C735E7"/>
    <w:rsid w:val="00C91628"/>
    <w:rsid w:val="00E43E73"/>
    <w:rsid w:val="56CA7BD9"/>
    <w:rsid w:val="66FE31E5"/>
    <w:rsid w:val="68BD0BF4"/>
    <w:rsid w:val="7C234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9"/>
    <w:qFormat/>
    <w:uiPriority w:val="0"/>
    <w:rPr>
      <w:rFonts w:ascii="仿宋" w:hAnsi="仿宋" w:eastAsia="仿宋" w:cs="仿宋"/>
      <w:sz w:val="31"/>
      <w:szCs w:val="31"/>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10267</Words>
  <Characters>10364</Characters>
  <Lines>77</Lines>
  <Paragraphs>21</Paragraphs>
  <TotalTime>0</TotalTime>
  <ScaleCrop>false</ScaleCrop>
  <LinksUpToDate>false</LinksUpToDate>
  <CharactersWithSpaces>10554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2026-06-29T08:17:00Z</dcterms:created>
  <dc:creator>孙怡</dc:creator>
  <cp:lastModifiedBy></cp:lastModifiedBy>
  <dcterms:modified xsi:type="dcterms:W3CDTF">2026-07-20T09:19:23Z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eyJoZGlkIjoiZTVhNTAyZTk4ZGUwNDA4ODQ2NmVkOTk4YjZkMzNlYzgiLCJ1c2VySWQiOiIyNDgzNTAwMjUifQ==</vt:lpwstr>
  </property>
  <property fmtid="{D5CDD505-2E9C-101B-9397-08002B2CF9AE}" pid="4" name="ICV">
    <vt:lpwstr>D46EEAFBB32E4C16B31C81D5E1C1B70C_12</vt:lpwstr>
  </property>
</Properties>
</file>