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42D85">
      <w:pPr>
        <w:spacing w:line="560" w:lineRule="exact"/>
        <w:jc w:val="left"/>
        <w:rPr>
          <w:rFonts w:hint="eastAsia" w:ascii="黑体" w:eastAsia="黑体"/>
          <w:sz w:val="32"/>
          <w:szCs w:val="32"/>
          <w:highlight w:val="none"/>
        </w:rPr>
      </w:pPr>
      <w:bookmarkStart w:id="0" w:name="_GoBack"/>
      <w:bookmarkEnd w:id="0"/>
      <w:r>
        <w:rPr>
          <w:rFonts w:hint="eastAsia" w:ascii="黑体" w:eastAsia="黑体"/>
          <w:sz w:val="32"/>
          <w:szCs w:val="32"/>
          <w:highlight w:val="none"/>
        </w:rPr>
        <w:t>附件</w:t>
      </w:r>
    </w:p>
    <w:tbl>
      <w:tblPr>
        <w:tblStyle w:val="13"/>
        <w:tblW w:w="10505" w:type="dxa"/>
        <w:tblInd w:w="93" w:type="dxa"/>
        <w:tblLayout w:type="fixed"/>
        <w:tblCellMar>
          <w:top w:w="0" w:type="dxa"/>
          <w:left w:w="108" w:type="dxa"/>
          <w:bottom w:w="0" w:type="dxa"/>
          <w:right w:w="108" w:type="dxa"/>
        </w:tblCellMar>
      </w:tblPr>
      <w:tblGrid>
        <w:gridCol w:w="824"/>
        <w:gridCol w:w="6844"/>
        <w:gridCol w:w="1144"/>
        <w:gridCol w:w="1693"/>
      </w:tblGrid>
      <w:tr w14:paraId="3DE4F16F">
        <w:tblPrEx>
          <w:tblCellMar>
            <w:top w:w="0" w:type="dxa"/>
            <w:left w:w="108" w:type="dxa"/>
            <w:bottom w:w="0" w:type="dxa"/>
            <w:right w:w="108" w:type="dxa"/>
          </w:tblCellMar>
        </w:tblPrEx>
        <w:trPr>
          <w:trHeight w:val="630" w:hRule="atLeast"/>
        </w:trPr>
        <w:tc>
          <w:tcPr>
            <w:tcW w:w="10505" w:type="dxa"/>
            <w:gridSpan w:val="4"/>
            <w:tcBorders>
              <w:bottom w:val="single" w:color="auto" w:sz="4" w:space="0"/>
            </w:tcBorders>
            <w:vAlign w:val="center"/>
          </w:tcPr>
          <w:p w14:paraId="798BF5FE">
            <w:pPr>
              <w:widowControl/>
              <w:jc w:val="center"/>
              <w:rPr>
                <w:rFonts w:ascii="方正小标宋_GBK" w:hAnsi="宋体" w:eastAsia="方正小标宋_GBK" w:cs="宋体"/>
                <w:color w:val="000000"/>
                <w:kern w:val="0"/>
                <w:sz w:val="36"/>
                <w:szCs w:val="36"/>
                <w:highlight w:val="none"/>
              </w:rPr>
            </w:pPr>
            <w:r>
              <w:rPr>
                <w:rFonts w:hint="eastAsia" w:ascii="方正小标宋_GBK" w:hAnsi="宋体" w:eastAsia="方正小标宋_GBK" w:cs="宋体"/>
                <w:color w:val="000000"/>
                <w:kern w:val="0"/>
                <w:sz w:val="36"/>
                <w:szCs w:val="36"/>
                <w:highlight w:val="none"/>
              </w:rPr>
              <w:t>“绿色门槛”制度落实企业自查表</w:t>
            </w:r>
          </w:p>
        </w:tc>
      </w:tr>
      <w:tr w14:paraId="7EFA9093">
        <w:tblPrEx>
          <w:tblCellMar>
            <w:top w:w="0" w:type="dxa"/>
            <w:left w:w="108" w:type="dxa"/>
            <w:bottom w:w="0" w:type="dxa"/>
            <w:right w:w="108" w:type="dxa"/>
          </w:tblCellMar>
        </w:tblPrEx>
        <w:trPr>
          <w:trHeight w:val="703" w:hRule="atLeast"/>
        </w:trPr>
        <w:tc>
          <w:tcPr>
            <w:tcW w:w="824" w:type="dxa"/>
            <w:tcBorders>
              <w:top w:val="nil"/>
              <w:left w:val="single" w:color="auto" w:sz="4" w:space="0"/>
              <w:bottom w:val="single" w:color="auto" w:sz="4" w:space="0"/>
              <w:right w:val="single" w:color="auto" w:sz="4" w:space="0"/>
            </w:tcBorders>
            <w:vAlign w:val="center"/>
          </w:tcPr>
          <w:p w14:paraId="77116B2E">
            <w:pPr>
              <w:widowControl/>
              <w:jc w:val="left"/>
              <w:rPr>
                <w:rFonts w:ascii="宋体" w:cs="宋体"/>
                <w:b/>
                <w:bCs/>
                <w:color w:val="000000"/>
                <w:kern w:val="0"/>
                <w:sz w:val="22"/>
                <w:highlight w:val="none"/>
              </w:rPr>
            </w:pPr>
            <w:r>
              <w:rPr>
                <w:rFonts w:hint="eastAsia" w:ascii="宋体" w:hAnsi="宋体" w:cs="宋体"/>
                <w:b/>
                <w:bCs/>
                <w:color w:val="000000"/>
                <w:kern w:val="0"/>
                <w:sz w:val="22"/>
                <w:highlight w:val="none"/>
              </w:rPr>
              <w:t>企业名称</w:t>
            </w:r>
          </w:p>
        </w:tc>
        <w:tc>
          <w:tcPr>
            <w:tcW w:w="6844" w:type="dxa"/>
            <w:tcBorders>
              <w:top w:val="nil"/>
              <w:left w:val="nil"/>
              <w:bottom w:val="single" w:color="auto" w:sz="4" w:space="0"/>
              <w:right w:val="single" w:color="auto" w:sz="4" w:space="0"/>
            </w:tcBorders>
            <w:vAlign w:val="center"/>
          </w:tcPr>
          <w:p w14:paraId="54DF6FAB">
            <w:pPr>
              <w:widowControl/>
              <w:jc w:val="left"/>
              <w:rPr>
                <w:rFonts w:ascii="宋体" w:cs="宋体"/>
                <w:color w:val="000000"/>
                <w:kern w:val="0"/>
                <w:sz w:val="22"/>
                <w:highlight w:val="none"/>
              </w:rPr>
            </w:pPr>
            <w:r>
              <w:rPr>
                <w:rFonts w:hint="eastAsia" w:ascii="宋体" w:hAnsi="宋体" w:cs="宋体"/>
                <w:color w:val="000000"/>
                <w:kern w:val="0"/>
                <w:sz w:val="22"/>
                <w:highlight w:val="none"/>
              </w:rPr>
              <w:t>　</w:t>
            </w:r>
          </w:p>
        </w:tc>
        <w:tc>
          <w:tcPr>
            <w:tcW w:w="1144" w:type="dxa"/>
            <w:tcBorders>
              <w:top w:val="nil"/>
              <w:left w:val="nil"/>
              <w:bottom w:val="single" w:color="auto" w:sz="4" w:space="0"/>
              <w:right w:val="single" w:color="auto" w:sz="4" w:space="0"/>
            </w:tcBorders>
            <w:vAlign w:val="center"/>
          </w:tcPr>
          <w:p w14:paraId="3FCB04AE">
            <w:pPr>
              <w:widowControl/>
              <w:jc w:val="left"/>
              <w:rPr>
                <w:rFonts w:ascii="宋体" w:cs="宋体"/>
                <w:b/>
                <w:bCs/>
                <w:color w:val="000000"/>
                <w:kern w:val="0"/>
                <w:sz w:val="22"/>
                <w:highlight w:val="none"/>
              </w:rPr>
            </w:pPr>
            <w:r>
              <w:rPr>
                <w:rFonts w:hint="eastAsia" w:ascii="宋体" w:hAnsi="宋体" w:cs="宋体"/>
                <w:b/>
                <w:bCs/>
                <w:color w:val="000000"/>
                <w:kern w:val="0"/>
                <w:sz w:val="22"/>
                <w:highlight w:val="none"/>
              </w:rPr>
              <w:t>统一社会信用代码</w:t>
            </w:r>
          </w:p>
        </w:tc>
        <w:tc>
          <w:tcPr>
            <w:tcW w:w="1693" w:type="dxa"/>
            <w:tcBorders>
              <w:top w:val="nil"/>
              <w:left w:val="nil"/>
              <w:bottom w:val="single" w:color="auto" w:sz="4" w:space="0"/>
              <w:right w:val="single" w:color="auto" w:sz="4" w:space="0"/>
            </w:tcBorders>
            <w:vAlign w:val="center"/>
          </w:tcPr>
          <w:p w14:paraId="7B1CF101">
            <w:pPr>
              <w:widowControl/>
              <w:jc w:val="left"/>
              <w:rPr>
                <w:rFonts w:ascii="宋体" w:cs="宋体"/>
                <w:color w:val="000000"/>
                <w:kern w:val="0"/>
                <w:sz w:val="22"/>
                <w:highlight w:val="none"/>
              </w:rPr>
            </w:pPr>
            <w:r>
              <w:rPr>
                <w:rFonts w:hint="eastAsia" w:ascii="宋体" w:hAnsi="宋体" w:cs="宋体"/>
                <w:color w:val="000000"/>
                <w:kern w:val="0"/>
                <w:sz w:val="22"/>
                <w:highlight w:val="none"/>
              </w:rPr>
              <w:t>　</w:t>
            </w:r>
          </w:p>
        </w:tc>
      </w:tr>
      <w:tr w14:paraId="39578C1C">
        <w:tblPrEx>
          <w:tblCellMar>
            <w:top w:w="0" w:type="dxa"/>
            <w:left w:w="108" w:type="dxa"/>
            <w:bottom w:w="0" w:type="dxa"/>
            <w:right w:w="108" w:type="dxa"/>
          </w:tblCellMar>
        </w:tblPrEx>
        <w:trPr>
          <w:trHeight w:val="270" w:hRule="atLeast"/>
        </w:trPr>
        <w:tc>
          <w:tcPr>
            <w:tcW w:w="10505" w:type="dxa"/>
            <w:gridSpan w:val="4"/>
            <w:tcBorders>
              <w:top w:val="single" w:color="auto" w:sz="4" w:space="0"/>
              <w:left w:val="single" w:color="auto" w:sz="4" w:space="0"/>
              <w:bottom w:val="single" w:color="auto" w:sz="4" w:space="0"/>
              <w:right w:val="single" w:color="000000" w:sz="4" w:space="0"/>
            </w:tcBorders>
            <w:vAlign w:val="center"/>
          </w:tcPr>
          <w:p w14:paraId="3B7F7722">
            <w:pPr>
              <w:widowControl/>
              <w:jc w:val="center"/>
              <w:rPr>
                <w:rFonts w:ascii="宋体" w:cs="宋体"/>
                <w:color w:val="000000"/>
                <w:kern w:val="0"/>
                <w:sz w:val="22"/>
                <w:highlight w:val="none"/>
              </w:rPr>
            </w:pPr>
            <w:r>
              <w:rPr>
                <w:rFonts w:hint="eastAsia" w:ascii="宋体" w:hAnsi="宋体" w:cs="宋体"/>
                <w:color w:val="000000"/>
                <w:kern w:val="0"/>
                <w:sz w:val="22"/>
                <w:highlight w:val="none"/>
              </w:rPr>
              <w:t>请企业自查是否存在以下情形（审查时间为截至项目申报日两年内）</w:t>
            </w:r>
          </w:p>
        </w:tc>
      </w:tr>
      <w:tr w14:paraId="3D89C293">
        <w:tblPrEx>
          <w:tblCellMar>
            <w:top w:w="0" w:type="dxa"/>
            <w:left w:w="108" w:type="dxa"/>
            <w:bottom w:w="0" w:type="dxa"/>
            <w:right w:w="108" w:type="dxa"/>
          </w:tblCellMar>
        </w:tblPrEx>
        <w:trPr>
          <w:trHeight w:val="540" w:hRule="atLeast"/>
        </w:trPr>
        <w:tc>
          <w:tcPr>
            <w:tcW w:w="824" w:type="dxa"/>
            <w:tcBorders>
              <w:top w:val="nil"/>
              <w:left w:val="single" w:color="auto" w:sz="4" w:space="0"/>
              <w:bottom w:val="single" w:color="auto" w:sz="4" w:space="0"/>
              <w:right w:val="single" w:color="auto" w:sz="4" w:space="0"/>
            </w:tcBorders>
            <w:vAlign w:val="center"/>
          </w:tcPr>
          <w:p w14:paraId="49E47143">
            <w:pPr>
              <w:widowControl/>
              <w:jc w:val="center"/>
              <w:rPr>
                <w:rFonts w:ascii="宋体" w:cs="宋体"/>
                <w:b/>
                <w:bCs/>
                <w:color w:val="000000"/>
                <w:kern w:val="0"/>
                <w:sz w:val="22"/>
                <w:highlight w:val="none"/>
              </w:rPr>
            </w:pPr>
            <w:r>
              <w:rPr>
                <w:rFonts w:hint="eastAsia" w:ascii="宋体" w:hAnsi="宋体" w:cs="宋体"/>
                <w:b/>
                <w:bCs/>
                <w:color w:val="000000"/>
                <w:kern w:val="0"/>
                <w:sz w:val="22"/>
                <w:highlight w:val="none"/>
              </w:rPr>
              <w:t>序号</w:t>
            </w:r>
          </w:p>
        </w:tc>
        <w:tc>
          <w:tcPr>
            <w:tcW w:w="6844" w:type="dxa"/>
            <w:tcBorders>
              <w:top w:val="nil"/>
              <w:left w:val="nil"/>
              <w:bottom w:val="single" w:color="auto" w:sz="4" w:space="0"/>
              <w:right w:val="single" w:color="auto" w:sz="4" w:space="0"/>
            </w:tcBorders>
            <w:vAlign w:val="center"/>
          </w:tcPr>
          <w:p w14:paraId="66B2C97D">
            <w:pPr>
              <w:widowControl/>
              <w:jc w:val="center"/>
              <w:rPr>
                <w:rFonts w:ascii="宋体" w:cs="宋体"/>
                <w:b/>
                <w:bCs/>
                <w:color w:val="000000"/>
                <w:kern w:val="0"/>
                <w:sz w:val="22"/>
                <w:highlight w:val="none"/>
              </w:rPr>
            </w:pPr>
            <w:r>
              <w:rPr>
                <w:rFonts w:hint="eastAsia" w:ascii="宋体" w:hAnsi="宋体" w:cs="宋体"/>
                <w:b/>
                <w:bCs/>
                <w:color w:val="000000"/>
                <w:kern w:val="0"/>
                <w:sz w:val="22"/>
                <w:highlight w:val="none"/>
              </w:rPr>
              <w:t>审查事项</w:t>
            </w:r>
          </w:p>
        </w:tc>
        <w:tc>
          <w:tcPr>
            <w:tcW w:w="1144" w:type="dxa"/>
            <w:tcBorders>
              <w:top w:val="nil"/>
              <w:left w:val="nil"/>
              <w:bottom w:val="single" w:color="auto" w:sz="4" w:space="0"/>
              <w:right w:val="single" w:color="auto" w:sz="4" w:space="0"/>
            </w:tcBorders>
            <w:vAlign w:val="center"/>
          </w:tcPr>
          <w:p w14:paraId="56E1227A">
            <w:pPr>
              <w:widowControl/>
              <w:jc w:val="center"/>
              <w:rPr>
                <w:rFonts w:ascii="宋体" w:cs="宋体"/>
                <w:b/>
                <w:bCs/>
                <w:color w:val="000000"/>
                <w:kern w:val="0"/>
                <w:sz w:val="22"/>
                <w:highlight w:val="none"/>
              </w:rPr>
            </w:pPr>
            <w:r>
              <w:rPr>
                <w:rFonts w:hint="eastAsia" w:ascii="宋体" w:hAnsi="宋体" w:cs="宋体"/>
                <w:b/>
                <w:bCs/>
                <w:color w:val="000000"/>
                <w:kern w:val="0"/>
                <w:sz w:val="22"/>
                <w:highlight w:val="none"/>
              </w:rPr>
              <w:t>是否存在该情形</w:t>
            </w:r>
          </w:p>
        </w:tc>
        <w:tc>
          <w:tcPr>
            <w:tcW w:w="1693" w:type="dxa"/>
            <w:tcBorders>
              <w:top w:val="nil"/>
              <w:left w:val="nil"/>
              <w:bottom w:val="single" w:color="auto" w:sz="4" w:space="0"/>
              <w:right w:val="single" w:color="auto" w:sz="4" w:space="0"/>
            </w:tcBorders>
            <w:vAlign w:val="center"/>
          </w:tcPr>
          <w:p w14:paraId="72B91E50">
            <w:pPr>
              <w:widowControl/>
              <w:jc w:val="center"/>
              <w:rPr>
                <w:rFonts w:ascii="宋体" w:cs="宋体"/>
                <w:b/>
                <w:bCs/>
                <w:color w:val="000000"/>
                <w:kern w:val="0"/>
                <w:sz w:val="22"/>
                <w:highlight w:val="none"/>
              </w:rPr>
            </w:pPr>
            <w:r>
              <w:rPr>
                <w:rFonts w:hint="eastAsia" w:ascii="宋体" w:hAnsi="宋体" w:cs="宋体"/>
                <w:b/>
                <w:bCs/>
                <w:color w:val="000000"/>
                <w:kern w:val="0"/>
                <w:sz w:val="22"/>
                <w:highlight w:val="none"/>
              </w:rPr>
              <w:t>情况说明</w:t>
            </w:r>
          </w:p>
        </w:tc>
      </w:tr>
      <w:tr w14:paraId="2F439462">
        <w:tblPrEx>
          <w:tblCellMar>
            <w:top w:w="0" w:type="dxa"/>
            <w:left w:w="108" w:type="dxa"/>
            <w:bottom w:w="0" w:type="dxa"/>
            <w:right w:w="108" w:type="dxa"/>
          </w:tblCellMar>
        </w:tblPrEx>
        <w:trPr>
          <w:trHeight w:val="1743" w:hRule="atLeast"/>
        </w:trPr>
        <w:tc>
          <w:tcPr>
            <w:tcW w:w="824" w:type="dxa"/>
            <w:tcBorders>
              <w:top w:val="nil"/>
              <w:left w:val="single" w:color="auto" w:sz="4" w:space="0"/>
              <w:bottom w:val="single" w:color="auto" w:sz="4" w:space="0"/>
              <w:right w:val="single" w:color="auto" w:sz="4" w:space="0"/>
            </w:tcBorders>
            <w:vAlign w:val="center"/>
          </w:tcPr>
          <w:p w14:paraId="2212BFB1">
            <w:pPr>
              <w:widowControl/>
              <w:jc w:val="center"/>
              <w:rPr>
                <w:rFonts w:ascii="宋体" w:cs="宋体"/>
                <w:color w:val="000000"/>
                <w:kern w:val="0"/>
                <w:sz w:val="22"/>
                <w:highlight w:val="none"/>
              </w:rPr>
            </w:pPr>
            <w:r>
              <w:rPr>
                <w:rFonts w:ascii="宋体" w:hAnsi="宋体" w:cs="宋体"/>
                <w:color w:val="000000"/>
                <w:kern w:val="0"/>
                <w:sz w:val="22"/>
                <w:highlight w:val="none"/>
              </w:rPr>
              <w:t>1</w:t>
            </w:r>
          </w:p>
        </w:tc>
        <w:tc>
          <w:tcPr>
            <w:tcW w:w="6844" w:type="dxa"/>
            <w:tcBorders>
              <w:top w:val="nil"/>
              <w:left w:val="nil"/>
              <w:bottom w:val="single" w:color="auto" w:sz="4" w:space="0"/>
              <w:right w:val="single" w:color="auto" w:sz="4" w:space="0"/>
            </w:tcBorders>
            <w:vAlign w:val="center"/>
          </w:tcPr>
          <w:p w14:paraId="7402FD73">
            <w:pPr>
              <w:widowControl/>
              <w:jc w:val="left"/>
              <w:rPr>
                <w:rFonts w:ascii="宋体" w:hAnsi="宋体" w:cs="宋体"/>
                <w:color w:val="000000"/>
                <w:kern w:val="0"/>
                <w:sz w:val="22"/>
                <w:highlight w:val="none"/>
              </w:rPr>
            </w:pPr>
            <w:r>
              <w:rPr>
                <w:rFonts w:hint="eastAsia" w:ascii="宋体" w:hAnsi="宋体" w:cs="宋体"/>
                <w:color w:val="000000"/>
                <w:kern w:val="0"/>
                <w:sz w:val="22"/>
                <w:highlight w:val="none"/>
              </w:rPr>
              <w:t>经生态环境主管部门或节能主管部门认定，污染物排放或用能行为超标的企业。主要包括：污染物排放超过国家和地方规定的排放标准，被生态环境主管部门作出处罚，或者超过重点污染物排放总量控制指标排放污染物的企业；用能行为违反国家和地方规定的能耗限额标准，或者超过经有关地方人民政府核定的能耗总量指标的企业；因污染环境被生态环境部门挂牌督办，未按时整改的企业等。</w:t>
            </w:r>
          </w:p>
        </w:tc>
        <w:tc>
          <w:tcPr>
            <w:tcW w:w="1144" w:type="dxa"/>
            <w:tcBorders>
              <w:top w:val="nil"/>
              <w:left w:val="nil"/>
              <w:bottom w:val="single" w:color="auto" w:sz="4" w:space="0"/>
              <w:right w:val="single" w:color="auto" w:sz="4" w:space="0"/>
            </w:tcBorders>
            <w:vAlign w:val="center"/>
          </w:tcPr>
          <w:p w14:paraId="19FEA544">
            <w:pPr>
              <w:widowControl/>
              <w:jc w:val="left"/>
              <w:rPr>
                <w:rFonts w:ascii="宋体" w:cs="宋体"/>
                <w:color w:val="000000"/>
                <w:kern w:val="0"/>
                <w:sz w:val="22"/>
                <w:highlight w:val="none"/>
              </w:rPr>
            </w:pPr>
            <w:r>
              <w:rPr>
                <w:rFonts w:hint="eastAsia" w:ascii="宋体" w:hAnsi="宋体" w:cs="宋体"/>
                <w:color w:val="000000"/>
                <w:kern w:val="0"/>
                <w:sz w:val="22"/>
                <w:highlight w:val="none"/>
              </w:rPr>
              <w:t>是</w:t>
            </w:r>
            <w:r>
              <w:rPr>
                <w:rFonts w:ascii="宋体" w:hAnsi="宋体" w:cs="宋体"/>
                <w:color w:val="000000"/>
                <w:kern w:val="0"/>
                <w:sz w:val="22"/>
                <w:highlight w:val="none"/>
              </w:rPr>
              <w:t>/</w:t>
            </w:r>
            <w:r>
              <w:rPr>
                <w:rFonts w:hint="eastAsia" w:ascii="宋体" w:hAnsi="宋体" w:cs="宋体"/>
                <w:color w:val="000000"/>
                <w:kern w:val="0"/>
                <w:sz w:val="22"/>
                <w:highlight w:val="none"/>
              </w:rPr>
              <w:t>否</w:t>
            </w:r>
          </w:p>
        </w:tc>
        <w:tc>
          <w:tcPr>
            <w:tcW w:w="1693" w:type="dxa"/>
            <w:tcBorders>
              <w:top w:val="nil"/>
              <w:left w:val="nil"/>
              <w:bottom w:val="single" w:color="auto" w:sz="4" w:space="0"/>
              <w:right w:val="single" w:color="auto" w:sz="4" w:space="0"/>
            </w:tcBorders>
            <w:vAlign w:val="center"/>
          </w:tcPr>
          <w:p w14:paraId="2BD3CF75">
            <w:pPr>
              <w:widowControl/>
              <w:jc w:val="left"/>
              <w:rPr>
                <w:rFonts w:ascii="宋体" w:cs="宋体"/>
                <w:color w:val="000000"/>
                <w:kern w:val="0"/>
                <w:sz w:val="22"/>
                <w:highlight w:val="none"/>
              </w:rPr>
            </w:pPr>
            <w:r>
              <w:rPr>
                <w:rFonts w:hint="eastAsia" w:ascii="宋体" w:hAnsi="宋体" w:cs="宋体"/>
                <w:color w:val="000000"/>
                <w:kern w:val="0"/>
                <w:sz w:val="22"/>
                <w:highlight w:val="none"/>
              </w:rPr>
              <w:t>如“是”，请填写具体违法违规行为，注明处罚时间、处罚原因、是否整改等。</w:t>
            </w:r>
          </w:p>
        </w:tc>
      </w:tr>
      <w:tr w14:paraId="5EB18EAF">
        <w:tblPrEx>
          <w:tblCellMar>
            <w:top w:w="0" w:type="dxa"/>
            <w:left w:w="108" w:type="dxa"/>
            <w:bottom w:w="0" w:type="dxa"/>
            <w:right w:w="108" w:type="dxa"/>
          </w:tblCellMar>
        </w:tblPrEx>
        <w:trPr>
          <w:trHeight w:val="1890" w:hRule="atLeast"/>
        </w:trPr>
        <w:tc>
          <w:tcPr>
            <w:tcW w:w="824" w:type="dxa"/>
            <w:tcBorders>
              <w:top w:val="nil"/>
              <w:left w:val="single" w:color="auto" w:sz="4" w:space="0"/>
              <w:bottom w:val="single" w:color="auto" w:sz="4" w:space="0"/>
              <w:right w:val="single" w:color="auto" w:sz="4" w:space="0"/>
            </w:tcBorders>
            <w:vAlign w:val="center"/>
          </w:tcPr>
          <w:p w14:paraId="1E32CC98">
            <w:pPr>
              <w:widowControl/>
              <w:jc w:val="center"/>
              <w:rPr>
                <w:rFonts w:ascii="宋体" w:cs="宋体"/>
                <w:color w:val="000000"/>
                <w:kern w:val="0"/>
                <w:sz w:val="22"/>
                <w:highlight w:val="none"/>
              </w:rPr>
            </w:pPr>
            <w:r>
              <w:rPr>
                <w:rFonts w:ascii="宋体" w:hAnsi="宋体" w:cs="宋体"/>
                <w:color w:val="000000"/>
                <w:kern w:val="0"/>
                <w:sz w:val="22"/>
                <w:highlight w:val="none"/>
              </w:rPr>
              <w:t>2</w:t>
            </w:r>
          </w:p>
        </w:tc>
        <w:tc>
          <w:tcPr>
            <w:tcW w:w="6844" w:type="dxa"/>
            <w:tcBorders>
              <w:top w:val="nil"/>
              <w:left w:val="nil"/>
              <w:bottom w:val="single" w:color="auto" w:sz="4" w:space="0"/>
              <w:right w:val="single" w:color="auto" w:sz="4" w:space="0"/>
            </w:tcBorders>
            <w:vAlign w:val="center"/>
          </w:tcPr>
          <w:p w14:paraId="00BAF6F3">
            <w:pPr>
              <w:widowControl/>
              <w:jc w:val="left"/>
              <w:rPr>
                <w:rFonts w:ascii="宋体" w:hAnsi="宋体" w:cs="宋体"/>
                <w:color w:val="000000"/>
                <w:kern w:val="0"/>
                <w:sz w:val="22"/>
                <w:highlight w:val="none"/>
              </w:rPr>
            </w:pPr>
            <w:r>
              <w:rPr>
                <w:rFonts w:hint="eastAsia" w:ascii="宋体" w:hAnsi="宋体" w:cs="宋体"/>
                <w:color w:val="000000"/>
                <w:kern w:val="0"/>
                <w:sz w:val="22"/>
                <w:highlight w:val="none"/>
              </w:rPr>
              <w:t>经生态环境主管部门或节能主管部门认定，建设项目有关节能环保手续不规范、违规建设的企业。主要包括：建设单位未依法报批建设项目环境影响报告书、报告表，或者未依法重新报批或者报请重新审核环境影响报告书、报告表，擅自开工建设的企业；未依法取得排污许可证排放污染物的企业；需要配套建设的环境保护设施未建成、未经验收或者验收不合格，建设项目即投入生产或者使用，或者在环境保护设施验收中弄虚作假的企业；未按规定进行节能审查，或节能审查未获通过，擅自开工建设或擅自投入生产、使用的企业；未按规定进行节能验收或验收不合格，擅自投入生产使用的固定资产投资项目，以及以提供虚假材料等不正当手段通过节能验收的企业等。</w:t>
            </w:r>
          </w:p>
        </w:tc>
        <w:tc>
          <w:tcPr>
            <w:tcW w:w="1144" w:type="dxa"/>
            <w:tcBorders>
              <w:top w:val="nil"/>
              <w:left w:val="nil"/>
              <w:bottom w:val="single" w:color="auto" w:sz="4" w:space="0"/>
              <w:right w:val="single" w:color="auto" w:sz="4" w:space="0"/>
            </w:tcBorders>
            <w:vAlign w:val="center"/>
          </w:tcPr>
          <w:p w14:paraId="7AFDAC32">
            <w:pPr>
              <w:widowControl/>
              <w:jc w:val="left"/>
              <w:rPr>
                <w:rFonts w:ascii="宋体" w:cs="宋体"/>
                <w:color w:val="000000"/>
                <w:kern w:val="0"/>
                <w:sz w:val="22"/>
                <w:highlight w:val="none"/>
              </w:rPr>
            </w:pPr>
          </w:p>
        </w:tc>
        <w:tc>
          <w:tcPr>
            <w:tcW w:w="1693" w:type="dxa"/>
            <w:tcBorders>
              <w:top w:val="nil"/>
              <w:left w:val="nil"/>
              <w:bottom w:val="single" w:color="auto" w:sz="4" w:space="0"/>
              <w:right w:val="single" w:color="auto" w:sz="4" w:space="0"/>
            </w:tcBorders>
            <w:vAlign w:val="center"/>
          </w:tcPr>
          <w:p w14:paraId="2F74CEE1">
            <w:pPr>
              <w:widowControl/>
              <w:jc w:val="left"/>
              <w:rPr>
                <w:rFonts w:ascii="宋体" w:cs="宋体"/>
                <w:color w:val="000000"/>
                <w:kern w:val="0"/>
                <w:sz w:val="22"/>
                <w:highlight w:val="none"/>
              </w:rPr>
            </w:pPr>
            <w:r>
              <w:rPr>
                <w:rFonts w:hint="eastAsia" w:ascii="宋体" w:hAnsi="宋体" w:cs="宋体"/>
                <w:color w:val="000000"/>
                <w:kern w:val="0"/>
                <w:sz w:val="22"/>
                <w:highlight w:val="none"/>
              </w:rPr>
              <w:t>　</w:t>
            </w:r>
          </w:p>
        </w:tc>
      </w:tr>
      <w:tr w14:paraId="786EA362">
        <w:tblPrEx>
          <w:tblCellMar>
            <w:top w:w="0" w:type="dxa"/>
            <w:left w:w="108" w:type="dxa"/>
            <w:bottom w:w="0" w:type="dxa"/>
            <w:right w:w="108" w:type="dxa"/>
          </w:tblCellMar>
        </w:tblPrEx>
        <w:trPr>
          <w:trHeight w:val="1350" w:hRule="atLeast"/>
        </w:trPr>
        <w:tc>
          <w:tcPr>
            <w:tcW w:w="824" w:type="dxa"/>
            <w:tcBorders>
              <w:top w:val="nil"/>
              <w:left w:val="single" w:color="auto" w:sz="4" w:space="0"/>
              <w:bottom w:val="single" w:color="auto" w:sz="4" w:space="0"/>
              <w:right w:val="single" w:color="auto" w:sz="4" w:space="0"/>
            </w:tcBorders>
            <w:vAlign w:val="center"/>
          </w:tcPr>
          <w:p w14:paraId="0A15ED75">
            <w:pPr>
              <w:widowControl/>
              <w:jc w:val="center"/>
              <w:rPr>
                <w:rFonts w:ascii="宋体" w:cs="宋体"/>
                <w:color w:val="000000"/>
                <w:kern w:val="0"/>
                <w:sz w:val="22"/>
                <w:highlight w:val="none"/>
              </w:rPr>
            </w:pPr>
            <w:r>
              <w:rPr>
                <w:rFonts w:ascii="宋体" w:hAnsi="宋体" w:cs="宋体"/>
                <w:color w:val="000000"/>
                <w:kern w:val="0"/>
                <w:sz w:val="22"/>
                <w:highlight w:val="none"/>
              </w:rPr>
              <w:t>3</w:t>
            </w:r>
          </w:p>
        </w:tc>
        <w:tc>
          <w:tcPr>
            <w:tcW w:w="6844" w:type="dxa"/>
            <w:tcBorders>
              <w:top w:val="nil"/>
              <w:left w:val="nil"/>
              <w:bottom w:val="single" w:color="auto" w:sz="4" w:space="0"/>
              <w:right w:val="single" w:color="auto" w:sz="4" w:space="0"/>
            </w:tcBorders>
            <w:vAlign w:val="center"/>
          </w:tcPr>
          <w:p w14:paraId="6E750A84">
            <w:pPr>
              <w:widowControl/>
              <w:jc w:val="left"/>
              <w:rPr>
                <w:rFonts w:ascii="宋体" w:hAnsi="宋体" w:cs="宋体"/>
                <w:color w:val="000000"/>
                <w:kern w:val="0"/>
                <w:sz w:val="22"/>
                <w:highlight w:val="none"/>
              </w:rPr>
            </w:pPr>
            <w:r>
              <w:rPr>
                <w:rFonts w:hint="eastAsia" w:ascii="宋体" w:hAnsi="宋体" w:cs="宋体"/>
                <w:color w:val="000000"/>
                <w:kern w:val="0"/>
                <w:sz w:val="22"/>
                <w:highlight w:val="none"/>
              </w:rPr>
              <w:t>经相关主管部门认定，构成用能或环境违法违规，或经法院生效判决认定构成相关犯罪的企业。主要包括：因为违规用能、环境违法构成犯罪的企业；将危险废物提供或者委托给无许可证的单位或者其他生产经营者堆放、利用、处置的企业；通过暗管、渗井、渗坑、灌注或者篡改、伪造监测数据，或者不正常运行污染环境防治设施等逃避监管的方式违法排放污染物的企业等。</w:t>
            </w:r>
          </w:p>
        </w:tc>
        <w:tc>
          <w:tcPr>
            <w:tcW w:w="1144" w:type="dxa"/>
            <w:tcBorders>
              <w:top w:val="nil"/>
              <w:left w:val="nil"/>
              <w:bottom w:val="single" w:color="auto" w:sz="4" w:space="0"/>
              <w:right w:val="single" w:color="auto" w:sz="4" w:space="0"/>
            </w:tcBorders>
            <w:vAlign w:val="center"/>
          </w:tcPr>
          <w:p w14:paraId="172B22D8">
            <w:pPr>
              <w:widowControl/>
              <w:jc w:val="left"/>
              <w:rPr>
                <w:rFonts w:ascii="宋体" w:cs="宋体"/>
                <w:color w:val="000000"/>
                <w:kern w:val="0"/>
                <w:sz w:val="22"/>
                <w:highlight w:val="none"/>
              </w:rPr>
            </w:pPr>
          </w:p>
        </w:tc>
        <w:tc>
          <w:tcPr>
            <w:tcW w:w="1693" w:type="dxa"/>
            <w:tcBorders>
              <w:top w:val="nil"/>
              <w:left w:val="nil"/>
              <w:bottom w:val="single" w:color="auto" w:sz="4" w:space="0"/>
              <w:right w:val="single" w:color="auto" w:sz="4" w:space="0"/>
            </w:tcBorders>
            <w:vAlign w:val="center"/>
          </w:tcPr>
          <w:p w14:paraId="2302210F">
            <w:pPr>
              <w:widowControl/>
              <w:jc w:val="left"/>
              <w:rPr>
                <w:rFonts w:ascii="宋体" w:cs="宋体"/>
                <w:color w:val="000000"/>
                <w:kern w:val="0"/>
                <w:sz w:val="22"/>
                <w:highlight w:val="none"/>
              </w:rPr>
            </w:pPr>
            <w:r>
              <w:rPr>
                <w:rFonts w:hint="eastAsia" w:ascii="宋体" w:hAnsi="宋体" w:cs="宋体"/>
                <w:color w:val="000000"/>
                <w:kern w:val="0"/>
                <w:sz w:val="22"/>
                <w:highlight w:val="none"/>
              </w:rPr>
              <w:t>　</w:t>
            </w:r>
          </w:p>
        </w:tc>
      </w:tr>
      <w:tr w14:paraId="2A559345">
        <w:tblPrEx>
          <w:tblCellMar>
            <w:top w:w="0" w:type="dxa"/>
            <w:left w:w="108" w:type="dxa"/>
            <w:bottom w:w="0" w:type="dxa"/>
            <w:right w:w="108" w:type="dxa"/>
          </w:tblCellMar>
        </w:tblPrEx>
        <w:trPr>
          <w:trHeight w:val="2061" w:hRule="atLeast"/>
        </w:trPr>
        <w:tc>
          <w:tcPr>
            <w:tcW w:w="824" w:type="dxa"/>
            <w:tcBorders>
              <w:top w:val="nil"/>
              <w:left w:val="single" w:color="auto" w:sz="4" w:space="0"/>
              <w:bottom w:val="single" w:color="auto" w:sz="4" w:space="0"/>
              <w:right w:val="single" w:color="auto" w:sz="4" w:space="0"/>
            </w:tcBorders>
            <w:vAlign w:val="center"/>
          </w:tcPr>
          <w:p w14:paraId="087E7A71">
            <w:pPr>
              <w:widowControl/>
              <w:jc w:val="center"/>
              <w:rPr>
                <w:rFonts w:ascii="宋体" w:cs="宋体"/>
                <w:color w:val="000000"/>
                <w:kern w:val="0"/>
                <w:sz w:val="22"/>
                <w:highlight w:val="none"/>
              </w:rPr>
            </w:pPr>
            <w:r>
              <w:rPr>
                <w:rFonts w:ascii="宋体" w:hAnsi="宋体" w:cs="宋体"/>
                <w:color w:val="000000"/>
                <w:kern w:val="0"/>
                <w:sz w:val="22"/>
                <w:highlight w:val="none"/>
              </w:rPr>
              <w:t>4</w:t>
            </w:r>
          </w:p>
        </w:tc>
        <w:tc>
          <w:tcPr>
            <w:tcW w:w="6844" w:type="dxa"/>
            <w:tcBorders>
              <w:top w:val="nil"/>
              <w:left w:val="nil"/>
              <w:bottom w:val="single" w:color="auto" w:sz="4" w:space="0"/>
              <w:right w:val="single" w:color="auto" w:sz="4" w:space="0"/>
            </w:tcBorders>
            <w:vAlign w:val="center"/>
          </w:tcPr>
          <w:p w14:paraId="0FCF5B1E">
            <w:pPr>
              <w:widowControl/>
              <w:jc w:val="left"/>
              <w:rPr>
                <w:rFonts w:ascii="宋体" w:hAnsi="宋体" w:cs="宋体"/>
                <w:color w:val="000000"/>
                <w:kern w:val="0"/>
                <w:sz w:val="22"/>
                <w:highlight w:val="none"/>
              </w:rPr>
            </w:pPr>
            <w:r>
              <w:rPr>
                <w:rFonts w:hint="eastAsia" w:ascii="宋体" w:hAnsi="宋体" w:cs="宋体"/>
                <w:color w:val="000000"/>
                <w:kern w:val="0"/>
                <w:sz w:val="22"/>
                <w:highlight w:val="none"/>
              </w:rPr>
              <w:t>经生态环境主管部门认定，造成生态环境破坏的企业。主要包括：环境违法行为对饮用水水源保护区、自然保护区、国家重点生态功能区、风景名胜区、居住功能区、基本农田保护区等环境敏感区造成重大不利影响的企业；在生态保护红线范围内违规从事禁止类活动的企业；造成土壤、地下水污染未及时开展风险管控和修复工作的企业；违法从事开发建设活动，造成严重生态破坏，受到行政处罚的企业；在中央或省生态环境保护督察中，发现重大环境违规违法问题的企业等。</w:t>
            </w:r>
          </w:p>
        </w:tc>
        <w:tc>
          <w:tcPr>
            <w:tcW w:w="1144" w:type="dxa"/>
            <w:tcBorders>
              <w:top w:val="nil"/>
              <w:left w:val="nil"/>
              <w:bottom w:val="single" w:color="auto" w:sz="4" w:space="0"/>
              <w:right w:val="single" w:color="auto" w:sz="4" w:space="0"/>
            </w:tcBorders>
            <w:vAlign w:val="center"/>
          </w:tcPr>
          <w:p w14:paraId="44C86988">
            <w:pPr>
              <w:widowControl/>
              <w:jc w:val="left"/>
              <w:rPr>
                <w:rFonts w:ascii="宋体" w:cs="宋体"/>
                <w:color w:val="000000"/>
                <w:kern w:val="0"/>
                <w:sz w:val="22"/>
                <w:highlight w:val="none"/>
              </w:rPr>
            </w:pPr>
          </w:p>
        </w:tc>
        <w:tc>
          <w:tcPr>
            <w:tcW w:w="1693" w:type="dxa"/>
            <w:tcBorders>
              <w:top w:val="nil"/>
              <w:left w:val="nil"/>
              <w:bottom w:val="single" w:color="auto" w:sz="4" w:space="0"/>
              <w:right w:val="single" w:color="auto" w:sz="4" w:space="0"/>
            </w:tcBorders>
            <w:vAlign w:val="center"/>
          </w:tcPr>
          <w:p w14:paraId="7BBD8A68">
            <w:pPr>
              <w:widowControl/>
              <w:jc w:val="left"/>
              <w:rPr>
                <w:rFonts w:ascii="宋体" w:cs="宋体"/>
                <w:color w:val="000000"/>
                <w:kern w:val="0"/>
                <w:sz w:val="22"/>
                <w:highlight w:val="none"/>
              </w:rPr>
            </w:pPr>
            <w:r>
              <w:rPr>
                <w:rFonts w:hint="eastAsia" w:ascii="宋体" w:hAnsi="宋体" w:cs="宋体"/>
                <w:color w:val="000000"/>
                <w:kern w:val="0"/>
                <w:sz w:val="22"/>
                <w:highlight w:val="none"/>
              </w:rPr>
              <w:t>　</w:t>
            </w:r>
          </w:p>
        </w:tc>
      </w:tr>
      <w:tr w14:paraId="78936F12">
        <w:tblPrEx>
          <w:tblCellMar>
            <w:top w:w="0" w:type="dxa"/>
            <w:left w:w="108" w:type="dxa"/>
            <w:bottom w:w="0" w:type="dxa"/>
            <w:right w:w="108" w:type="dxa"/>
          </w:tblCellMar>
        </w:tblPrEx>
        <w:trPr>
          <w:trHeight w:val="418" w:hRule="atLeast"/>
        </w:trPr>
        <w:tc>
          <w:tcPr>
            <w:tcW w:w="824" w:type="dxa"/>
            <w:tcBorders>
              <w:top w:val="nil"/>
              <w:left w:val="single" w:color="auto" w:sz="4" w:space="0"/>
              <w:bottom w:val="single" w:color="auto" w:sz="4" w:space="0"/>
              <w:right w:val="single" w:color="auto" w:sz="4" w:space="0"/>
            </w:tcBorders>
            <w:vAlign w:val="center"/>
          </w:tcPr>
          <w:p w14:paraId="0808175D">
            <w:pPr>
              <w:widowControl/>
              <w:jc w:val="center"/>
              <w:rPr>
                <w:rFonts w:ascii="宋体" w:cs="宋体"/>
                <w:color w:val="000000"/>
                <w:kern w:val="0"/>
                <w:sz w:val="22"/>
                <w:highlight w:val="none"/>
              </w:rPr>
            </w:pPr>
            <w:r>
              <w:rPr>
                <w:rFonts w:ascii="宋体" w:hAnsi="宋体" w:cs="宋体"/>
                <w:color w:val="000000"/>
                <w:kern w:val="0"/>
                <w:sz w:val="22"/>
                <w:highlight w:val="none"/>
              </w:rPr>
              <w:t>5</w:t>
            </w:r>
          </w:p>
        </w:tc>
        <w:tc>
          <w:tcPr>
            <w:tcW w:w="6844" w:type="dxa"/>
            <w:tcBorders>
              <w:top w:val="nil"/>
              <w:left w:val="nil"/>
              <w:bottom w:val="single" w:color="auto" w:sz="4" w:space="0"/>
              <w:right w:val="single" w:color="auto" w:sz="4" w:space="0"/>
            </w:tcBorders>
            <w:vAlign w:val="center"/>
          </w:tcPr>
          <w:p w14:paraId="0C76A6C6">
            <w:pPr>
              <w:widowControl/>
              <w:jc w:val="left"/>
              <w:rPr>
                <w:rFonts w:ascii="宋体" w:hAnsi="宋体" w:cs="宋体"/>
                <w:color w:val="000000"/>
                <w:kern w:val="0"/>
                <w:sz w:val="22"/>
                <w:highlight w:val="none"/>
              </w:rPr>
            </w:pPr>
            <w:r>
              <w:rPr>
                <w:rFonts w:hint="eastAsia" w:ascii="宋体" w:hAnsi="宋体" w:cs="宋体"/>
                <w:color w:val="000000"/>
                <w:kern w:val="0"/>
                <w:sz w:val="22"/>
                <w:highlight w:val="none"/>
              </w:rPr>
              <w:t>经业务主管部门认定的其他列入不予支持情形的企业。</w:t>
            </w:r>
          </w:p>
        </w:tc>
        <w:tc>
          <w:tcPr>
            <w:tcW w:w="1144" w:type="dxa"/>
            <w:tcBorders>
              <w:top w:val="nil"/>
              <w:left w:val="nil"/>
              <w:bottom w:val="single" w:color="auto" w:sz="4" w:space="0"/>
              <w:right w:val="single" w:color="auto" w:sz="4" w:space="0"/>
            </w:tcBorders>
            <w:vAlign w:val="center"/>
          </w:tcPr>
          <w:p w14:paraId="732F505C">
            <w:pPr>
              <w:widowControl/>
              <w:jc w:val="left"/>
              <w:rPr>
                <w:rFonts w:ascii="宋体" w:cs="宋体"/>
                <w:color w:val="000000"/>
                <w:kern w:val="0"/>
                <w:sz w:val="22"/>
                <w:highlight w:val="none"/>
              </w:rPr>
            </w:pPr>
          </w:p>
        </w:tc>
        <w:tc>
          <w:tcPr>
            <w:tcW w:w="1693" w:type="dxa"/>
            <w:tcBorders>
              <w:top w:val="nil"/>
              <w:left w:val="nil"/>
              <w:bottom w:val="single" w:color="auto" w:sz="4" w:space="0"/>
              <w:right w:val="single" w:color="auto" w:sz="4" w:space="0"/>
            </w:tcBorders>
            <w:vAlign w:val="center"/>
          </w:tcPr>
          <w:p w14:paraId="7AE46E9A">
            <w:pPr>
              <w:widowControl/>
              <w:jc w:val="left"/>
              <w:rPr>
                <w:rFonts w:ascii="宋体" w:cs="宋体"/>
                <w:color w:val="000000"/>
                <w:kern w:val="0"/>
                <w:sz w:val="22"/>
                <w:highlight w:val="none"/>
              </w:rPr>
            </w:pPr>
            <w:r>
              <w:rPr>
                <w:rFonts w:hint="eastAsia" w:ascii="宋体" w:hAnsi="宋体" w:cs="宋体"/>
                <w:color w:val="000000"/>
                <w:kern w:val="0"/>
                <w:sz w:val="22"/>
                <w:highlight w:val="none"/>
              </w:rPr>
              <w:t>　</w:t>
            </w:r>
          </w:p>
        </w:tc>
      </w:tr>
      <w:tr w14:paraId="44FB8EFA">
        <w:tblPrEx>
          <w:tblCellMar>
            <w:top w:w="0" w:type="dxa"/>
            <w:left w:w="108" w:type="dxa"/>
            <w:bottom w:w="0" w:type="dxa"/>
            <w:right w:w="108" w:type="dxa"/>
          </w:tblCellMar>
        </w:tblPrEx>
        <w:trPr>
          <w:trHeight w:val="1205" w:hRule="atLeast"/>
        </w:trPr>
        <w:tc>
          <w:tcPr>
            <w:tcW w:w="10505" w:type="dxa"/>
            <w:gridSpan w:val="4"/>
            <w:tcBorders>
              <w:top w:val="single" w:color="auto" w:sz="4" w:space="0"/>
              <w:left w:val="single" w:color="auto" w:sz="4" w:space="0"/>
              <w:bottom w:val="single" w:color="auto" w:sz="4" w:space="0"/>
              <w:right w:val="single" w:color="000000" w:sz="4" w:space="0"/>
            </w:tcBorders>
            <w:vAlign w:val="center"/>
          </w:tcPr>
          <w:p w14:paraId="5D382AF7">
            <w:pPr>
              <w:widowControl/>
              <w:ind w:firstLine="450"/>
              <w:jc w:val="left"/>
              <w:rPr>
                <w:rFonts w:ascii="宋体" w:cs="宋体"/>
                <w:color w:val="000000"/>
                <w:kern w:val="0"/>
                <w:sz w:val="24"/>
                <w:highlight w:val="none"/>
              </w:rPr>
            </w:pPr>
            <w:r>
              <w:rPr>
                <w:rFonts w:hint="eastAsia" w:ascii="宋体" w:hAnsi="宋体" w:cs="宋体"/>
                <w:color w:val="000000"/>
                <w:kern w:val="0"/>
                <w:sz w:val="24"/>
                <w:highlight w:val="none"/>
              </w:rPr>
              <w:t>经</w:t>
            </w:r>
            <w:r>
              <w:rPr>
                <w:rFonts w:hint="eastAsia" w:ascii="宋体" w:cs="宋体"/>
                <w:color w:val="000000"/>
                <w:kern w:val="0"/>
                <w:sz w:val="24"/>
                <w:highlight w:val="none"/>
              </w:rPr>
              <w:t>“</w:t>
            </w:r>
            <w:r>
              <w:rPr>
                <w:rFonts w:hint="eastAsia" w:ascii="宋体" w:hAnsi="宋体" w:cs="宋体"/>
                <w:color w:val="000000"/>
                <w:kern w:val="0"/>
                <w:sz w:val="24"/>
                <w:highlight w:val="none"/>
              </w:rPr>
              <w:t>绿色门槛</w:t>
            </w:r>
            <w:r>
              <w:rPr>
                <w:rFonts w:hint="eastAsia" w:ascii="宋体" w:cs="宋体"/>
                <w:color w:val="000000"/>
                <w:kern w:val="0"/>
                <w:sz w:val="24"/>
                <w:highlight w:val="none"/>
              </w:rPr>
              <w:t>”</w:t>
            </w:r>
            <w:r>
              <w:rPr>
                <w:rFonts w:hint="eastAsia" w:ascii="宋体" w:hAnsi="宋体" w:cs="宋体"/>
                <w:color w:val="000000"/>
                <w:kern w:val="0"/>
                <w:sz w:val="24"/>
                <w:highlight w:val="none"/>
              </w:rPr>
              <w:t>制度落实查询，我单位不存在</w:t>
            </w:r>
            <w:r>
              <w:rPr>
                <w:rFonts w:hint="eastAsia" w:ascii="宋体" w:cs="宋体"/>
                <w:color w:val="000000"/>
                <w:kern w:val="0"/>
                <w:sz w:val="24"/>
                <w:highlight w:val="none"/>
              </w:rPr>
              <w:t>“</w:t>
            </w:r>
            <w:r>
              <w:rPr>
                <w:rFonts w:hint="eastAsia" w:ascii="宋体" w:hAnsi="宋体" w:cs="宋体"/>
                <w:color w:val="000000"/>
                <w:kern w:val="0"/>
                <w:sz w:val="24"/>
                <w:highlight w:val="none"/>
              </w:rPr>
              <w:t>绿色门槛</w:t>
            </w:r>
            <w:r>
              <w:rPr>
                <w:rFonts w:hint="eastAsia" w:ascii="宋体" w:cs="宋体"/>
                <w:color w:val="000000"/>
                <w:kern w:val="0"/>
                <w:sz w:val="24"/>
                <w:highlight w:val="none"/>
              </w:rPr>
              <w:t>”</w:t>
            </w:r>
            <w:r>
              <w:rPr>
                <w:rFonts w:hint="eastAsia" w:ascii="宋体" w:hAnsi="宋体" w:cs="宋体"/>
                <w:color w:val="000000"/>
                <w:kern w:val="0"/>
                <w:sz w:val="24"/>
                <w:highlight w:val="none"/>
              </w:rPr>
              <w:t>制度不予支持的情况。</w:t>
            </w:r>
          </w:p>
          <w:p w14:paraId="19CF292F">
            <w:pPr>
              <w:adjustRightInd w:val="0"/>
              <w:snapToGrid w:val="0"/>
              <w:jc w:val="left"/>
              <w:rPr>
                <w:rFonts w:ascii="宋体" w:cs="宋体"/>
                <w:color w:val="000000"/>
                <w:kern w:val="0"/>
                <w:sz w:val="24"/>
                <w:highlight w:val="none"/>
              </w:rPr>
            </w:pPr>
          </w:p>
          <w:p w14:paraId="4E4D6001">
            <w:pPr>
              <w:ind w:firstLine="2640" w:firstLineChars="1100"/>
              <w:rPr>
                <w:rFonts w:ascii="宋体" w:cs="宋体"/>
                <w:color w:val="000000"/>
                <w:kern w:val="0"/>
                <w:sz w:val="24"/>
                <w:highlight w:val="none"/>
              </w:rPr>
            </w:pPr>
            <w:r>
              <w:rPr>
                <w:rFonts w:ascii="宋体" w:hAnsi="宋体" w:cs="宋体"/>
                <w:color w:val="000000"/>
                <w:kern w:val="0"/>
                <w:sz w:val="24"/>
                <w:highlight w:val="none"/>
              </w:rPr>
              <w:t xml:space="preserve">                         </w:t>
            </w:r>
            <w:r>
              <w:rPr>
                <w:rFonts w:hint="eastAsia" w:ascii="宋体" w:hAnsi="宋体" w:cs="宋体"/>
                <w:color w:val="000000"/>
                <w:kern w:val="0"/>
                <w:sz w:val="24"/>
                <w:highlight w:val="none"/>
              </w:rPr>
              <w:t>申报单位（盖章）</w:t>
            </w:r>
            <w:r>
              <w:rPr>
                <w:rFonts w:ascii="宋体" w:hAnsi="宋体" w:cs="宋体"/>
                <w:color w:val="000000"/>
                <w:kern w:val="0"/>
                <w:sz w:val="24"/>
                <w:highlight w:val="none"/>
              </w:rPr>
              <w:t xml:space="preserve">                                              </w:t>
            </w:r>
          </w:p>
          <w:p w14:paraId="0598E506">
            <w:pPr>
              <w:adjustRightInd w:val="0"/>
              <w:snapToGrid w:val="0"/>
              <w:ind w:firstLine="400" w:firstLineChars="200"/>
              <w:jc w:val="center"/>
              <w:rPr>
                <w:rFonts w:ascii="宋体" w:cs="宋体"/>
                <w:b/>
                <w:bCs/>
                <w:color w:val="000000"/>
                <w:kern w:val="0"/>
                <w:sz w:val="22"/>
                <w:highlight w:val="none"/>
              </w:rPr>
            </w:pPr>
            <w:r>
              <w:rPr>
                <w:rFonts w:ascii="宋体" w:hAnsi="宋体" w:cs="宋体"/>
                <w:snapToGrid w:val="0"/>
                <w:spacing w:val="-20"/>
                <w:kern w:val="0"/>
                <w:sz w:val="24"/>
                <w:highlight w:val="none"/>
              </w:rPr>
              <w:t xml:space="preserve">                                           </w:t>
            </w:r>
            <w:r>
              <w:rPr>
                <w:rFonts w:hint="eastAsia" w:ascii="宋体" w:hAnsi="宋体" w:cs="宋体"/>
                <w:color w:val="000000"/>
                <w:kern w:val="0"/>
                <w:sz w:val="24"/>
                <w:highlight w:val="none"/>
              </w:rPr>
              <w:t>年</w:t>
            </w:r>
            <w:r>
              <w:rPr>
                <w:rFonts w:ascii="宋体" w:hAnsi="宋体" w:cs="宋体"/>
                <w:color w:val="000000"/>
                <w:kern w:val="0"/>
                <w:sz w:val="24"/>
                <w:highlight w:val="none"/>
              </w:rPr>
              <w:t xml:space="preserve">   </w:t>
            </w:r>
            <w:r>
              <w:rPr>
                <w:rFonts w:hint="eastAsia" w:ascii="宋体" w:hAnsi="宋体" w:cs="宋体"/>
                <w:color w:val="000000"/>
                <w:kern w:val="0"/>
                <w:sz w:val="24"/>
                <w:highlight w:val="none"/>
              </w:rPr>
              <w:t>月</w:t>
            </w:r>
            <w:r>
              <w:rPr>
                <w:rFonts w:ascii="宋体" w:hAnsi="宋体" w:cs="宋体"/>
                <w:color w:val="000000"/>
                <w:kern w:val="0"/>
                <w:sz w:val="24"/>
                <w:highlight w:val="none"/>
              </w:rPr>
              <w:t xml:space="preserve">   </w:t>
            </w:r>
            <w:r>
              <w:rPr>
                <w:rFonts w:hint="eastAsia" w:ascii="宋体" w:hAnsi="宋体" w:cs="宋体"/>
                <w:color w:val="000000"/>
                <w:kern w:val="0"/>
                <w:sz w:val="24"/>
                <w:highlight w:val="none"/>
              </w:rPr>
              <w:t>日</w:t>
            </w:r>
          </w:p>
        </w:tc>
      </w:tr>
    </w:tbl>
    <w:p w14:paraId="4602E2E2">
      <w:pPr>
        <w:pStyle w:val="2"/>
      </w:pPr>
    </w:p>
    <w:sectPr>
      <w:headerReference r:id="rId3" w:type="default"/>
      <w:footerReference r:id="rId4" w:type="default"/>
      <w:pgSz w:w="11906" w:h="16838"/>
      <w:pgMar w:top="2098" w:right="720" w:bottom="720" w:left="720" w:header="851" w:footer="992" w:gutter="0"/>
      <w:pgNumType w:fmt="numberInDash"/>
      <w:cols w:space="425" w:num="1"/>
      <w:rtlGutter w:val="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66B69">
    <w:pPr>
      <w:pStyle w:val="8"/>
      <w:framePr w:wrap="around" w:vAnchor="text" w:hAnchor="margin" w:xAlign="outside" w:y="1"/>
      <w:rPr>
        <w:rStyle w:val="16"/>
        <w:rFonts w:ascii="楷体_GB2312" w:eastAsia="楷体_GB2312"/>
        <w:sz w:val="28"/>
        <w:szCs w:val="28"/>
      </w:rPr>
    </w:pPr>
    <w:r>
      <w:rPr>
        <w:rStyle w:val="16"/>
        <w:rFonts w:ascii="楷体_GB2312" w:eastAsia="楷体_GB2312"/>
        <w:sz w:val="28"/>
        <w:szCs w:val="28"/>
      </w:rPr>
      <w:fldChar w:fldCharType="begin"/>
    </w:r>
    <w:r>
      <w:rPr>
        <w:rStyle w:val="16"/>
        <w:rFonts w:ascii="楷体_GB2312" w:eastAsia="楷体_GB2312"/>
        <w:sz w:val="28"/>
        <w:szCs w:val="28"/>
      </w:rPr>
      <w:instrText xml:space="preserve">PAGE  </w:instrText>
    </w:r>
    <w:r>
      <w:rPr>
        <w:rStyle w:val="16"/>
        <w:rFonts w:ascii="楷体_GB2312" w:eastAsia="楷体_GB2312"/>
        <w:sz w:val="28"/>
        <w:szCs w:val="28"/>
      </w:rPr>
      <w:fldChar w:fldCharType="separate"/>
    </w:r>
    <w:r>
      <w:rPr>
        <w:rStyle w:val="16"/>
        <w:rFonts w:ascii="楷体_GB2312" w:eastAsia="楷体_GB2312"/>
        <w:sz w:val="28"/>
        <w:szCs w:val="28"/>
      </w:rPr>
      <w:t>- 1 -</w:t>
    </w:r>
    <w:r>
      <w:rPr>
        <w:rStyle w:val="16"/>
        <w:rFonts w:ascii="楷体_GB2312" w:eastAsia="楷体_GB2312"/>
        <w:sz w:val="28"/>
        <w:szCs w:val="28"/>
      </w:rPr>
      <w:fldChar w:fldCharType="end"/>
    </w:r>
  </w:p>
  <w:p w14:paraId="02BB8F58">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FD45B">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26C858"/>
    <w:multiLevelType w:val="singleLevel"/>
    <w:tmpl w:val="F226C858"/>
    <w:lvl w:ilvl="0" w:tentative="0">
      <w:start w:val="1"/>
      <w:numFmt w:val="chineseCounting"/>
      <w:pStyle w:val="21"/>
      <w:suff w:val="nothing"/>
      <w:lvlText w:val="%1、"/>
      <w:lvlJc w:val="left"/>
      <w:pPr>
        <w:ind w:left="0" w:firstLine="397"/>
      </w:pPr>
      <w:rPr>
        <w:rFonts w:hint="eastAsia" w:eastAsia="黑体"/>
        <w:sz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c0MzVhMTE1NjlmNTQwYjA2ZTdmMDY2NjYwMTY1MTgifQ=="/>
  </w:docVars>
  <w:rsids>
    <w:rsidRoot w:val="00786126"/>
    <w:rsid w:val="00011087"/>
    <w:rsid w:val="00040F9D"/>
    <w:rsid w:val="000B3B43"/>
    <w:rsid w:val="000D04ED"/>
    <w:rsid w:val="0017154E"/>
    <w:rsid w:val="00180C67"/>
    <w:rsid w:val="00184AF3"/>
    <w:rsid w:val="001A0E02"/>
    <w:rsid w:val="001A1246"/>
    <w:rsid w:val="001D0B17"/>
    <w:rsid w:val="0020024A"/>
    <w:rsid w:val="0020129A"/>
    <w:rsid w:val="002521B5"/>
    <w:rsid w:val="0026289F"/>
    <w:rsid w:val="00291D01"/>
    <w:rsid w:val="00305401"/>
    <w:rsid w:val="003672E9"/>
    <w:rsid w:val="00381BF1"/>
    <w:rsid w:val="003E7416"/>
    <w:rsid w:val="00475ABD"/>
    <w:rsid w:val="004C44DE"/>
    <w:rsid w:val="00513529"/>
    <w:rsid w:val="00514E05"/>
    <w:rsid w:val="00552951"/>
    <w:rsid w:val="00576CCB"/>
    <w:rsid w:val="00581381"/>
    <w:rsid w:val="005D78DE"/>
    <w:rsid w:val="006474A2"/>
    <w:rsid w:val="006A72B4"/>
    <w:rsid w:val="0070530B"/>
    <w:rsid w:val="00727081"/>
    <w:rsid w:val="007719B1"/>
    <w:rsid w:val="00786126"/>
    <w:rsid w:val="00864CE0"/>
    <w:rsid w:val="008C3A2E"/>
    <w:rsid w:val="008E7A56"/>
    <w:rsid w:val="009276FC"/>
    <w:rsid w:val="00961DB6"/>
    <w:rsid w:val="009810C6"/>
    <w:rsid w:val="009B32BF"/>
    <w:rsid w:val="009C1962"/>
    <w:rsid w:val="00A6055F"/>
    <w:rsid w:val="00A94642"/>
    <w:rsid w:val="00A97C66"/>
    <w:rsid w:val="00B31063"/>
    <w:rsid w:val="00B8768F"/>
    <w:rsid w:val="00BA60E1"/>
    <w:rsid w:val="00C000AC"/>
    <w:rsid w:val="00C47498"/>
    <w:rsid w:val="00C52007"/>
    <w:rsid w:val="00CA4A78"/>
    <w:rsid w:val="00D361B5"/>
    <w:rsid w:val="00D51A5A"/>
    <w:rsid w:val="00D6106E"/>
    <w:rsid w:val="00DF3396"/>
    <w:rsid w:val="00E10F55"/>
    <w:rsid w:val="00E11C3C"/>
    <w:rsid w:val="00E662A9"/>
    <w:rsid w:val="00E7537A"/>
    <w:rsid w:val="00EB23A5"/>
    <w:rsid w:val="00F13D20"/>
    <w:rsid w:val="00F1682D"/>
    <w:rsid w:val="00F34B40"/>
    <w:rsid w:val="00F46465"/>
    <w:rsid w:val="00F66792"/>
    <w:rsid w:val="00F87ED7"/>
    <w:rsid w:val="00FF7C06"/>
    <w:rsid w:val="0B1A1A6E"/>
    <w:rsid w:val="10577134"/>
    <w:rsid w:val="118449A9"/>
    <w:rsid w:val="169F551D"/>
    <w:rsid w:val="1F1C5A08"/>
    <w:rsid w:val="257AA7CF"/>
    <w:rsid w:val="2F266384"/>
    <w:rsid w:val="3A726E4E"/>
    <w:rsid w:val="3C895791"/>
    <w:rsid w:val="3FDFFDD3"/>
    <w:rsid w:val="47ED065A"/>
    <w:rsid w:val="4F6A776F"/>
    <w:rsid w:val="5DFC7FAD"/>
    <w:rsid w:val="5E5796BE"/>
    <w:rsid w:val="5F7E1FFB"/>
    <w:rsid w:val="62B66AFB"/>
    <w:rsid w:val="62DE495C"/>
    <w:rsid w:val="66495ED8"/>
    <w:rsid w:val="699658F1"/>
    <w:rsid w:val="6F6B9C97"/>
    <w:rsid w:val="6FF74574"/>
    <w:rsid w:val="731A6C33"/>
    <w:rsid w:val="757B4BA4"/>
    <w:rsid w:val="7697129C"/>
    <w:rsid w:val="7BA9149B"/>
    <w:rsid w:val="7DEA7FE3"/>
    <w:rsid w:val="7FB58CAF"/>
    <w:rsid w:val="B9FE1DF5"/>
    <w:rsid w:val="BBFF4D88"/>
    <w:rsid w:val="BFB7B47D"/>
    <w:rsid w:val="DBD4CA81"/>
    <w:rsid w:val="DFFF2FE9"/>
    <w:rsid w:val="F3DF5D1D"/>
    <w:rsid w:val="FD7217CD"/>
    <w:rsid w:val="FE8F4C55"/>
    <w:rsid w:val="FFE449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unhideWhenUsed/>
    <w:qFormat/>
    <w:locked/>
    <w:uiPriority w:val="0"/>
    <w:pPr>
      <w:spacing w:beforeAutospacing="1" w:afterAutospacing="1"/>
      <w:jc w:val="left"/>
      <w:outlineLvl w:val="2"/>
    </w:pPr>
    <w:rPr>
      <w:rFonts w:hint="eastAsia" w:ascii="宋体" w:hAnsi="宋体" w:cs="宋体"/>
      <w:b/>
      <w:bCs/>
      <w:kern w:val="0"/>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style>
  <w:style w:type="paragraph" w:styleId="4">
    <w:name w:val="Body Text"/>
    <w:basedOn w:val="1"/>
    <w:qFormat/>
    <w:uiPriority w:val="0"/>
    <w:pPr>
      <w:spacing w:after="120" w:afterAutospacing="0"/>
    </w:pPr>
  </w:style>
  <w:style w:type="paragraph" w:styleId="5">
    <w:name w:val="Body Text Indent"/>
    <w:basedOn w:val="1"/>
    <w:next w:val="3"/>
    <w:qFormat/>
    <w:uiPriority w:val="99"/>
    <w:pPr>
      <w:spacing w:after="120"/>
      <w:ind w:left="420" w:leftChars="200"/>
    </w:pPr>
  </w:style>
  <w:style w:type="paragraph" w:styleId="6">
    <w:name w:val="Date"/>
    <w:basedOn w:val="1"/>
    <w:next w:val="1"/>
    <w:link w:val="20"/>
    <w:qFormat/>
    <w:uiPriority w:val="99"/>
    <w:pPr>
      <w:ind w:left="100" w:leftChars="2500"/>
    </w:pPr>
  </w:style>
  <w:style w:type="paragraph" w:styleId="7">
    <w:name w:val="Balloon Text"/>
    <w:basedOn w:val="1"/>
    <w:link w:val="19"/>
    <w:semiHidden/>
    <w:qFormat/>
    <w:uiPriority w:val="99"/>
    <w:rPr>
      <w:sz w:val="18"/>
      <w:szCs w:val="18"/>
    </w:rPr>
  </w:style>
  <w:style w:type="paragraph" w:styleId="8">
    <w:name w:val="footer"/>
    <w:basedOn w:val="1"/>
    <w:link w:val="18"/>
    <w:semiHidden/>
    <w:qFormat/>
    <w:uiPriority w:val="99"/>
    <w:pPr>
      <w:tabs>
        <w:tab w:val="center" w:pos="4153"/>
        <w:tab w:val="right" w:pos="8306"/>
      </w:tabs>
      <w:snapToGrid w:val="0"/>
      <w:jc w:val="left"/>
    </w:pPr>
    <w:rPr>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line="288" w:lineRule="auto"/>
      <w:jc w:val="left"/>
    </w:pPr>
    <w:rPr>
      <w:rFonts w:ascii="宋体" w:hAnsi="宋体" w:cs="宋体"/>
      <w:color w:val="000000"/>
      <w:kern w:val="0"/>
      <w:sz w:val="24"/>
    </w:rPr>
  </w:style>
  <w:style w:type="paragraph" w:styleId="11">
    <w:name w:val="Body Text First Indent"/>
    <w:basedOn w:val="4"/>
    <w:qFormat/>
    <w:uiPriority w:val="0"/>
    <w:pPr>
      <w:ind w:firstLine="420" w:firstLineChars="100"/>
    </w:pPr>
  </w:style>
  <w:style w:type="paragraph" w:styleId="12">
    <w:name w:val="Body Text First Indent 2"/>
    <w:basedOn w:val="5"/>
    <w:next w:val="1"/>
    <w:qFormat/>
    <w:uiPriority w:val="99"/>
    <w:pPr>
      <w:ind w:firstLine="420" w:firstLineChars="200"/>
    </w:pPr>
  </w:style>
  <w:style w:type="table" w:styleId="14">
    <w:name w:val="Table Grid"/>
    <w:basedOn w:val="13"/>
    <w:qFormat/>
    <w:locked/>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99"/>
    <w:rPr>
      <w:rFonts w:cs="Times New Roman"/>
    </w:rPr>
  </w:style>
  <w:style w:type="character" w:customStyle="1" w:styleId="17">
    <w:name w:val="页眉 Char"/>
    <w:link w:val="9"/>
    <w:semiHidden/>
    <w:qFormat/>
    <w:locked/>
    <w:uiPriority w:val="99"/>
    <w:rPr>
      <w:rFonts w:cs="Times New Roman"/>
      <w:sz w:val="18"/>
      <w:szCs w:val="18"/>
    </w:rPr>
  </w:style>
  <w:style w:type="character" w:customStyle="1" w:styleId="18">
    <w:name w:val="页脚 Char"/>
    <w:link w:val="8"/>
    <w:semiHidden/>
    <w:qFormat/>
    <w:locked/>
    <w:uiPriority w:val="99"/>
    <w:rPr>
      <w:rFonts w:cs="Times New Roman"/>
      <w:sz w:val="18"/>
      <w:szCs w:val="18"/>
    </w:rPr>
  </w:style>
  <w:style w:type="character" w:customStyle="1" w:styleId="19">
    <w:name w:val="批注框文本 Char"/>
    <w:link w:val="7"/>
    <w:semiHidden/>
    <w:qFormat/>
    <w:locked/>
    <w:uiPriority w:val="99"/>
    <w:rPr>
      <w:rFonts w:cs="Times New Roman"/>
      <w:sz w:val="2"/>
    </w:rPr>
  </w:style>
  <w:style w:type="character" w:customStyle="1" w:styleId="20">
    <w:name w:val="日期 Char"/>
    <w:basedOn w:val="15"/>
    <w:link w:val="6"/>
    <w:semiHidden/>
    <w:qFormat/>
    <w:uiPriority w:val="99"/>
  </w:style>
  <w:style w:type="paragraph" w:customStyle="1" w:styleId="21">
    <w:name w:val="公文-一级标题"/>
    <w:basedOn w:val="1"/>
    <w:next w:val="1"/>
    <w:qFormat/>
    <w:uiPriority w:val="0"/>
    <w:pPr>
      <w:keepNext w:val="0"/>
      <w:keepLines w:val="0"/>
      <w:numPr>
        <w:ilvl w:val="0"/>
        <w:numId w:val="1"/>
      </w:numPr>
      <w:spacing w:beforeLines="0" w:afterLines="0"/>
      <w:ind w:firstLine="880" w:firstLineChars="200"/>
      <w:jc w:val="left"/>
      <w:outlineLvl w:val="0"/>
    </w:pPr>
    <w:rPr>
      <w:rFonts w:ascii="Times New Roman" w:hAnsi="Times New Roman" w:eastAsia="黑体" w:cs="Times New Roman"/>
      <w:kern w:val="44"/>
      <w:sz w:val="32"/>
      <w:szCs w:val="22"/>
    </w:rPr>
  </w:style>
  <w:style w:type="paragraph" w:customStyle="1" w:styleId="22">
    <w:name w:val="公文-正文"/>
    <w:basedOn w:val="1"/>
    <w:qFormat/>
    <w:uiPriority w:val="0"/>
    <w:pPr>
      <w:spacing w:line="560" w:lineRule="exact"/>
      <w:ind w:firstLine="640" w:firstLineChars="200"/>
    </w:pPr>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1380</Words>
  <Characters>1489</Characters>
  <Lines>12</Lines>
  <Paragraphs>3</Paragraphs>
  <TotalTime>2</TotalTime>
  <ScaleCrop>false</ScaleCrop>
  <LinksUpToDate>false</LinksUpToDate>
  <CharactersWithSpaces>1537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2002-01-12T07:31:00Z</dcterms:created>
  <dc:creator>User</dc:creator>
  <cp:lastModifiedBy></cp:lastModifiedBy>
  <cp:lastPrinted>2026-08-28T09:29:00Z</cp:lastPrinted>
  <dcterms:modified xsi:type="dcterms:W3CDTF">2026-08-27T09:40:31Z</dcterms:modified>
  <dc:title>关于落实“绿色门槛”制度的通知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7A49E4B387564CDEB4D4CAE5DA4F6CAF_12</vt:lpwstr>
  </property>
  <property fmtid="{D5CDD505-2E9C-101B-9397-08002B2CF9AE}" pid="4" name="KSOTemplateDocerSaveRecord">
    <vt:lpwstr>eyJoZGlkIjoiZTVhNTAyZTk4ZGUwNDA4ODQ2NmVkOTk4YjZkMzNlYzgiLCJ1c2VySWQiOiIyNDgzNTAwMjUifQ==</vt:lpwstr>
  </property>
</Properties>
</file>