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C6" w:rsidRPr="00561E7C" w:rsidRDefault="009F62BD" w:rsidP="003B760B">
      <w:pPr>
        <w:spacing w:line="590" w:lineRule="exact"/>
        <w:rPr>
          <w:rFonts w:ascii="黑体" w:eastAsia="黑体" w:hAnsi="黑体"/>
          <w:sz w:val="32"/>
          <w:szCs w:val="32"/>
        </w:rPr>
      </w:pPr>
      <w:r w:rsidRPr="009F62BD">
        <w:rPr>
          <w:rFonts w:ascii="黑体" w:eastAsia="黑体" w:hAnsi="黑体" w:hint="eastAsia"/>
          <w:sz w:val="32"/>
          <w:szCs w:val="32"/>
        </w:rPr>
        <w:t>青西新财[2019]415号</w:t>
      </w:r>
      <w:r w:rsidR="003440C6">
        <w:rPr>
          <w:rFonts w:ascii="黑体" w:eastAsia="黑体" w:hAnsi="黑体" w:hint="eastAsia"/>
          <w:sz w:val="32"/>
          <w:szCs w:val="32"/>
        </w:rPr>
        <w:t>附件</w:t>
      </w:r>
      <w:r w:rsidR="00F541C6">
        <w:rPr>
          <w:rFonts w:ascii="黑体" w:eastAsia="黑体" w:hAnsi="黑体" w:hint="eastAsia"/>
          <w:sz w:val="32"/>
          <w:szCs w:val="32"/>
        </w:rPr>
        <w:t>2</w:t>
      </w:r>
    </w:p>
    <w:p w:rsidR="003440C6" w:rsidRPr="00AB1073" w:rsidRDefault="00AB1073" w:rsidP="00AB1073">
      <w:pPr>
        <w:spacing w:line="590" w:lineRule="exact"/>
        <w:jc w:val="center"/>
        <w:rPr>
          <w:rFonts w:ascii="方正小标宋_GBK" w:eastAsia="方正小标宋_GBK"/>
          <w:sz w:val="44"/>
          <w:szCs w:val="44"/>
        </w:rPr>
      </w:pPr>
      <w:r>
        <w:rPr>
          <w:rFonts w:ascii="方正小标宋_GBK" w:eastAsia="方正小标宋_GBK" w:hint="eastAsia"/>
          <w:sz w:val="44"/>
          <w:szCs w:val="44"/>
        </w:rPr>
        <w:t>2018年度</w:t>
      </w:r>
      <w:r w:rsidR="003440C6" w:rsidRPr="008A5D34">
        <w:rPr>
          <w:rFonts w:ascii="方正小标宋_GBK" w:eastAsia="方正小标宋_GBK" w:hint="eastAsia"/>
          <w:sz w:val="44"/>
          <w:szCs w:val="44"/>
        </w:rPr>
        <w:t>预算绩效评价结果信息公开</w:t>
      </w:r>
      <w:r w:rsidR="003440C6">
        <w:rPr>
          <w:rFonts w:ascii="方正小标宋_GBK" w:eastAsia="方正小标宋_GBK" w:hint="eastAsia"/>
          <w:sz w:val="44"/>
          <w:szCs w:val="44"/>
        </w:rPr>
        <w:t>表</w:t>
      </w:r>
    </w:p>
    <w:p w:rsidR="003440C6" w:rsidRPr="009C6F85" w:rsidRDefault="003440C6" w:rsidP="003B760B">
      <w:pPr>
        <w:spacing w:line="590" w:lineRule="exact"/>
        <w:rPr>
          <w:rFonts w:asciiTheme="minorEastAsia" w:eastAsiaTheme="minorEastAsia" w:hAnsiTheme="minorEastAsia"/>
          <w:spacing w:val="-4"/>
          <w:sz w:val="28"/>
          <w:szCs w:val="28"/>
        </w:rPr>
      </w:pPr>
      <w:r w:rsidRPr="009C6F85">
        <w:rPr>
          <w:rFonts w:asciiTheme="minorEastAsia" w:eastAsiaTheme="minorEastAsia" w:hAnsiTheme="minorEastAsia" w:hint="eastAsia"/>
          <w:spacing w:val="-4"/>
          <w:sz w:val="28"/>
          <w:szCs w:val="28"/>
        </w:rPr>
        <w:t>预算单位：</w:t>
      </w:r>
    </w:p>
    <w:tbl>
      <w:tblPr>
        <w:tblW w:w="0" w:type="auto"/>
        <w:jc w:val="center"/>
        <w:tblLayout w:type="fixed"/>
        <w:tblCellMar>
          <w:left w:w="0" w:type="dxa"/>
          <w:right w:w="0" w:type="dxa"/>
        </w:tblCellMar>
        <w:tblLook w:val="0000"/>
      </w:tblPr>
      <w:tblGrid>
        <w:gridCol w:w="780"/>
        <w:gridCol w:w="1052"/>
        <w:gridCol w:w="2835"/>
        <w:gridCol w:w="1701"/>
        <w:gridCol w:w="2460"/>
      </w:tblGrid>
      <w:tr w:rsidR="003440C6" w:rsidRPr="00396C73" w:rsidTr="007971DF">
        <w:trPr>
          <w:trHeight w:hRule="exact" w:val="634"/>
          <w:jc w:val="center"/>
        </w:trPr>
        <w:tc>
          <w:tcPr>
            <w:tcW w:w="18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AF17D8" w:rsidRDefault="003440C6" w:rsidP="000829E4">
            <w:pPr>
              <w:tabs>
                <w:tab w:val="left" w:pos="1580"/>
                <w:tab w:val="left" w:pos="3969"/>
                <w:tab w:val="left" w:pos="4111"/>
              </w:tabs>
              <w:autoSpaceDE w:val="0"/>
              <w:autoSpaceDN w:val="0"/>
              <w:adjustRightInd w:val="0"/>
              <w:snapToGrid w:val="0"/>
              <w:jc w:val="center"/>
              <w:rPr>
                <w:rFonts w:ascii="黑体" w:eastAsia="黑体" w:hAnsi="黑体"/>
                <w:kern w:val="0"/>
                <w:sz w:val="28"/>
                <w:szCs w:val="28"/>
              </w:rPr>
            </w:pPr>
            <w:r w:rsidRPr="00AF17D8">
              <w:rPr>
                <w:rFonts w:ascii="黑体" w:eastAsia="黑体" w:hAnsi="黑体" w:cs="Microsoft JhengHei" w:hint="eastAsia"/>
                <w:kern w:val="0"/>
                <w:sz w:val="28"/>
                <w:szCs w:val="28"/>
              </w:rPr>
              <w:t>项</w:t>
            </w:r>
            <w:r w:rsidR="00872F8E">
              <w:rPr>
                <w:rFonts w:ascii="黑体" w:eastAsia="黑体" w:hAnsi="黑体" w:cs="Microsoft JhengHei" w:hint="eastAsia"/>
                <w:kern w:val="0"/>
                <w:sz w:val="28"/>
                <w:szCs w:val="28"/>
              </w:rPr>
              <w:t xml:space="preserve">   </w:t>
            </w:r>
            <w:r w:rsidR="00F71AAA">
              <w:rPr>
                <w:rFonts w:ascii="黑体" w:eastAsia="黑体" w:hAnsi="黑体" w:cs="Microsoft JhengHei" w:hint="eastAsia"/>
                <w:kern w:val="0"/>
                <w:sz w:val="28"/>
                <w:szCs w:val="28"/>
              </w:rPr>
              <w:t>目</w:t>
            </w:r>
          </w:p>
        </w:tc>
        <w:tc>
          <w:tcPr>
            <w:tcW w:w="699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AF17D8" w:rsidRDefault="003440C6" w:rsidP="000829E4">
            <w:pPr>
              <w:tabs>
                <w:tab w:val="left" w:pos="3969"/>
                <w:tab w:val="left" w:pos="4111"/>
              </w:tabs>
              <w:autoSpaceDE w:val="0"/>
              <w:autoSpaceDN w:val="0"/>
              <w:adjustRightInd w:val="0"/>
              <w:snapToGrid w:val="0"/>
              <w:jc w:val="center"/>
              <w:rPr>
                <w:rFonts w:ascii="黑体" w:eastAsia="黑体" w:hAnsi="黑体"/>
                <w:kern w:val="0"/>
                <w:sz w:val="28"/>
                <w:szCs w:val="28"/>
              </w:rPr>
            </w:pPr>
            <w:r w:rsidRPr="00AF17D8">
              <w:rPr>
                <w:rFonts w:ascii="黑体" w:eastAsia="黑体" w:hAnsi="黑体" w:cs="Microsoft JhengHei" w:hint="eastAsia"/>
                <w:kern w:val="0"/>
                <w:sz w:val="28"/>
                <w:szCs w:val="28"/>
              </w:rPr>
              <w:t>具体内</w:t>
            </w:r>
            <w:r w:rsidRPr="00AF17D8">
              <w:rPr>
                <w:rFonts w:ascii="黑体" w:eastAsia="黑体" w:hAnsi="黑体" w:cs="Microsoft JhengHei" w:hint="eastAsia"/>
                <w:w w:val="99"/>
                <w:kern w:val="0"/>
                <w:sz w:val="28"/>
                <w:szCs w:val="28"/>
              </w:rPr>
              <w:t>容</w:t>
            </w:r>
          </w:p>
        </w:tc>
      </w:tr>
      <w:tr w:rsidR="003440C6" w:rsidRPr="00396C73" w:rsidTr="007971DF">
        <w:trPr>
          <w:trHeight w:hRule="exact" w:val="557"/>
          <w:jc w:val="center"/>
        </w:trPr>
        <w:tc>
          <w:tcPr>
            <w:tcW w:w="18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9C6F85" w:rsidRDefault="003440C6" w:rsidP="000829E4">
            <w:pPr>
              <w:tabs>
                <w:tab w:val="left" w:pos="4111"/>
              </w:tabs>
              <w:autoSpaceDE w:val="0"/>
              <w:autoSpaceDN w:val="0"/>
              <w:adjustRightInd w:val="0"/>
              <w:snapToGrid w:val="0"/>
              <w:jc w:val="center"/>
              <w:rPr>
                <w:rFonts w:asciiTheme="minorEastAsia" w:eastAsiaTheme="minorEastAsia" w:hAnsiTheme="minorEastAsia"/>
                <w:kern w:val="0"/>
                <w:sz w:val="28"/>
                <w:szCs w:val="28"/>
              </w:rPr>
            </w:pPr>
            <w:r w:rsidRPr="009C6F85">
              <w:rPr>
                <w:rFonts w:asciiTheme="minorEastAsia" w:eastAsiaTheme="minorEastAsia" w:hAnsiTheme="minorEastAsia" w:cs="Microsoft JhengHei" w:hint="eastAsia"/>
                <w:kern w:val="0"/>
                <w:sz w:val="28"/>
                <w:szCs w:val="28"/>
              </w:rPr>
              <w:t>项目名称</w:t>
            </w:r>
          </w:p>
        </w:tc>
        <w:tc>
          <w:tcPr>
            <w:tcW w:w="699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9C6F85" w:rsidRDefault="00833A0E" w:rsidP="000829E4">
            <w:pPr>
              <w:tabs>
                <w:tab w:val="left" w:pos="3969"/>
                <w:tab w:val="left" w:pos="4111"/>
              </w:tabs>
              <w:autoSpaceDE w:val="0"/>
              <w:autoSpaceDN w:val="0"/>
              <w:adjustRightInd w:val="0"/>
              <w:snapToGrid w:val="0"/>
              <w:jc w:val="center"/>
              <w:rPr>
                <w:rFonts w:ascii="楷体" w:eastAsia="楷体" w:hAnsi="楷体"/>
                <w:kern w:val="0"/>
                <w:sz w:val="28"/>
                <w:szCs w:val="28"/>
              </w:rPr>
            </w:pPr>
            <w:r>
              <w:rPr>
                <w:rFonts w:ascii="楷体" w:eastAsia="楷体" w:hAnsi="楷体" w:hint="eastAsia"/>
                <w:kern w:val="0"/>
                <w:sz w:val="28"/>
                <w:szCs w:val="28"/>
              </w:rPr>
              <w:t>2017年公交车辆购置费</w:t>
            </w:r>
          </w:p>
        </w:tc>
      </w:tr>
      <w:tr w:rsidR="008326DB" w:rsidRPr="00396C73" w:rsidTr="007971DF">
        <w:trPr>
          <w:trHeight w:hRule="exact" w:val="556"/>
          <w:jc w:val="center"/>
        </w:trPr>
        <w:tc>
          <w:tcPr>
            <w:tcW w:w="18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8326DB" w:rsidRPr="009C6F85" w:rsidRDefault="008326DB" w:rsidP="000829E4">
            <w:pPr>
              <w:tabs>
                <w:tab w:val="left" w:pos="3969"/>
                <w:tab w:val="left" w:pos="4111"/>
              </w:tabs>
              <w:autoSpaceDE w:val="0"/>
              <w:autoSpaceDN w:val="0"/>
              <w:adjustRightInd w:val="0"/>
              <w:snapToGrid w:val="0"/>
              <w:jc w:val="center"/>
              <w:rPr>
                <w:rFonts w:asciiTheme="minorEastAsia" w:eastAsiaTheme="minorEastAsia" w:hAnsiTheme="minorEastAsia"/>
                <w:kern w:val="0"/>
                <w:sz w:val="28"/>
                <w:szCs w:val="28"/>
              </w:rPr>
            </w:pPr>
            <w:r w:rsidRPr="009C6F85">
              <w:rPr>
                <w:rFonts w:asciiTheme="minorEastAsia" w:eastAsiaTheme="minorEastAsia" w:hAnsiTheme="minorEastAsia" w:cs="Microsoft JhengHei" w:hint="eastAsia"/>
                <w:kern w:val="0"/>
                <w:sz w:val="28"/>
                <w:szCs w:val="28"/>
              </w:rPr>
              <w:t>预算金额</w:t>
            </w:r>
          </w:p>
        </w:tc>
        <w:tc>
          <w:tcPr>
            <w:tcW w:w="2835"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8326DB" w:rsidRPr="009C6F85" w:rsidRDefault="00833A0E" w:rsidP="000829E4">
            <w:pPr>
              <w:autoSpaceDE w:val="0"/>
              <w:autoSpaceDN w:val="0"/>
              <w:adjustRightInd w:val="0"/>
              <w:snapToGrid w:val="0"/>
              <w:jc w:val="center"/>
              <w:rPr>
                <w:rFonts w:ascii="楷体" w:eastAsia="楷体" w:hAnsi="楷体"/>
                <w:kern w:val="0"/>
                <w:sz w:val="28"/>
                <w:szCs w:val="28"/>
              </w:rPr>
            </w:pPr>
            <w:r>
              <w:rPr>
                <w:rFonts w:ascii="楷体" w:eastAsia="楷体" w:hAnsi="楷体" w:hint="eastAsia"/>
                <w:kern w:val="0"/>
                <w:sz w:val="28"/>
                <w:szCs w:val="28"/>
              </w:rPr>
              <w:t>1708.96</w:t>
            </w:r>
            <w:r w:rsidR="008326DB" w:rsidRPr="009C6F85">
              <w:rPr>
                <w:rFonts w:ascii="楷体" w:eastAsia="楷体" w:hAnsi="楷体" w:hint="eastAsia"/>
                <w:kern w:val="0"/>
                <w:sz w:val="28"/>
                <w:szCs w:val="28"/>
              </w:rPr>
              <w:t>万元</w:t>
            </w:r>
          </w:p>
        </w:tc>
        <w:tc>
          <w:tcPr>
            <w:tcW w:w="1701"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8326DB" w:rsidRPr="009C6F85" w:rsidRDefault="008326DB" w:rsidP="000829E4">
            <w:pPr>
              <w:tabs>
                <w:tab w:val="left" w:pos="3969"/>
                <w:tab w:val="left" w:pos="4111"/>
              </w:tabs>
              <w:autoSpaceDE w:val="0"/>
              <w:autoSpaceDN w:val="0"/>
              <w:adjustRightInd w:val="0"/>
              <w:snapToGrid w:val="0"/>
              <w:jc w:val="center"/>
              <w:rPr>
                <w:rFonts w:asciiTheme="minorEastAsia" w:eastAsiaTheme="minorEastAsia" w:hAnsiTheme="minorEastAsia"/>
                <w:kern w:val="0"/>
                <w:sz w:val="28"/>
                <w:szCs w:val="28"/>
              </w:rPr>
            </w:pPr>
            <w:r w:rsidRPr="009C6F85">
              <w:rPr>
                <w:rFonts w:asciiTheme="minorEastAsia" w:eastAsiaTheme="minorEastAsia" w:hAnsiTheme="minorEastAsia" w:hint="eastAsia"/>
                <w:kern w:val="0"/>
                <w:sz w:val="28"/>
                <w:szCs w:val="28"/>
              </w:rPr>
              <w:t>评价方式</w:t>
            </w:r>
          </w:p>
        </w:tc>
        <w:tc>
          <w:tcPr>
            <w:tcW w:w="2460"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vAlign w:val="center"/>
          </w:tcPr>
          <w:p w:rsidR="008326DB" w:rsidRPr="009C6F85" w:rsidRDefault="008326DB" w:rsidP="000829E4">
            <w:pPr>
              <w:tabs>
                <w:tab w:val="left" w:pos="3969"/>
                <w:tab w:val="left" w:pos="4111"/>
              </w:tabs>
              <w:autoSpaceDE w:val="0"/>
              <w:autoSpaceDN w:val="0"/>
              <w:adjustRightInd w:val="0"/>
              <w:snapToGrid w:val="0"/>
              <w:jc w:val="center"/>
              <w:rPr>
                <w:rFonts w:ascii="楷体" w:eastAsia="楷体" w:hAnsi="楷体"/>
                <w:kern w:val="0"/>
                <w:sz w:val="28"/>
                <w:szCs w:val="28"/>
              </w:rPr>
            </w:pPr>
            <w:r w:rsidRPr="009C6F85">
              <w:rPr>
                <w:rFonts w:ascii="楷体" w:eastAsia="楷体" w:hAnsi="楷体" w:hint="eastAsia"/>
                <w:kern w:val="0"/>
                <w:sz w:val="28"/>
                <w:szCs w:val="28"/>
              </w:rPr>
              <w:t>财政重点评价</w:t>
            </w:r>
          </w:p>
        </w:tc>
      </w:tr>
      <w:tr w:rsidR="003440C6" w:rsidRPr="00396C73" w:rsidTr="007971DF">
        <w:trPr>
          <w:trHeight w:hRule="exact" w:val="556"/>
          <w:jc w:val="center"/>
        </w:trPr>
        <w:tc>
          <w:tcPr>
            <w:tcW w:w="18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9C6F85" w:rsidRDefault="003440C6" w:rsidP="000829E4">
            <w:pPr>
              <w:tabs>
                <w:tab w:val="left" w:pos="3969"/>
                <w:tab w:val="left" w:pos="4111"/>
              </w:tabs>
              <w:autoSpaceDE w:val="0"/>
              <w:autoSpaceDN w:val="0"/>
              <w:adjustRightInd w:val="0"/>
              <w:snapToGrid w:val="0"/>
              <w:jc w:val="center"/>
              <w:rPr>
                <w:rFonts w:asciiTheme="minorEastAsia" w:eastAsiaTheme="minorEastAsia" w:hAnsiTheme="minorEastAsia"/>
                <w:kern w:val="0"/>
                <w:sz w:val="28"/>
                <w:szCs w:val="28"/>
              </w:rPr>
            </w:pPr>
            <w:r w:rsidRPr="009C6F85">
              <w:rPr>
                <w:rFonts w:asciiTheme="minorEastAsia" w:eastAsiaTheme="minorEastAsia" w:hAnsiTheme="minorEastAsia" w:cs="Microsoft JhengHei" w:hint="eastAsia"/>
                <w:kern w:val="0"/>
                <w:sz w:val="28"/>
                <w:szCs w:val="28"/>
              </w:rPr>
              <w:t>主管部门</w:t>
            </w:r>
          </w:p>
        </w:tc>
        <w:tc>
          <w:tcPr>
            <w:tcW w:w="699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9C6F85" w:rsidRDefault="00833A0E" w:rsidP="000829E4">
            <w:pPr>
              <w:tabs>
                <w:tab w:val="left" w:pos="3969"/>
                <w:tab w:val="left" w:pos="4111"/>
              </w:tabs>
              <w:autoSpaceDE w:val="0"/>
              <w:autoSpaceDN w:val="0"/>
              <w:adjustRightInd w:val="0"/>
              <w:snapToGrid w:val="0"/>
              <w:rPr>
                <w:rFonts w:ascii="楷体" w:eastAsia="楷体" w:hAnsi="楷体"/>
                <w:kern w:val="0"/>
                <w:sz w:val="28"/>
                <w:szCs w:val="28"/>
              </w:rPr>
            </w:pPr>
            <w:r>
              <w:rPr>
                <w:rFonts w:ascii="楷体" w:eastAsia="楷体" w:hAnsi="楷体" w:hint="eastAsia"/>
                <w:kern w:val="0"/>
                <w:sz w:val="28"/>
                <w:szCs w:val="28"/>
              </w:rPr>
              <w:t>青岛市黄岛区交通运输局</w:t>
            </w:r>
          </w:p>
        </w:tc>
      </w:tr>
      <w:tr w:rsidR="009C6F85" w:rsidRPr="00396C73" w:rsidTr="007971DF">
        <w:trPr>
          <w:trHeight w:hRule="exact" w:val="557"/>
          <w:jc w:val="center"/>
        </w:trPr>
        <w:tc>
          <w:tcPr>
            <w:tcW w:w="18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C6F85" w:rsidRPr="009C6F85" w:rsidRDefault="009C6F85" w:rsidP="000829E4">
            <w:pPr>
              <w:tabs>
                <w:tab w:val="left" w:pos="3969"/>
                <w:tab w:val="left" w:pos="4111"/>
              </w:tabs>
              <w:autoSpaceDE w:val="0"/>
              <w:autoSpaceDN w:val="0"/>
              <w:adjustRightInd w:val="0"/>
              <w:snapToGrid w:val="0"/>
              <w:jc w:val="center"/>
              <w:rPr>
                <w:rFonts w:asciiTheme="minorEastAsia" w:eastAsiaTheme="minorEastAsia" w:hAnsiTheme="minorEastAsia"/>
                <w:kern w:val="0"/>
                <w:sz w:val="28"/>
                <w:szCs w:val="28"/>
              </w:rPr>
            </w:pPr>
            <w:r w:rsidRPr="009C6F85">
              <w:rPr>
                <w:rFonts w:asciiTheme="minorEastAsia" w:eastAsiaTheme="minorEastAsia" w:hAnsiTheme="minorEastAsia" w:cs="Microsoft JhengHei" w:hint="eastAsia"/>
                <w:kern w:val="0"/>
                <w:sz w:val="28"/>
                <w:szCs w:val="28"/>
              </w:rPr>
              <w:t>评价分值</w:t>
            </w:r>
          </w:p>
        </w:tc>
        <w:tc>
          <w:tcPr>
            <w:tcW w:w="2835"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9C6F85" w:rsidRPr="009C6F85" w:rsidRDefault="00833A0E" w:rsidP="000829E4">
            <w:pPr>
              <w:tabs>
                <w:tab w:val="left" w:pos="3969"/>
                <w:tab w:val="left" w:pos="4111"/>
              </w:tabs>
              <w:autoSpaceDE w:val="0"/>
              <w:autoSpaceDN w:val="0"/>
              <w:adjustRightInd w:val="0"/>
              <w:snapToGrid w:val="0"/>
              <w:jc w:val="center"/>
              <w:rPr>
                <w:rFonts w:ascii="楷体" w:eastAsia="楷体" w:hAnsi="楷体"/>
                <w:kern w:val="0"/>
                <w:sz w:val="28"/>
                <w:szCs w:val="28"/>
              </w:rPr>
            </w:pPr>
            <w:r>
              <w:rPr>
                <w:rFonts w:ascii="楷体" w:eastAsia="楷体" w:hAnsi="楷体" w:hint="eastAsia"/>
                <w:kern w:val="0"/>
                <w:sz w:val="28"/>
                <w:szCs w:val="28"/>
              </w:rPr>
              <w:t>92</w:t>
            </w:r>
            <w:r w:rsidR="009C6F85" w:rsidRPr="009C6F85">
              <w:rPr>
                <w:rFonts w:ascii="楷体" w:eastAsia="楷体" w:hAnsi="楷体" w:hint="eastAsia"/>
                <w:kern w:val="0"/>
                <w:sz w:val="28"/>
                <w:szCs w:val="28"/>
              </w:rPr>
              <w:t>分</w:t>
            </w:r>
          </w:p>
        </w:tc>
        <w:tc>
          <w:tcPr>
            <w:tcW w:w="1701"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9C6F85" w:rsidRPr="009C6F85" w:rsidRDefault="009C6F85" w:rsidP="000829E4">
            <w:pPr>
              <w:tabs>
                <w:tab w:val="left" w:pos="3969"/>
                <w:tab w:val="left" w:pos="4111"/>
              </w:tabs>
              <w:autoSpaceDE w:val="0"/>
              <w:autoSpaceDN w:val="0"/>
              <w:adjustRightInd w:val="0"/>
              <w:snapToGrid w:val="0"/>
              <w:jc w:val="center"/>
              <w:rPr>
                <w:rFonts w:asciiTheme="minorEastAsia" w:eastAsiaTheme="minorEastAsia" w:hAnsiTheme="minorEastAsia"/>
                <w:kern w:val="0"/>
                <w:sz w:val="28"/>
                <w:szCs w:val="28"/>
              </w:rPr>
            </w:pPr>
            <w:r w:rsidRPr="009C6F85">
              <w:rPr>
                <w:rFonts w:asciiTheme="minorEastAsia" w:eastAsiaTheme="minorEastAsia" w:hAnsiTheme="minorEastAsia" w:hint="eastAsia"/>
                <w:kern w:val="0"/>
                <w:sz w:val="28"/>
                <w:szCs w:val="28"/>
              </w:rPr>
              <w:t>评价等级</w:t>
            </w:r>
          </w:p>
        </w:tc>
        <w:tc>
          <w:tcPr>
            <w:tcW w:w="2460"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9C6F85" w:rsidRPr="009C6F85" w:rsidRDefault="00833A0E" w:rsidP="000829E4">
            <w:pPr>
              <w:tabs>
                <w:tab w:val="left" w:pos="3969"/>
                <w:tab w:val="left" w:pos="4111"/>
              </w:tabs>
              <w:autoSpaceDE w:val="0"/>
              <w:autoSpaceDN w:val="0"/>
              <w:adjustRightInd w:val="0"/>
              <w:snapToGrid w:val="0"/>
              <w:jc w:val="center"/>
              <w:rPr>
                <w:rFonts w:ascii="楷体" w:eastAsia="楷体" w:hAnsi="楷体"/>
                <w:kern w:val="0"/>
                <w:sz w:val="28"/>
                <w:szCs w:val="28"/>
              </w:rPr>
            </w:pPr>
            <w:r>
              <w:rPr>
                <w:rFonts w:ascii="楷体" w:eastAsia="楷体" w:hAnsi="楷体" w:hint="eastAsia"/>
                <w:kern w:val="0"/>
                <w:sz w:val="28"/>
                <w:szCs w:val="28"/>
              </w:rPr>
              <w:t>优秀</w:t>
            </w:r>
          </w:p>
        </w:tc>
      </w:tr>
      <w:tr w:rsidR="00F71AAA" w:rsidRPr="00396C73" w:rsidTr="007971DF">
        <w:trPr>
          <w:trHeight w:hRule="exact" w:val="556"/>
          <w:jc w:val="center"/>
        </w:trPr>
        <w:tc>
          <w:tcPr>
            <w:tcW w:w="18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F71AAA" w:rsidRPr="009C6F85" w:rsidRDefault="00F71AAA" w:rsidP="000829E4">
            <w:pPr>
              <w:tabs>
                <w:tab w:val="left" w:pos="3969"/>
                <w:tab w:val="left" w:pos="4111"/>
              </w:tabs>
              <w:autoSpaceDE w:val="0"/>
              <w:autoSpaceDN w:val="0"/>
              <w:adjustRightInd w:val="0"/>
              <w:snapToGrid w:val="0"/>
              <w:jc w:val="center"/>
              <w:rPr>
                <w:rFonts w:asciiTheme="minorEastAsia" w:eastAsiaTheme="minorEastAsia" w:hAnsiTheme="minorEastAsia"/>
                <w:kern w:val="0"/>
                <w:sz w:val="28"/>
                <w:szCs w:val="28"/>
              </w:rPr>
            </w:pPr>
            <w:r w:rsidRPr="009C6F85">
              <w:rPr>
                <w:rFonts w:asciiTheme="minorEastAsia" w:eastAsiaTheme="minorEastAsia" w:hAnsiTheme="minorEastAsia" w:cs="Microsoft JhengHei" w:hint="eastAsia"/>
                <w:kern w:val="0"/>
                <w:sz w:val="28"/>
                <w:szCs w:val="28"/>
              </w:rPr>
              <w:t>评价机构</w:t>
            </w:r>
          </w:p>
        </w:tc>
        <w:tc>
          <w:tcPr>
            <w:tcW w:w="699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F71AAA" w:rsidRPr="008A0AC0" w:rsidRDefault="00833A0E" w:rsidP="000829E4">
            <w:pPr>
              <w:tabs>
                <w:tab w:val="left" w:pos="3969"/>
                <w:tab w:val="left" w:pos="4111"/>
              </w:tabs>
              <w:autoSpaceDE w:val="0"/>
              <w:autoSpaceDN w:val="0"/>
              <w:adjustRightInd w:val="0"/>
              <w:snapToGrid w:val="0"/>
              <w:rPr>
                <w:rFonts w:ascii="楷体" w:eastAsia="楷体" w:hAnsi="楷体"/>
                <w:b/>
                <w:kern w:val="0"/>
                <w:sz w:val="32"/>
                <w:szCs w:val="32"/>
              </w:rPr>
            </w:pPr>
            <w:r w:rsidRPr="008A0AC0">
              <w:rPr>
                <w:rFonts w:ascii="楷体" w:eastAsia="楷体" w:hAnsi="楷体" w:hint="eastAsia"/>
                <w:kern w:val="0"/>
                <w:sz w:val="28"/>
                <w:szCs w:val="28"/>
              </w:rPr>
              <w:t>山东大明有限责任会计师事务所</w:t>
            </w:r>
          </w:p>
        </w:tc>
      </w:tr>
      <w:tr w:rsidR="005A2087" w:rsidRPr="00396C73" w:rsidTr="003917B7">
        <w:trPr>
          <w:trHeight w:val="2961"/>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主</w:t>
            </w:r>
          </w:p>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要</w:t>
            </w:r>
          </w:p>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绩</w:t>
            </w:r>
          </w:p>
          <w:p w:rsidR="005A2087" w:rsidRP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效</w:t>
            </w:r>
          </w:p>
        </w:tc>
        <w:tc>
          <w:tcPr>
            <w:tcW w:w="8048"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3917B7" w:rsidRPr="0045150F" w:rsidRDefault="003917B7" w:rsidP="003917B7">
            <w:pPr>
              <w:tabs>
                <w:tab w:val="left" w:pos="3969"/>
                <w:tab w:val="left" w:pos="4111"/>
              </w:tabs>
              <w:autoSpaceDE w:val="0"/>
              <w:autoSpaceDN w:val="0"/>
              <w:adjustRightInd w:val="0"/>
              <w:snapToGrid w:val="0"/>
              <w:ind w:firstLineChars="200" w:firstLine="560"/>
              <w:rPr>
                <w:rFonts w:ascii="仿宋" w:eastAsia="仿宋" w:hAnsi="仿宋"/>
                <w:spacing w:val="-4"/>
                <w:sz w:val="32"/>
              </w:rPr>
            </w:pPr>
            <w:bookmarkStart w:id="0" w:name="_Hlk13076834"/>
            <w:r w:rsidRPr="003917B7">
              <w:rPr>
                <w:rFonts w:ascii="楷体" w:eastAsia="楷体" w:hAnsi="楷体" w:hint="eastAsia"/>
                <w:kern w:val="0"/>
                <w:sz w:val="28"/>
                <w:szCs w:val="28"/>
              </w:rPr>
              <w:t>通过预测新开通路线需求、优化线网布局需求及优化调整公交发车密度需求，结合青岛市公交规划，合理预计车辆需求；遵守政府采购相关要求，采取公开招标，招标程序较为规范；圆满完成115辆车辆购置及验收工作，公交车购置完成率1</w:t>
            </w:r>
            <w:r w:rsidRPr="003917B7">
              <w:rPr>
                <w:rFonts w:ascii="楷体" w:eastAsia="楷体" w:hAnsi="楷体"/>
                <w:kern w:val="0"/>
                <w:sz w:val="28"/>
                <w:szCs w:val="28"/>
              </w:rPr>
              <w:t>00</w:t>
            </w:r>
            <w:r w:rsidRPr="003917B7">
              <w:rPr>
                <w:rFonts w:ascii="楷体" w:eastAsia="楷体" w:hAnsi="楷体" w:hint="eastAsia"/>
                <w:kern w:val="0"/>
                <w:sz w:val="28"/>
                <w:szCs w:val="28"/>
              </w:rPr>
              <w:t>%，新能源车占比1</w:t>
            </w:r>
            <w:r w:rsidRPr="003917B7">
              <w:rPr>
                <w:rFonts w:ascii="楷体" w:eastAsia="楷体" w:hAnsi="楷体"/>
                <w:kern w:val="0"/>
                <w:sz w:val="28"/>
                <w:szCs w:val="28"/>
              </w:rPr>
              <w:t>00</w:t>
            </w:r>
            <w:r w:rsidRPr="003917B7">
              <w:rPr>
                <w:rFonts w:ascii="楷体" w:eastAsia="楷体" w:hAnsi="楷体" w:hint="eastAsia"/>
                <w:kern w:val="0"/>
                <w:sz w:val="28"/>
                <w:szCs w:val="28"/>
              </w:rPr>
              <w:t>%；新购置车辆基本能够投入线路正常运营，保障西海岸新区市民公交出行。</w:t>
            </w:r>
          </w:p>
          <w:bookmarkEnd w:id="0"/>
          <w:p w:rsidR="005A2087" w:rsidRPr="005A2087" w:rsidRDefault="005A2087">
            <w:pPr>
              <w:widowControl/>
              <w:jc w:val="left"/>
              <w:rPr>
                <w:rFonts w:ascii="楷体" w:eastAsia="楷体" w:hAnsi="楷体" w:cs="Microsoft JhengHei"/>
                <w:kern w:val="0"/>
                <w:sz w:val="24"/>
              </w:rPr>
            </w:pPr>
          </w:p>
          <w:p w:rsidR="001444D7" w:rsidRPr="005A2087" w:rsidRDefault="001444D7" w:rsidP="007662B5">
            <w:pPr>
              <w:autoSpaceDE w:val="0"/>
              <w:autoSpaceDN w:val="0"/>
              <w:adjustRightInd w:val="0"/>
              <w:rPr>
                <w:rFonts w:ascii="楷体" w:eastAsia="楷体" w:hAnsi="楷体"/>
                <w:kern w:val="0"/>
                <w:sz w:val="24"/>
              </w:rPr>
            </w:pPr>
          </w:p>
        </w:tc>
      </w:tr>
      <w:tr w:rsidR="005A2087" w:rsidRPr="00396C73" w:rsidTr="003917B7">
        <w:trPr>
          <w:trHeight w:val="2056"/>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存</w:t>
            </w:r>
          </w:p>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在</w:t>
            </w:r>
          </w:p>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问</w:t>
            </w:r>
          </w:p>
          <w:p w:rsidR="005A2087" w:rsidRPr="009C6F85"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kern w:val="0"/>
                <w:sz w:val="28"/>
                <w:szCs w:val="28"/>
              </w:rPr>
            </w:pPr>
            <w:r w:rsidRPr="009C6F85">
              <w:rPr>
                <w:rFonts w:asciiTheme="minorEastAsia" w:eastAsiaTheme="minorEastAsia" w:hAnsiTheme="minorEastAsia" w:cs="Microsoft JhengHei" w:hint="eastAsia"/>
                <w:kern w:val="0"/>
                <w:sz w:val="28"/>
                <w:szCs w:val="28"/>
              </w:rPr>
              <w:t>题</w:t>
            </w:r>
          </w:p>
        </w:tc>
        <w:tc>
          <w:tcPr>
            <w:tcW w:w="8048"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3917B7" w:rsidRPr="003917B7" w:rsidRDefault="003917B7" w:rsidP="003917B7">
            <w:pPr>
              <w:spacing w:line="560" w:lineRule="exact"/>
              <w:rPr>
                <w:rFonts w:ascii="楷体" w:eastAsia="楷体" w:hAnsi="楷体"/>
                <w:kern w:val="0"/>
                <w:sz w:val="28"/>
                <w:szCs w:val="28"/>
              </w:rPr>
            </w:pPr>
            <w:r>
              <w:rPr>
                <w:rFonts w:ascii="楷体" w:eastAsia="楷体" w:hAnsi="楷体" w:hint="eastAsia"/>
                <w:kern w:val="0"/>
                <w:sz w:val="28"/>
                <w:szCs w:val="28"/>
              </w:rPr>
              <w:t>1.</w:t>
            </w:r>
            <w:r w:rsidRPr="003917B7">
              <w:rPr>
                <w:rFonts w:ascii="楷体" w:eastAsia="楷体" w:hAnsi="楷体" w:hint="eastAsia"/>
                <w:kern w:val="0"/>
                <w:sz w:val="28"/>
                <w:szCs w:val="28"/>
              </w:rPr>
              <w:t>未严格执行采购合同中延迟交付违约金的约定。</w:t>
            </w:r>
          </w:p>
          <w:p w:rsidR="003917B7" w:rsidRDefault="003917B7" w:rsidP="003917B7">
            <w:pPr>
              <w:spacing w:line="560" w:lineRule="exact"/>
              <w:rPr>
                <w:rFonts w:ascii="楷体" w:eastAsia="楷体" w:hAnsi="楷体"/>
                <w:kern w:val="0"/>
                <w:sz w:val="28"/>
                <w:szCs w:val="28"/>
              </w:rPr>
            </w:pPr>
            <w:r w:rsidRPr="003917B7">
              <w:rPr>
                <w:rFonts w:ascii="楷体" w:eastAsia="楷体" w:hAnsi="楷体"/>
                <w:kern w:val="0"/>
                <w:sz w:val="28"/>
                <w:szCs w:val="28"/>
              </w:rPr>
              <w:t>2.</w:t>
            </w:r>
            <w:r w:rsidRPr="003917B7">
              <w:rPr>
                <w:rFonts w:ascii="楷体" w:eastAsia="楷体" w:hAnsi="楷体" w:hint="eastAsia"/>
                <w:kern w:val="0"/>
                <w:sz w:val="28"/>
                <w:szCs w:val="28"/>
              </w:rPr>
              <w:t xml:space="preserve"> 涉及6辆公交车利用率未达要求</w:t>
            </w:r>
          </w:p>
          <w:p w:rsidR="003917B7" w:rsidRPr="003917B7" w:rsidRDefault="003917B7" w:rsidP="003917B7">
            <w:pPr>
              <w:spacing w:line="560" w:lineRule="exact"/>
              <w:rPr>
                <w:rFonts w:ascii="楷体" w:eastAsia="楷体" w:hAnsi="楷体"/>
                <w:kern w:val="0"/>
                <w:sz w:val="28"/>
                <w:szCs w:val="28"/>
              </w:rPr>
            </w:pPr>
            <w:r w:rsidRPr="003917B7">
              <w:rPr>
                <w:rFonts w:ascii="楷体" w:eastAsia="楷体" w:hAnsi="楷体"/>
                <w:kern w:val="0"/>
                <w:sz w:val="28"/>
                <w:szCs w:val="28"/>
              </w:rPr>
              <w:t>3.</w:t>
            </w:r>
            <w:r w:rsidRPr="003917B7">
              <w:rPr>
                <w:rFonts w:ascii="楷体" w:eastAsia="楷体" w:hAnsi="楷体" w:hint="eastAsia"/>
                <w:kern w:val="0"/>
                <w:sz w:val="28"/>
                <w:szCs w:val="28"/>
              </w:rPr>
              <w:t xml:space="preserve"> 公交车司机满意度低</w:t>
            </w:r>
          </w:p>
          <w:p w:rsidR="005A2087" w:rsidRPr="003917B7" w:rsidRDefault="005A2087" w:rsidP="007662B5">
            <w:pPr>
              <w:tabs>
                <w:tab w:val="left" w:pos="3969"/>
                <w:tab w:val="left" w:pos="4111"/>
              </w:tabs>
              <w:autoSpaceDE w:val="0"/>
              <w:autoSpaceDN w:val="0"/>
              <w:adjustRightInd w:val="0"/>
              <w:rPr>
                <w:rFonts w:ascii="楷体" w:eastAsia="楷体" w:hAnsi="楷体"/>
                <w:kern w:val="0"/>
                <w:sz w:val="28"/>
                <w:szCs w:val="28"/>
              </w:rPr>
            </w:pPr>
          </w:p>
        </w:tc>
      </w:tr>
      <w:tr w:rsidR="005A2087" w:rsidRPr="00396C73" w:rsidTr="003917B7">
        <w:trPr>
          <w:trHeight w:val="532"/>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整</w:t>
            </w:r>
          </w:p>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改</w:t>
            </w:r>
          </w:p>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建</w:t>
            </w:r>
          </w:p>
          <w:p w:rsidR="005A2087" w:rsidRPr="009C6F85"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kern w:val="0"/>
                <w:sz w:val="28"/>
                <w:szCs w:val="28"/>
              </w:rPr>
            </w:pPr>
            <w:r w:rsidRPr="009C6F85">
              <w:rPr>
                <w:rFonts w:asciiTheme="minorEastAsia" w:eastAsiaTheme="minorEastAsia" w:hAnsiTheme="minorEastAsia" w:cs="Microsoft JhengHei" w:hint="eastAsia"/>
                <w:kern w:val="0"/>
                <w:sz w:val="28"/>
                <w:szCs w:val="28"/>
              </w:rPr>
              <w:t>议</w:t>
            </w:r>
          </w:p>
        </w:tc>
        <w:tc>
          <w:tcPr>
            <w:tcW w:w="8048"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3917B7" w:rsidRPr="003917B7" w:rsidRDefault="003917B7" w:rsidP="003917B7">
            <w:pPr>
              <w:spacing w:line="560" w:lineRule="exact"/>
              <w:rPr>
                <w:rFonts w:ascii="楷体" w:eastAsia="楷体" w:hAnsi="楷体"/>
                <w:kern w:val="0"/>
                <w:sz w:val="28"/>
                <w:szCs w:val="28"/>
              </w:rPr>
            </w:pPr>
            <w:r w:rsidRPr="003917B7">
              <w:rPr>
                <w:rFonts w:ascii="楷体" w:eastAsia="楷体" w:hAnsi="楷体" w:hint="eastAsia"/>
                <w:kern w:val="0"/>
                <w:sz w:val="28"/>
                <w:szCs w:val="28"/>
              </w:rPr>
              <w:t>1、规范合同签订条款，严格履行合同义务。</w:t>
            </w:r>
          </w:p>
          <w:p w:rsidR="003917B7" w:rsidRPr="003917B7" w:rsidRDefault="003917B7" w:rsidP="003917B7">
            <w:pPr>
              <w:spacing w:line="560" w:lineRule="exact"/>
              <w:rPr>
                <w:rFonts w:ascii="楷体" w:eastAsia="楷体" w:hAnsi="楷体"/>
                <w:kern w:val="0"/>
                <w:sz w:val="28"/>
                <w:szCs w:val="28"/>
              </w:rPr>
            </w:pPr>
            <w:r w:rsidRPr="003917B7">
              <w:rPr>
                <w:rFonts w:ascii="楷体" w:eastAsia="楷体" w:hAnsi="楷体"/>
                <w:kern w:val="0"/>
                <w:sz w:val="28"/>
                <w:szCs w:val="28"/>
              </w:rPr>
              <w:t>2.</w:t>
            </w:r>
            <w:r w:rsidRPr="003917B7">
              <w:rPr>
                <w:rFonts w:ascii="楷体" w:eastAsia="楷体" w:hAnsi="楷体" w:hint="eastAsia"/>
                <w:kern w:val="0"/>
                <w:sz w:val="28"/>
                <w:szCs w:val="28"/>
              </w:rPr>
              <w:t xml:space="preserve"> 重视供应商质量评价</w:t>
            </w:r>
            <w:r w:rsidR="00C31507">
              <w:rPr>
                <w:rFonts w:ascii="楷体" w:eastAsia="楷体" w:hAnsi="楷体" w:hint="eastAsia"/>
                <w:kern w:val="0"/>
                <w:sz w:val="28"/>
                <w:szCs w:val="28"/>
              </w:rPr>
              <w:t>。</w:t>
            </w:r>
          </w:p>
          <w:p w:rsidR="003917B7" w:rsidRPr="003917B7" w:rsidRDefault="003917B7" w:rsidP="003917B7">
            <w:pPr>
              <w:spacing w:line="560" w:lineRule="exact"/>
              <w:rPr>
                <w:rFonts w:ascii="楷体" w:eastAsia="楷体" w:hAnsi="楷体"/>
                <w:kern w:val="0"/>
                <w:sz w:val="28"/>
                <w:szCs w:val="28"/>
              </w:rPr>
            </w:pPr>
            <w:r w:rsidRPr="003917B7">
              <w:rPr>
                <w:rFonts w:ascii="楷体" w:eastAsia="楷体" w:hAnsi="楷体"/>
                <w:kern w:val="0"/>
                <w:sz w:val="28"/>
                <w:szCs w:val="28"/>
              </w:rPr>
              <w:t>3.</w:t>
            </w:r>
            <w:r w:rsidRPr="003917B7">
              <w:rPr>
                <w:rFonts w:ascii="楷体" w:eastAsia="楷体" w:hAnsi="楷体" w:hint="eastAsia"/>
                <w:kern w:val="0"/>
                <w:sz w:val="28"/>
                <w:szCs w:val="28"/>
              </w:rPr>
              <w:t xml:space="preserve"> 认真听取基层群众的意见建议</w:t>
            </w:r>
            <w:r w:rsidR="00C31507">
              <w:rPr>
                <w:rFonts w:ascii="楷体" w:eastAsia="楷体" w:hAnsi="楷体" w:hint="eastAsia"/>
                <w:kern w:val="0"/>
                <w:sz w:val="28"/>
                <w:szCs w:val="28"/>
              </w:rPr>
              <w:t>。</w:t>
            </w:r>
          </w:p>
          <w:p w:rsidR="005A2087" w:rsidRPr="005A2087" w:rsidRDefault="005A2087" w:rsidP="007662B5">
            <w:pPr>
              <w:tabs>
                <w:tab w:val="left" w:pos="3969"/>
                <w:tab w:val="left" w:pos="4111"/>
              </w:tabs>
              <w:autoSpaceDE w:val="0"/>
              <w:autoSpaceDN w:val="0"/>
              <w:adjustRightInd w:val="0"/>
              <w:rPr>
                <w:rFonts w:ascii="楷体" w:eastAsia="楷体" w:hAnsi="楷体"/>
                <w:kern w:val="0"/>
                <w:sz w:val="24"/>
              </w:rPr>
            </w:pPr>
          </w:p>
        </w:tc>
      </w:tr>
      <w:tr w:rsidR="005A2087" w:rsidRPr="00396C73" w:rsidTr="001444D7">
        <w:trPr>
          <w:trHeight w:val="2018"/>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lastRenderedPageBreak/>
              <w:t>整</w:t>
            </w:r>
          </w:p>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改</w:t>
            </w:r>
          </w:p>
          <w:p w:rsidR="005A2087"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8"/>
                <w:szCs w:val="28"/>
              </w:rPr>
            </w:pPr>
            <w:r w:rsidRPr="009C6F85">
              <w:rPr>
                <w:rFonts w:asciiTheme="minorEastAsia" w:eastAsiaTheme="minorEastAsia" w:hAnsiTheme="minorEastAsia" w:cs="Microsoft JhengHei" w:hint="eastAsia"/>
                <w:kern w:val="0"/>
                <w:sz w:val="28"/>
                <w:szCs w:val="28"/>
              </w:rPr>
              <w:t>情</w:t>
            </w:r>
          </w:p>
          <w:p w:rsidR="005A2087" w:rsidRPr="009C6F85"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kern w:val="0"/>
                <w:sz w:val="28"/>
                <w:szCs w:val="28"/>
              </w:rPr>
            </w:pPr>
            <w:r w:rsidRPr="009C6F85">
              <w:rPr>
                <w:rFonts w:asciiTheme="minorEastAsia" w:eastAsiaTheme="minorEastAsia" w:hAnsiTheme="minorEastAsia" w:cs="Microsoft JhengHei" w:hint="eastAsia"/>
                <w:kern w:val="0"/>
                <w:sz w:val="28"/>
                <w:szCs w:val="28"/>
              </w:rPr>
              <w:t>况</w:t>
            </w:r>
          </w:p>
        </w:tc>
        <w:tc>
          <w:tcPr>
            <w:tcW w:w="8048"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421A2B" w:rsidRPr="00A306EF" w:rsidRDefault="00421A2B" w:rsidP="00421A2B">
            <w:pPr>
              <w:spacing w:line="560" w:lineRule="exact"/>
              <w:ind w:firstLineChars="200" w:firstLine="560"/>
              <w:rPr>
                <w:rFonts w:ascii="楷体" w:eastAsia="楷体" w:hAnsi="楷体"/>
                <w:kern w:val="0"/>
                <w:sz w:val="28"/>
                <w:szCs w:val="28"/>
              </w:rPr>
            </w:pPr>
            <w:r>
              <w:rPr>
                <w:rFonts w:ascii="楷体" w:eastAsia="楷体" w:hAnsi="楷体" w:hint="eastAsia"/>
                <w:kern w:val="0"/>
                <w:sz w:val="28"/>
                <w:szCs w:val="28"/>
              </w:rPr>
              <w:t>一、</w:t>
            </w:r>
            <w:r w:rsidRPr="00A306EF">
              <w:rPr>
                <w:rFonts w:ascii="楷体" w:eastAsia="楷体" w:hAnsi="楷体" w:hint="eastAsia"/>
                <w:kern w:val="0"/>
                <w:sz w:val="28"/>
                <w:szCs w:val="28"/>
              </w:rPr>
              <w:t>未严格执行采购合同中延迟交付违约金的约定</w:t>
            </w:r>
          </w:p>
          <w:p w:rsidR="00421A2B" w:rsidRPr="009A5934" w:rsidRDefault="00421A2B" w:rsidP="00421A2B">
            <w:pPr>
              <w:spacing w:line="560" w:lineRule="exact"/>
              <w:ind w:firstLineChars="200" w:firstLine="560"/>
              <w:rPr>
                <w:rFonts w:ascii="楷体" w:eastAsia="楷体" w:hAnsi="楷体"/>
                <w:kern w:val="0"/>
                <w:sz w:val="28"/>
                <w:szCs w:val="28"/>
              </w:rPr>
            </w:pPr>
            <w:r w:rsidRPr="009A5934">
              <w:rPr>
                <w:rFonts w:ascii="楷体" w:eastAsia="楷体" w:hAnsi="楷体" w:hint="eastAsia"/>
                <w:kern w:val="0"/>
                <w:sz w:val="28"/>
                <w:szCs w:val="28"/>
              </w:rPr>
              <w:t>上汽青岛清洁能源客车有限公司（以下简称“上汽公司”）为青岛西海岸新区招商引资项目。根据市、区政府与上汽集团签署的投资合作协议，选址骊山路169号新建客车整车生产基地。在区相关部门大力支持配合下，2017年10月份完成了该项目所有基建、设备安装、调试等软硬件建设，具备了生产条件，实现汽车生产资质及生产基地落户西海岸新区。上汽公司同步启动了向工信部提交生产资质准入审核的申请，于2017年12月份完成了工信部资质准入专家组现场审核，经部委领导会签审批，于2018年3月8日在道路机动车辆生产企业及产品（第305批）公告中正式发布。具备生产资质后，还需向工信部对所生产车辆的产品公告进行申报，以获得车辆产品合格证、3C证书的发放及车管部门的上牌资格。经工信部相关机构对申报材料的审查及车辆的检验，产品公告在2018年7月13日工信部（第309批）公告中发布。</w:t>
            </w:r>
          </w:p>
          <w:p w:rsidR="00421A2B" w:rsidRPr="009A5934" w:rsidRDefault="00421A2B" w:rsidP="00421A2B">
            <w:pPr>
              <w:spacing w:line="560" w:lineRule="exact"/>
              <w:ind w:firstLineChars="200" w:firstLine="560"/>
              <w:rPr>
                <w:rFonts w:ascii="楷体" w:eastAsia="楷体" w:hAnsi="楷体"/>
                <w:kern w:val="0"/>
                <w:sz w:val="28"/>
                <w:szCs w:val="28"/>
              </w:rPr>
            </w:pPr>
            <w:r w:rsidRPr="009A5934">
              <w:rPr>
                <w:rFonts w:ascii="楷体" w:eastAsia="楷体" w:hAnsi="楷体" w:hint="eastAsia"/>
                <w:kern w:val="0"/>
                <w:sz w:val="28"/>
                <w:szCs w:val="28"/>
              </w:rPr>
              <w:t>根据国家工信部“工产业（2010）第132号”商用车生产企业及产品准入管理规则，审核专家组除了严格按照准入文件要求逐项审查公司软硬件设施外，现场各工位还需至少排布20辆在生产车辆，以验证公司的生产能力。在此情况下，为支持上汽公司顺利通过资质准入审核，结合我区2017年度公交车采购项目的实施，区政府协调各部门做好客车采购工作，在同等质量、价格条件下，优先采购新区本土企业的首台套设备，因此将上汽公司资质准入审核所需20辆车纳入当年采购计划，并通过招投标形式完</w:t>
            </w:r>
            <w:r w:rsidRPr="009A5934">
              <w:rPr>
                <w:rFonts w:ascii="楷体" w:eastAsia="楷体" w:hAnsi="楷体" w:hint="eastAsia"/>
                <w:kern w:val="0"/>
                <w:sz w:val="28"/>
                <w:szCs w:val="28"/>
              </w:rPr>
              <w:lastRenderedPageBreak/>
              <w:t>成了采购合同的签订。</w:t>
            </w:r>
          </w:p>
          <w:p w:rsidR="00421A2B" w:rsidRPr="009A5934" w:rsidRDefault="00421A2B" w:rsidP="00421A2B">
            <w:pPr>
              <w:spacing w:line="560" w:lineRule="exact"/>
              <w:ind w:firstLineChars="200" w:firstLine="560"/>
              <w:rPr>
                <w:rFonts w:ascii="楷体" w:eastAsia="楷体" w:hAnsi="楷体"/>
                <w:kern w:val="0"/>
                <w:sz w:val="28"/>
                <w:szCs w:val="28"/>
              </w:rPr>
            </w:pPr>
            <w:r w:rsidRPr="009A5934">
              <w:rPr>
                <w:rFonts w:ascii="楷体" w:eastAsia="楷体" w:hAnsi="楷体" w:hint="eastAsia"/>
                <w:kern w:val="0"/>
                <w:sz w:val="28"/>
                <w:szCs w:val="28"/>
              </w:rPr>
              <w:t>综合上述原因，上汽公司因资质准入审核时间跨度较长，导致了未按合同约定时间交付现象，新采购的20辆车于2018年8月份交付温馨巴士，9月份完成上牌手续并投入运营。同时根据采购合同第6.2条约定“遇有不可抗力的一方，应在3日内将事件的情况以书面形式通知另一方，并在事件发生后10日内，向另一方提交合同不能履行或部分不能履行或需要延期履行理由的政府证明文件。”上汽公司因资质准入审核无法按合同约定时间交付车辆，将具体情况及时告知我单位，考虑项目为我区招商引资项目，收取违约金会对我区税源税收造成一定影响，因此对延期交付的违约金暂不收取。</w:t>
            </w:r>
          </w:p>
          <w:p w:rsidR="00421A2B" w:rsidRPr="009A5934" w:rsidRDefault="00421A2B" w:rsidP="00421A2B">
            <w:pPr>
              <w:spacing w:line="560" w:lineRule="exact"/>
              <w:ind w:firstLineChars="200" w:firstLine="560"/>
              <w:rPr>
                <w:rFonts w:ascii="楷体" w:eastAsia="楷体" w:hAnsi="楷体"/>
                <w:kern w:val="0"/>
                <w:sz w:val="28"/>
                <w:szCs w:val="28"/>
              </w:rPr>
            </w:pPr>
            <w:r w:rsidRPr="009A5934">
              <w:rPr>
                <w:rFonts w:ascii="楷体" w:eastAsia="楷体" w:hAnsi="楷体" w:hint="eastAsia"/>
                <w:kern w:val="0"/>
                <w:sz w:val="28"/>
                <w:szCs w:val="28"/>
              </w:rPr>
              <w:t>2018年9月，上汽青岛清洁能源客车有限公司20辆新能源公交车全部验收成功顺利交付使用。</w:t>
            </w:r>
          </w:p>
          <w:p w:rsidR="00421A2B" w:rsidRPr="009A5934" w:rsidRDefault="00421A2B" w:rsidP="00421A2B">
            <w:pPr>
              <w:spacing w:line="560" w:lineRule="exact"/>
              <w:ind w:firstLineChars="200" w:firstLine="560"/>
              <w:rPr>
                <w:rFonts w:ascii="楷体" w:eastAsia="楷体" w:hAnsi="楷体"/>
                <w:kern w:val="0"/>
                <w:sz w:val="28"/>
                <w:szCs w:val="28"/>
              </w:rPr>
            </w:pPr>
            <w:r>
              <w:rPr>
                <w:rFonts w:ascii="楷体" w:eastAsia="楷体" w:hAnsi="楷体" w:hint="eastAsia"/>
                <w:kern w:val="0"/>
                <w:sz w:val="28"/>
                <w:szCs w:val="28"/>
              </w:rPr>
              <w:t>二、</w:t>
            </w:r>
            <w:r w:rsidRPr="009A5934">
              <w:rPr>
                <w:rFonts w:ascii="楷体" w:eastAsia="楷体" w:hAnsi="楷体" w:hint="eastAsia"/>
                <w:kern w:val="0"/>
                <w:sz w:val="28"/>
                <w:szCs w:val="28"/>
              </w:rPr>
              <w:t>涉及6辆公交车利用率未达要求</w:t>
            </w:r>
          </w:p>
          <w:p w:rsidR="00421A2B" w:rsidRPr="009A5934" w:rsidRDefault="00421A2B" w:rsidP="00421A2B">
            <w:pPr>
              <w:spacing w:line="560" w:lineRule="exact"/>
              <w:ind w:firstLineChars="200" w:firstLine="560"/>
              <w:rPr>
                <w:rFonts w:ascii="楷体" w:eastAsia="楷体" w:hAnsi="楷体"/>
                <w:kern w:val="0"/>
                <w:sz w:val="28"/>
                <w:szCs w:val="28"/>
              </w:rPr>
            </w:pPr>
            <w:r w:rsidRPr="009A5934">
              <w:rPr>
                <w:rFonts w:ascii="楷体" w:eastAsia="楷体" w:hAnsi="楷体" w:hint="eastAsia"/>
                <w:kern w:val="0"/>
                <w:sz w:val="28"/>
                <w:szCs w:val="28"/>
              </w:rPr>
              <w:t>一方面，部分公交车故障或待配件造成在修时间过长，维修期间设备未能投入使用，导致运行里程减少；另一方面由于调度安排不合理，公交车利用率未达排班计划。</w:t>
            </w:r>
          </w:p>
          <w:p w:rsidR="00421A2B" w:rsidRPr="009A5934" w:rsidRDefault="00421A2B" w:rsidP="00421A2B">
            <w:pPr>
              <w:spacing w:line="560" w:lineRule="exact"/>
              <w:ind w:firstLineChars="200" w:firstLine="560"/>
              <w:rPr>
                <w:rFonts w:ascii="楷体" w:eastAsia="楷体" w:hAnsi="楷体"/>
                <w:kern w:val="0"/>
                <w:sz w:val="28"/>
                <w:szCs w:val="28"/>
              </w:rPr>
            </w:pPr>
            <w:r w:rsidRPr="009A5934">
              <w:rPr>
                <w:rFonts w:ascii="楷体" w:eastAsia="楷体" w:hAnsi="楷体" w:hint="eastAsia"/>
                <w:kern w:val="0"/>
                <w:sz w:val="28"/>
                <w:szCs w:val="28"/>
              </w:rPr>
              <w:t>我局已督促公交企业合理安排涉及的6辆公交车，充分利用有利的资源与优势，根据各线路运力、客流、科学编排运行班次，提高公交线网密度和正班准点率，最大限度缩短市民候车时间，合理调度统筹安排，运行中确保每条线路公交车辆的运行符合市民出行需求。</w:t>
            </w:r>
          </w:p>
          <w:p w:rsidR="00421A2B" w:rsidRPr="009A5934" w:rsidRDefault="00421A2B" w:rsidP="00421A2B">
            <w:pPr>
              <w:spacing w:line="560" w:lineRule="exact"/>
              <w:ind w:firstLineChars="200" w:firstLine="560"/>
              <w:rPr>
                <w:rFonts w:ascii="楷体" w:eastAsia="楷体" w:hAnsi="楷体"/>
                <w:kern w:val="0"/>
                <w:sz w:val="28"/>
                <w:szCs w:val="28"/>
              </w:rPr>
            </w:pPr>
            <w:r>
              <w:rPr>
                <w:rFonts w:ascii="楷体" w:eastAsia="楷体" w:hAnsi="楷体" w:hint="eastAsia"/>
                <w:kern w:val="0"/>
                <w:sz w:val="28"/>
                <w:szCs w:val="28"/>
              </w:rPr>
              <w:t>三、</w:t>
            </w:r>
            <w:r w:rsidRPr="009A5934">
              <w:rPr>
                <w:rFonts w:ascii="楷体" w:eastAsia="楷体" w:hAnsi="楷体" w:hint="eastAsia"/>
                <w:kern w:val="0"/>
                <w:sz w:val="28"/>
                <w:szCs w:val="28"/>
              </w:rPr>
              <w:t>公交车司机满意度低</w:t>
            </w:r>
          </w:p>
          <w:p w:rsidR="00421A2B" w:rsidRPr="009A5934" w:rsidRDefault="00421A2B" w:rsidP="00421A2B">
            <w:pPr>
              <w:spacing w:line="560" w:lineRule="exact"/>
              <w:ind w:firstLineChars="200" w:firstLine="560"/>
              <w:rPr>
                <w:rFonts w:ascii="楷体" w:eastAsia="楷体" w:hAnsi="楷体"/>
                <w:kern w:val="0"/>
                <w:sz w:val="28"/>
                <w:szCs w:val="28"/>
              </w:rPr>
            </w:pPr>
            <w:r w:rsidRPr="009A5934">
              <w:rPr>
                <w:rFonts w:ascii="楷体" w:eastAsia="楷体" w:hAnsi="楷体" w:hint="eastAsia"/>
                <w:kern w:val="0"/>
                <w:sz w:val="28"/>
                <w:szCs w:val="28"/>
              </w:rPr>
              <w:lastRenderedPageBreak/>
              <w:t>在调查司机对部分公交车的满意度时，司机对大部分车辆的满意度比较高，由于上汽是购置的第一批车辆，生产周期较长，质量把关不高，车辆制造生产工艺与国内品牌厂家生产工艺差距较大，对产品出现的问题处置能力不强，造成车辆故障排除周期较长。前段时间车辆出现较多小故障，造成公交司机对该批次车辆评价比较低，加上被调查的站点及线路是配备上汽车辆比较集中的区域，导致上汽车辆的满意度较低，从而使整体车辆的满意度降低。该批次车辆在经过运行一段时间的磨合调试后，有了大大改善，对出现的问题厂家售后及时跟进整改，整体车辆技术状态有了较大质量的提高，车辆现基本能保证正常营运的状态。另外，驾驶员将所驾车辆与2018年采购批次的车辆对比，无论是从新技术和配置上都有一定的差距。</w:t>
            </w:r>
          </w:p>
          <w:p w:rsidR="00A306EF" w:rsidRPr="00A306EF" w:rsidRDefault="00421A2B" w:rsidP="00421A2B">
            <w:pPr>
              <w:spacing w:line="560" w:lineRule="exact"/>
              <w:ind w:firstLineChars="200" w:firstLine="560"/>
              <w:rPr>
                <w:rFonts w:ascii="楷体" w:eastAsia="楷体" w:hAnsi="楷体"/>
                <w:kern w:val="0"/>
                <w:sz w:val="28"/>
                <w:szCs w:val="28"/>
              </w:rPr>
            </w:pPr>
            <w:r w:rsidRPr="009A5934">
              <w:rPr>
                <w:rFonts w:ascii="楷体" w:eastAsia="楷体" w:hAnsi="楷体" w:hint="eastAsia"/>
                <w:kern w:val="0"/>
                <w:sz w:val="28"/>
                <w:szCs w:val="28"/>
              </w:rPr>
              <w:t>通过此次对驾驶员满意度的调查，更加充分认识到公交驾驶员对车辆质量最有发言权，在今后公交车采购时，应充分听取公交驾驶员的意见，可分别就公交车舒适性、稳定系、动力设施、安全设施、售后设施、故障率等方面采纳驾驶员的建议，采购综合评价最优的车型。</w:t>
            </w:r>
          </w:p>
          <w:p w:rsidR="00C31507" w:rsidRDefault="00C31507" w:rsidP="00421A2B">
            <w:pPr>
              <w:spacing w:line="560" w:lineRule="exact"/>
              <w:rPr>
                <w:rFonts w:ascii="楷体" w:eastAsia="楷体" w:hAnsi="楷体" w:hint="eastAsia"/>
                <w:kern w:val="0"/>
                <w:sz w:val="28"/>
                <w:szCs w:val="28"/>
              </w:rPr>
            </w:pPr>
          </w:p>
          <w:p w:rsidR="00421A2B" w:rsidRPr="00A306EF" w:rsidRDefault="00421A2B" w:rsidP="00421A2B">
            <w:pPr>
              <w:spacing w:line="560" w:lineRule="exact"/>
              <w:rPr>
                <w:rFonts w:ascii="楷体" w:eastAsia="楷体" w:hAnsi="楷体"/>
                <w:kern w:val="0"/>
                <w:sz w:val="28"/>
                <w:szCs w:val="28"/>
              </w:rPr>
            </w:pPr>
          </w:p>
        </w:tc>
      </w:tr>
    </w:tbl>
    <w:p w:rsidR="003440C6" w:rsidRPr="005A2087" w:rsidRDefault="005A2087" w:rsidP="005A2087">
      <w:pPr>
        <w:rPr>
          <w:rFonts w:asciiTheme="minorEastAsia" w:eastAsiaTheme="minorEastAsia" w:hAnsiTheme="minorEastAsia"/>
          <w:spacing w:val="-4"/>
          <w:sz w:val="24"/>
        </w:rPr>
      </w:pPr>
      <w:r w:rsidRPr="005A2087">
        <w:rPr>
          <w:rFonts w:asciiTheme="minorEastAsia" w:eastAsiaTheme="minorEastAsia" w:hAnsiTheme="minorEastAsia" w:hint="eastAsia"/>
          <w:spacing w:val="-4"/>
          <w:sz w:val="24"/>
        </w:rPr>
        <w:lastRenderedPageBreak/>
        <w:t>注：本表可往下扩充</w:t>
      </w:r>
    </w:p>
    <w:sectPr w:rsidR="003440C6" w:rsidRPr="005A2087" w:rsidSect="00F06723">
      <w:footerReference w:type="even" r:id="rId7"/>
      <w:footerReference w:type="default" r:id="rId8"/>
      <w:pgSz w:w="11906" w:h="16838" w:code="9"/>
      <w:pgMar w:top="1871" w:right="1474" w:bottom="1871"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102" w:rsidRDefault="00543102">
      <w:r>
        <w:separator/>
      </w:r>
    </w:p>
  </w:endnote>
  <w:endnote w:type="continuationSeparator" w:id="1">
    <w:p w:rsidR="00543102" w:rsidRDefault="005431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0C6" w:rsidRPr="00CA14F6" w:rsidRDefault="003440C6" w:rsidP="0050475E">
    <w:pPr>
      <w:pStyle w:val="a3"/>
      <w:framePr w:wrap="around" w:vAnchor="text" w:hAnchor="margin" w:xAlign="outside" w:y="1"/>
      <w:ind w:leftChars="200" w:left="420"/>
      <w:rPr>
        <w:rStyle w:val="a4"/>
        <w:rFonts w:ascii="宋体"/>
        <w:sz w:val="28"/>
        <w:szCs w:val="28"/>
      </w:rPr>
    </w:pPr>
    <w:r>
      <w:rPr>
        <w:rStyle w:val="a4"/>
        <w:rFonts w:ascii="宋体" w:hAnsi="宋体"/>
        <w:sz w:val="28"/>
        <w:szCs w:val="28"/>
      </w:rPr>
      <w:t xml:space="preserve">— </w:t>
    </w:r>
    <w:r w:rsidR="006A5A10" w:rsidRPr="00CA14F6">
      <w:rPr>
        <w:rStyle w:val="a4"/>
        <w:rFonts w:ascii="宋体" w:hAnsi="宋体"/>
        <w:sz w:val="28"/>
        <w:szCs w:val="28"/>
      </w:rPr>
      <w:fldChar w:fldCharType="begin"/>
    </w:r>
    <w:r w:rsidRPr="00CA14F6">
      <w:rPr>
        <w:rStyle w:val="a4"/>
        <w:rFonts w:ascii="宋体" w:hAnsi="宋体"/>
        <w:sz w:val="28"/>
        <w:szCs w:val="28"/>
      </w:rPr>
      <w:instrText xml:space="preserve">PAGE  </w:instrText>
    </w:r>
    <w:r w:rsidR="006A5A10" w:rsidRPr="00CA14F6">
      <w:rPr>
        <w:rStyle w:val="a4"/>
        <w:rFonts w:ascii="宋体" w:hAnsi="宋体"/>
        <w:sz w:val="28"/>
        <w:szCs w:val="28"/>
      </w:rPr>
      <w:fldChar w:fldCharType="separate"/>
    </w:r>
    <w:r w:rsidR="00421A2B">
      <w:rPr>
        <w:rStyle w:val="a4"/>
        <w:rFonts w:ascii="宋体" w:hAnsi="宋体"/>
        <w:noProof/>
        <w:sz w:val="28"/>
        <w:szCs w:val="28"/>
      </w:rPr>
      <w:t>2</w:t>
    </w:r>
    <w:r w:rsidR="006A5A10" w:rsidRPr="00CA14F6">
      <w:rPr>
        <w:rStyle w:val="a4"/>
        <w:rFonts w:ascii="宋体" w:hAnsi="宋体"/>
        <w:sz w:val="28"/>
        <w:szCs w:val="28"/>
      </w:rPr>
      <w:fldChar w:fldCharType="end"/>
    </w:r>
    <w:r>
      <w:rPr>
        <w:rStyle w:val="a4"/>
        <w:rFonts w:ascii="宋体" w:hAnsi="宋体"/>
        <w:sz w:val="28"/>
        <w:szCs w:val="28"/>
      </w:rPr>
      <w:t xml:space="preserve"> —</w:t>
    </w:r>
  </w:p>
  <w:p w:rsidR="003440C6" w:rsidRDefault="003440C6" w:rsidP="00F0672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0C6" w:rsidRPr="00F06723" w:rsidRDefault="003440C6" w:rsidP="0050475E">
    <w:pPr>
      <w:pStyle w:val="a3"/>
      <w:framePr w:wrap="around" w:vAnchor="text" w:hAnchor="margin" w:xAlign="outside" w:y="1"/>
      <w:ind w:rightChars="200" w:right="420"/>
      <w:rPr>
        <w:rStyle w:val="a4"/>
        <w:rFonts w:ascii="宋体"/>
        <w:sz w:val="28"/>
        <w:szCs w:val="28"/>
      </w:rPr>
    </w:pPr>
    <w:r>
      <w:rPr>
        <w:rStyle w:val="a4"/>
        <w:rFonts w:ascii="宋体" w:hAnsi="宋体"/>
        <w:sz w:val="28"/>
        <w:szCs w:val="28"/>
      </w:rPr>
      <w:t xml:space="preserve">— </w:t>
    </w:r>
    <w:r w:rsidR="006A5A10" w:rsidRPr="00F06723">
      <w:rPr>
        <w:rStyle w:val="a4"/>
        <w:rFonts w:ascii="宋体" w:hAnsi="宋体"/>
        <w:sz w:val="28"/>
        <w:szCs w:val="28"/>
      </w:rPr>
      <w:fldChar w:fldCharType="begin"/>
    </w:r>
    <w:r w:rsidRPr="00F06723">
      <w:rPr>
        <w:rStyle w:val="a4"/>
        <w:rFonts w:ascii="宋体" w:hAnsi="宋体"/>
        <w:sz w:val="28"/>
        <w:szCs w:val="28"/>
      </w:rPr>
      <w:instrText xml:space="preserve">PAGE  </w:instrText>
    </w:r>
    <w:r w:rsidR="006A5A10" w:rsidRPr="00F06723">
      <w:rPr>
        <w:rStyle w:val="a4"/>
        <w:rFonts w:ascii="宋体" w:hAnsi="宋体"/>
        <w:sz w:val="28"/>
        <w:szCs w:val="28"/>
      </w:rPr>
      <w:fldChar w:fldCharType="separate"/>
    </w:r>
    <w:r w:rsidR="00421A2B">
      <w:rPr>
        <w:rStyle w:val="a4"/>
        <w:rFonts w:ascii="宋体" w:hAnsi="宋体"/>
        <w:noProof/>
        <w:sz w:val="28"/>
        <w:szCs w:val="28"/>
      </w:rPr>
      <w:t>1</w:t>
    </w:r>
    <w:r w:rsidR="006A5A10" w:rsidRPr="00F06723">
      <w:rPr>
        <w:rStyle w:val="a4"/>
        <w:rFonts w:ascii="宋体" w:hAnsi="宋体"/>
        <w:sz w:val="28"/>
        <w:szCs w:val="28"/>
      </w:rPr>
      <w:fldChar w:fldCharType="end"/>
    </w:r>
    <w:r>
      <w:rPr>
        <w:rStyle w:val="a4"/>
        <w:rFonts w:ascii="宋体" w:hAnsi="宋体"/>
        <w:sz w:val="28"/>
        <w:szCs w:val="28"/>
      </w:rPr>
      <w:t xml:space="preserve"> —</w:t>
    </w:r>
  </w:p>
  <w:p w:rsidR="003440C6" w:rsidRDefault="003440C6" w:rsidP="00F0672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102" w:rsidRDefault="00543102">
      <w:r>
        <w:separator/>
      </w:r>
    </w:p>
  </w:footnote>
  <w:footnote w:type="continuationSeparator" w:id="1">
    <w:p w:rsidR="00543102" w:rsidRDefault="005431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05A5"/>
    <w:multiLevelType w:val="hybridMultilevel"/>
    <w:tmpl w:val="B27E2938"/>
    <w:lvl w:ilvl="0" w:tplc="B298E3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D276BB"/>
    <w:multiLevelType w:val="hybridMultilevel"/>
    <w:tmpl w:val="CEAE8E70"/>
    <w:lvl w:ilvl="0" w:tplc="2EA0FA9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086F52"/>
    <w:multiLevelType w:val="hybridMultilevel"/>
    <w:tmpl w:val="5B8EBBE0"/>
    <w:lvl w:ilvl="0" w:tplc="A5CAA42A">
      <w:start w:val="1"/>
      <w:numFmt w:val="japaneseCounting"/>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nsid w:val="661B73EF"/>
    <w:multiLevelType w:val="hybridMultilevel"/>
    <w:tmpl w:val="6B96B71A"/>
    <w:lvl w:ilvl="0" w:tplc="C3542A76">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D34"/>
    <w:rsid w:val="000563E8"/>
    <w:rsid w:val="000829E4"/>
    <w:rsid w:val="00097C06"/>
    <w:rsid w:val="00140AA5"/>
    <w:rsid w:val="001444D7"/>
    <w:rsid w:val="00147C75"/>
    <w:rsid w:val="00151220"/>
    <w:rsid w:val="001A762E"/>
    <w:rsid w:val="001B2D0A"/>
    <w:rsid w:val="001F0C8D"/>
    <w:rsid w:val="00225C0F"/>
    <w:rsid w:val="002C7C05"/>
    <w:rsid w:val="003440C6"/>
    <w:rsid w:val="003535FE"/>
    <w:rsid w:val="00380978"/>
    <w:rsid w:val="003917B7"/>
    <w:rsid w:val="00396C73"/>
    <w:rsid w:val="003B760B"/>
    <w:rsid w:val="003C42B0"/>
    <w:rsid w:val="00421A2B"/>
    <w:rsid w:val="004414CF"/>
    <w:rsid w:val="004740BA"/>
    <w:rsid w:val="0050475E"/>
    <w:rsid w:val="00504EDF"/>
    <w:rsid w:val="00543102"/>
    <w:rsid w:val="00561E7C"/>
    <w:rsid w:val="005873E5"/>
    <w:rsid w:val="005A2087"/>
    <w:rsid w:val="005C117B"/>
    <w:rsid w:val="005C22CC"/>
    <w:rsid w:val="005E2DD5"/>
    <w:rsid w:val="005E431A"/>
    <w:rsid w:val="00605232"/>
    <w:rsid w:val="00624B5E"/>
    <w:rsid w:val="00664ECA"/>
    <w:rsid w:val="006A5A10"/>
    <w:rsid w:val="006E5BA0"/>
    <w:rsid w:val="007102CE"/>
    <w:rsid w:val="007662B5"/>
    <w:rsid w:val="007971DF"/>
    <w:rsid w:val="007A118B"/>
    <w:rsid w:val="007D7C03"/>
    <w:rsid w:val="008326DB"/>
    <w:rsid w:val="00833A0E"/>
    <w:rsid w:val="00872F8E"/>
    <w:rsid w:val="00880A88"/>
    <w:rsid w:val="008A0AC0"/>
    <w:rsid w:val="008A5D34"/>
    <w:rsid w:val="008E265C"/>
    <w:rsid w:val="00921E18"/>
    <w:rsid w:val="00961371"/>
    <w:rsid w:val="00980C01"/>
    <w:rsid w:val="009B3257"/>
    <w:rsid w:val="009C6F85"/>
    <w:rsid w:val="009E4990"/>
    <w:rsid w:val="009F62BD"/>
    <w:rsid w:val="00A060A8"/>
    <w:rsid w:val="00A07C6D"/>
    <w:rsid w:val="00A306EF"/>
    <w:rsid w:val="00AB1073"/>
    <w:rsid w:val="00AD35D0"/>
    <w:rsid w:val="00AF17D8"/>
    <w:rsid w:val="00B257CA"/>
    <w:rsid w:val="00C31507"/>
    <w:rsid w:val="00CA14F6"/>
    <w:rsid w:val="00CC003A"/>
    <w:rsid w:val="00CE4473"/>
    <w:rsid w:val="00D52658"/>
    <w:rsid w:val="00D661A2"/>
    <w:rsid w:val="00D71BAE"/>
    <w:rsid w:val="00D843CB"/>
    <w:rsid w:val="00D96EB3"/>
    <w:rsid w:val="00DC79BB"/>
    <w:rsid w:val="00EA6BA8"/>
    <w:rsid w:val="00F06723"/>
    <w:rsid w:val="00F541C6"/>
    <w:rsid w:val="00F71AAA"/>
    <w:rsid w:val="00F84A33"/>
    <w:rsid w:val="00F96B1C"/>
    <w:rsid w:val="00F96C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99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06723"/>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B069A"/>
    <w:rPr>
      <w:sz w:val="18"/>
      <w:szCs w:val="18"/>
    </w:rPr>
  </w:style>
  <w:style w:type="character" w:styleId="a4">
    <w:name w:val="page number"/>
    <w:basedOn w:val="a0"/>
    <w:uiPriority w:val="99"/>
    <w:rsid w:val="00F06723"/>
    <w:rPr>
      <w:rFonts w:cs="Times New Roman"/>
    </w:rPr>
  </w:style>
  <w:style w:type="paragraph" w:styleId="a5">
    <w:name w:val="header"/>
    <w:basedOn w:val="a"/>
    <w:link w:val="Char0"/>
    <w:uiPriority w:val="99"/>
    <w:rsid w:val="00F067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B069A"/>
    <w:rPr>
      <w:sz w:val="18"/>
      <w:szCs w:val="18"/>
    </w:rPr>
  </w:style>
  <w:style w:type="paragraph" w:styleId="a6">
    <w:name w:val="List Paragraph"/>
    <w:basedOn w:val="a"/>
    <w:uiPriority w:val="34"/>
    <w:qFormat/>
    <w:rsid w:val="003917B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4</Pages>
  <Words>312</Words>
  <Characters>1780</Characters>
  <Application>Microsoft Office Word</Application>
  <DocSecurity>0</DocSecurity>
  <Lines>14</Lines>
  <Paragraphs>4</Paragraphs>
  <ScaleCrop>false</ScaleCrop>
  <Company>Microsoft</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czuser</dc:creator>
  <cp:lastModifiedBy>admin</cp:lastModifiedBy>
  <cp:revision>14</cp:revision>
  <cp:lastPrinted>2019-10-12T01:48:00Z</cp:lastPrinted>
  <dcterms:created xsi:type="dcterms:W3CDTF">2019-09-18T06:33:00Z</dcterms:created>
  <dcterms:modified xsi:type="dcterms:W3CDTF">2019-10-21T06:31:00Z</dcterms:modified>
</cp:coreProperties>
</file>