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EC4" w:rsidRDefault="00F50EC4" w:rsidP="00F50EC4">
      <w:pPr>
        <w:spacing w:line="500" w:lineRule="exact"/>
        <w:ind w:firstLineChars="213" w:firstLine="937"/>
        <w:jc w:val="center"/>
        <w:rPr>
          <w:rFonts w:ascii="黑体" w:eastAsia="黑体" w:hAnsi="黑体" w:cs="仿宋_GB2312"/>
          <w:sz w:val="44"/>
          <w:szCs w:val="44"/>
        </w:rPr>
      </w:pPr>
      <w:r w:rsidRPr="00F50EC4">
        <w:rPr>
          <w:rFonts w:ascii="黑体" w:eastAsia="黑体" w:hAnsi="黑体" w:cs="仿宋_GB2312" w:hint="eastAsia"/>
          <w:sz w:val="44"/>
          <w:szCs w:val="44"/>
        </w:rPr>
        <w:t>青岛市生态环境局西海岸新区分局</w:t>
      </w:r>
    </w:p>
    <w:p w:rsidR="00F50EC4" w:rsidRPr="00F50EC4" w:rsidRDefault="00F50EC4" w:rsidP="00F50EC4">
      <w:pPr>
        <w:spacing w:line="500" w:lineRule="exact"/>
        <w:ind w:firstLineChars="213" w:firstLine="937"/>
        <w:jc w:val="center"/>
        <w:rPr>
          <w:rFonts w:ascii="黑体" w:eastAsia="黑体" w:hAnsi="黑体" w:cs="仿宋_GB2312"/>
          <w:sz w:val="44"/>
          <w:szCs w:val="44"/>
        </w:rPr>
      </w:pPr>
      <w:r w:rsidRPr="00F50EC4">
        <w:rPr>
          <w:rFonts w:ascii="黑体" w:eastAsia="黑体" w:hAnsi="黑体" w:cs="仿宋_GB2312" w:hint="eastAsia"/>
          <w:sz w:val="44"/>
          <w:szCs w:val="44"/>
        </w:rPr>
        <w:t>财务管理制度</w:t>
      </w:r>
    </w:p>
    <w:p w:rsidR="00F50EC4" w:rsidRDefault="00F50EC4" w:rsidP="00F50EC4">
      <w:pPr>
        <w:spacing w:line="500" w:lineRule="exact"/>
        <w:ind w:firstLineChars="213" w:firstLine="639"/>
        <w:rPr>
          <w:rFonts w:ascii="仿宋_GB2312" w:eastAsia="仿宋_GB2312" w:hAnsi="仿宋_GB2312" w:cs="仿宋_GB2312"/>
          <w:sz w:val="30"/>
          <w:szCs w:val="30"/>
        </w:rPr>
      </w:pPr>
    </w:p>
    <w:p w:rsidR="00916F76" w:rsidRDefault="00916F76" w:rsidP="00916F76">
      <w:pPr>
        <w:spacing w:line="560" w:lineRule="exact"/>
        <w:rPr>
          <w:rFonts w:eastAsia="仿宋_GB2312"/>
        </w:rPr>
      </w:pPr>
    </w:p>
    <w:p w:rsidR="00916F76" w:rsidRDefault="00916F76" w:rsidP="00916F76">
      <w:pPr>
        <w:spacing w:line="560" w:lineRule="exact"/>
        <w:jc w:val="center"/>
        <w:outlineLvl w:val="0"/>
        <w:rPr>
          <w:rFonts w:eastAsia="黑体"/>
        </w:rPr>
      </w:pPr>
      <w:bookmarkStart w:id="0" w:name="_Toc14626"/>
      <w:bookmarkStart w:id="1" w:name="_Toc15415"/>
      <w:r>
        <w:rPr>
          <w:rFonts w:eastAsia="黑体" w:hAnsi="宋体" w:cs="黑体" w:hint="eastAsia"/>
          <w:sz w:val="32"/>
          <w:szCs w:val="22"/>
        </w:rPr>
        <w:t>第一章</w:t>
      </w:r>
      <w:r>
        <w:rPr>
          <w:rFonts w:eastAsia="黑体" w:hAnsi="宋体" w:cs="黑体" w:hint="eastAsia"/>
          <w:sz w:val="32"/>
          <w:szCs w:val="22"/>
        </w:rPr>
        <w:t xml:space="preserve"> </w:t>
      </w:r>
      <w:r>
        <w:rPr>
          <w:rFonts w:eastAsia="黑体" w:hAnsi="宋体" w:cs="黑体" w:hint="eastAsia"/>
          <w:sz w:val="32"/>
          <w:szCs w:val="22"/>
        </w:rPr>
        <w:t>总则</w:t>
      </w:r>
      <w:bookmarkEnd w:id="0"/>
      <w:bookmarkEnd w:id="1"/>
    </w:p>
    <w:p w:rsidR="00916F76" w:rsidRDefault="00916F76" w:rsidP="00916F76">
      <w:pPr>
        <w:spacing w:line="560" w:lineRule="exact"/>
        <w:ind w:firstLineChars="200" w:firstLine="640"/>
        <w:rPr>
          <w:rFonts w:eastAsia="仿宋_GB2312"/>
        </w:rPr>
      </w:pPr>
      <w:r>
        <w:rPr>
          <w:rFonts w:eastAsia="黑体" w:hAnsi="宋体" w:cs="黑体" w:hint="eastAsia"/>
          <w:sz w:val="32"/>
          <w:szCs w:val="22"/>
        </w:rPr>
        <w:t>第一条</w:t>
      </w:r>
      <w:r>
        <w:rPr>
          <w:rFonts w:eastAsia="黑体" w:hAnsi="宋体" w:cs="黑体" w:hint="eastAsia"/>
          <w:sz w:val="32"/>
          <w:szCs w:val="22"/>
        </w:rPr>
        <w:t xml:space="preserve">  </w:t>
      </w:r>
      <w:r>
        <w:rPr>
          <w:rFonts w:eastAsia="仿宋_GB2312" w:hAnsi="Calibri" w:cs="仿宋_GB2312" w:hint="eastAsia"/>
          <w:sz w:val="32"/>
          <w:szCs w:val="22"/>
        </w:rPr>
        <w:t>为加强财务管理，规范财务收支行为，提高资金使用效益，保障分局各项工作正常开展，促进生态环境保护事业健康发展，根据《中华人民共和国会计法》《中华人民共和国预算法》等法律法规，制定本办法。</w:t>
      </w:r>
    </w:p>
    <w:p w:rsidR="00916F76" w:rsidRDefault="00916F76" w:rsidP="00916F76">
      <w:pPr>
        <w:spacing w:line="560" w:lineRule="exact"/>
        <w:ind w:firstLineChars="200" w:firstLine="640"/>
        <w:rPr>
          <w:rFonts w:eastAsia="仿宋_GB2312"/>
        </w:rPr>
      </w:pPr>
      <w:r>
        <w:rPr>
          <w:rFonts w:eastAsia="黑体" w:hAnsi="宋体" w:cs="黑体" w:hint="eastAsia"/>
          <w:sz w:val="32"/>
          <w:szCs w:val="22"/>
        </w:rPr>
        <w:t>第二条</w:t>
      </w:r>
      <w:r>
        <w:rPr>
          <w:rFonts w:eastAsia="黑体" w:hAnsi="宋体" w:cs="黑体" w:hint="eastAsia"/>
          <w:sz w:val="32"/>
          <w:szCs w:val="22"/>
        </w:rPr>
        <w:t xml:space="preserve">  </w:t>
      </w:r>
      <w:r>
        <w:rPr>
          <w:rFonts w:eastAsia="仿宋_GB2312" w:hAnsi="Calibri" w:cs="仿宋_GB2312" w:hint="eastAsia"/>
          <w:sz w:val="32"/>
          <w:szCs w:val="22"/>
        </w:rPr>
        <w:t>本办法适用于分局各科室、中队。</w:t>
      </w:r>
    </w:p>
    <w:p w:rsidR="00916F76" w:rsidRDefault="00916F76" w:rsidP="00916F76">
      <w:pPr>
        <w:spacing w:line="560" w:lineRule="exact"/>
        <w:ind w:firstLineChars="200" w:firstLine="640"/>
        <w:rPr>
          <w:rFonts w:eastAsia="仿宋_GB2312"/>
        </w:rPr>
      </w:pPr>
      <w:r>
        <w:rPr>
          <w:rFonts w:eastAsia="黑体" w:hAnsi="宋体" w:cs="黑体" w:hint="eastAsia"/>
          <w:sz w:val="32"/>
          <w:szCs w:val="22"/>
        </w:rPr>
        <w:t>第三条</w:t>
      </w:r>
      <w:r>
        <w:rPr>
          <w:rFonts w:eastAsia="黑体" w:hAnsi="宋体" w:cs="黑体" w:hint="eastAsia"/>
          <w:sz w:val="32"/>
          <w:szCs w:val="22"/>
        </w:rPr>
        <w:t xml:space="preserve">  </w:t>
      </w:r>
      <w:r>
        <w:rPr>
          <w:rFonts w:eastAsia="仿宋_GB2312" w:hAnsi="Calibri" w:cs="仿宋_GB2312" w:hint="eastAsia"/>
          <w:sz w:val="32"/>
          <w:szCs w:val="22"/>
        </w:rPr>
        <w:t>财务管理的基本原则：严格执行国家、省、市有关财政法规、财经纪律、制度办法及程序规定，量入为出、以收定支，统筹兼顾、保障重点，运行有序、责任清晰，规范管理、加强监督，厉行节俭、杜绝浪费的原则。</w:t>
      </w:r>
    </w:p>
    <w:p w:rsidR="00916F76" w:rsidRDefault="00916F76" w:rsidP="00916F76">
      <w:pPr>
        <w:spacing w:line="560" w:lineRule="exact"/>
        <w:ind w:firstLineChars="200" w:firstLine="640"/>
        <w:rPr>
          <w:rFonts w:eastAsia="仿宋_GB2312"/>
        </w:rPr>
      </w:pPr>
      <w:r>
        <w:rPr>
          <w:rFonts w:eastAsia="黑体" w:hAnsi="宋体" w:cs="黑体" w:hint="eastAsia"/>
          <w:sz w:val="32"/>
          <w:szCs w:val="22"/>
        </w:rPr>
        <w:t>第四条</w:t>
      </w:r>
      <w:r>
        <w:rPr>
          <w:rFonts w:eastAsia="黑体" w:hAnsi="宋体" w:cs="黑体" w:hint="eastAsia"/>
          <w:sz w:val="32"/>
          <w:szCs w:val="22"/>
        </w:rPr>
        <w:t xml:space="preserve">  </w:t>
      </w:r>
      <w:r>
        <w:rPr>
          <w:rFonts w:eastAsia="仿宋_GB2312" w:hAnsi="Calibri" w:cs="仿宋_GB2312" w:hint="eastAsia"/>
          <w:sz w:val="32"/>
          <w:szCs w:val="22"/>
        </w:rPr>
        <w:t>财务管理的主要任务是：加强预算管理，做好前期论证评审，科学编制部门预算；加强内控管理，健全完善财务管理和内部控制制度体系，有效监督各项经济业务活动；加强对下转移支付资金项目监督管理，健全完善专项资金项目管理制度，规范专项资金分配和绩效评价；加强国有资产管理，合理配置处置资产，防止国有资产流失。</w:t>
      </w:r>
    </w:p>
    <w:p w:rsidR="00916F76" w:rsidRDefault="00916F76" w:rsidP="00916F76">
      <w:pPr>
        <w:spacing w:line="560" w:lineRule="exact"/>
        <w:ind w:firstLineChars="200" w:firstLine="640"/>
        <w:rPr>
          <w:rFonts w:eastAsia="仿宋_GB2312" w:hAnsi="Calibri"/>
        </w:rPr>
      </w:pPr>
      <w:r>
        <w:rPr>
          <w:rFonts w:eastAsia="黑体" w:hAnsi="宋体" w:cs="黑体" w:hint="eastAsia"/>
          <w:sz w:val="32"/>
          <w:szCs w:val="22"/>
        </w:rPr>
        <w:t>第五条</w:t>
      </w:r>
      <w:r>
        <w:rPr>
          <w:rFonts w:eastAsia="黑体" w:hAnsi="宋体" w:cs="黑体" w:hint="eastAsia"/>
          <w:sz w:val="32"/>
          <w:szCs w:val="22"/>
        </w:rPr>
        <w:t xml:space="preserve">  </w:t>
      </w:r>
      <w:r>
        <w:rPr>
          <w:rFonts w:eastAsia="仿宋_GB2312" w:hAnsi="Calibri" w:cs="仿宋_GB2312" w:hint="eastAsia"/>
          <w:sz w:val="32"/>
          <w:szCs w:val="22"/>
        </w:rPr>
        <w:t>各科室、中队应按照</w:t>
      </w:r>
      <w:r>
        <w:rPr>
          <w:rFonts w:eastAsia="仿宋_GB2312"/>
          <w:sz w:val="32"/>
          <w:szCs w:val="22"/>
        </w:rPr>
        <w:t>“</w:t>
      </w:r>
      <w:r>
        <w:rPr>
          <w:rFonts w:eastAsia="仿宋_GB2312" w:hAnsi="Calibri" w:cs="仿宋_GB2312" w:hint="eastAsia"/>
          <w:sz w:val="32"/>
          <w:szCs w:val="22"/>
        </w:rPr>
        <w:t>三重一大</w:t>
      </w:r>
      <w:r>
        <w:rPr>
          <w:rFonts w:eastAsia="仿宋_GB2312"/>
          <w:sz w:val="32"/>
          <w:szCs w:val="22"/>
        </w:rPr>
        <w:t>”</w:t>
      </w:r>
      <w:r>
        <w:rPr>
          <w:rFonts w:eastAsia="仿宋_GB2312" w:hAnsi="Calibri" w:cs="仿宋_GB2312" w:hint="eastAsia"/>
          <w:sz w:val="32"/>
          <w:szCs w:val="22"/>
        </w:rPr>
        <w:t>制度要求，及时提报年度预算，编制专项资金分配方案，大额资金支出报分局党组会研究审议。</w:t>
      </w:r>
    </w:p>
    <w:p w:rsidR="00916F76" w:rsidRDefault="00916F76" w:rsidP="00916F76">
      <w:pPr>
        <w:spacing w:line="560" w:lineRule="exact"/>
        <w:ind w:firstLineChars="200" w:firstLine="640"/>
        <w:rPr>
          <w:rFonts w:eastAsia="仿宋_GB2312"/>
        </w:rPr>
      </w:pPr>
      <w:r>
        <w:rPr>
          <w:rFonts w:eastAsia="黑体" w:hAnsi="宋体" w:cs="黑体" w:hint="eastAsia"/>
          <w:sz w:val="32"/>
          <w:szCs w:val="22"/>
        </w:rPr>
        <w:t>第六条</w:t>
      </w:r>
      <w:r>
        <w:rPr>
          <w:rFonts w:eastAsia="黑体" w:hAnsi="宋体" w:cs="黑体" w:hint="eastAsia"/>
          <w:sz w:val="32"/>
          <w:szCs w:val="22"/>
        </w:rPr>
        <w:t xml:space="preserve">  </w:t>
      </w:r>
      <w:r>
        <w:rPr>
          <w:rFonts w:eastAsia="仿宋_GB2312" w:hAnsi="Calibri" w:cs="仿宋_GB2312" w:hint="eastAsia"/>
          <w:sz w:val="32"/>
          <w:szCs w:val="22"/>
        </w:rPr>
        <w:t>规划统计科是分局资金财务主管科室，负责组织编报分局部门预算，按预算批复安排资金；指导和监督各</w:t>
      </w:r>
      <w:r>
        <w:rPr>
          <w:rFonts w:eastAsia="仿宋_GB2312" w:hAnsi="Calibri" w:cs="仿宋_GB2312" w:hint="eastAsia"/>
          <w:sz w:val="32"/>
          <w:szCs w:val="22"/>
        </w:rPr>
        <w:lastRenderedPageBreak/>
        <w:t>科室、中队国有资产管理；管理分局财务和国有资产，各科室、中队要配合做好专项资金分配和部门预算编制、执行工作。</w:t>
      </w:r>
    </w:p>
    <w:p w:rsidR="00916F76" w:rsidRDefault="00916F76" w:rsidP="00916F76">
      <w:pPr>
        <w:spacing w:line="560" w:lineRule="exact"/>
        <w:ind w:firstLineChars="200" w:firstLine="640"/>
        <w:rPr>
          <w:rFonts w:eastAsia="仿宋_GB2312"/>
        </w:rPr>
      </w:pPr>
      <w:r>
        <w:rPr>
          <w:rFonts w:eastAsia="黑体" w:hAnsi="宋体" w:cs="黑体" w:hint="eastAsia"/>
          <w:sz w:val="32"/>
          <w:szCs w:val="22"/>
        </w:rPr>
        <w:t>第七条</w:t>
      </w:r>
      <w:r>
        <w:rPr>
          <w:rFonts w:eastAsia="黑体" w:hAnsi="宋体" w:cs="黑体" w:hint="eastAsia"/>
          <w:sz w:val="32"/>
          <w:szCs w:val="22"/>
        </w:rPr>
        <w:t xml:space="preserve">  </w:t>
      </w:r>
      <w:r>
        <w:rPr>
          <w:rFonts w:eastAsia="仿宋_GB2312" w:hAnsi="Calibri" w:cs="仿宋_GB2312" w:hint="eastAsia"/>
          <w:sz w:val="32"/>
          <w:szCs w:val="22"/>
        </w:rPr>
        <w:t>各科室、中队要配备专职人员，依法统一管理本单位的国有资产。</w:t>
      </w:r>
    </w:p>
    <w:p w:rsidR="00916F76" w:rsidRDefault="00916F76" w:rsidP="00916F76">
      <w:pPr>
        <w:spacing w:line="560" w:lineRule="exact"/>
        <w:ind w:firstLineChars="200" w:firstLine="640"/>
        <w:rPr>
          <w:rFonts w:eastAsia="仿宋_GB2312" w:hAnsi="Calibri" w:cs="仿宋_GB2312"/>
          <w:sz w:val="32"/>
          <w:szCs w:val="22"/>
        </w:rPr>
      </w:pPr>
      <w:r>
        <w:rPr>
          <w:rFonts w:eastAsia="黑体" w:hAnsi="宋体" w:cs="黑体" w:hint="eastAsia"/>
          <w:sz w:val="32"/>
          <w:szCs w:val="22"/>
        </w:rPr>
        <w:t>第八条</w:t>
      </w:r>
      <w:r>
        <w:rPr>
          <w:rFonts w:eastAsia="黑体" w:hAnsi="宋体" w:cs="黑体" w:hint="eastAsia"/>
          <w:sz w:val="32"/>
          <w:szCs w:val="22"/>
        </w:rPr>
        <w:t xml:space="preserve">  </w:t>
      </w:r>
      <w:r>
        <w:rPr>
          <w:rFonts w:eastAsia="仿宋_GB2312" w:hAnsi="Calibri" w:cs="仿宋_GB2312" w:hint="eastAsia"/>
          <w:sz w:val="32"/>
          <w:szCs w:val="22"/>
        </w:rPr>
        <w:t>各科室、中队要依法接受审计监督检查和财务巡查，有序开展内部审计监督，严格执行审计、检查、巡查决定，及时整改查出的问题。</w:t>
      </w:r>
    </w:p>
    <w:p w:rsidR="00916F76" w:rsidRDefault="00916F76" w:rsidP="00916F76">
      <w:pPr>
        <w:spacing w:line="560" w:lineRule="exact"/>
        <w:jc w:val="center"/>
        <w:outlineLvl w:val="0"/>
        <w:rPr>
          <w:rFonts w:eastAsia="黑体"/>
        </w:rPr>
      </w:pPr>
      <w:bookmarkStart w:id="2" w:name="_Toc24391"/>
      <w:bookmarkStart w:id="3" w:name="_Toc31301"/>
      <w:r>
        <w:rPr>
          <w:rFonts w:eastAsia="黑体" w:hAnsi="宋体" w:cs="黑体" w:hint="eastAsia"/>
          <w:sz w:val="32"/>
          <w:szCs w:val="22"/>
        </w:rPr>
        <w:t>第二章</w:t>
      </w:r>
      <w:r>
        <w:rPr>
          <w:rFonts w:eastAsia="黑体" w:hAnsi="宋体" w:cs="黑体" w:hint="eastAsia"/>
          <w:sz w:val="32"/>
          <w:szCs w:val="22"/>
        </w:rPr>
        <w:t xml:space="preserve"> </w:t>
      </w:r>
      <w:r>
        <w:rPr>
          <w:rFonts w:eastAsia="黑体" w:hAnsi="宋体" w:cs="黑体" w:hint="eastAsia"/>
          <w:sz w:val="32"/>
          <w:szCs w:val="22"/>
        </w:rPr>
        <w:t>部门预算管理</w:t>
      </w:r>
      <w:bookmarkEnd w:id="2"/>
      <w:bookmarkEnd w:id="3"/>
    </w:p>
    <w:p w:rsidR="00916F76" w:rsidRDefault="00916F76" w:rsidP="00916F76">
      <w:pPr>
        <w:spacing w:line="560" w:lineRule="exact"/>
        <w:ind w:firstLineChars="200" w:firstLine="640"/>
        <w:rPr>
          <w:rFonts w:eastAsia="仿宋_GB2312" w:hAnsi="Calibri"/>
        </w:rPr>
      </w:pPr>
      <w:r>
        <w:rPr>
          <w:rFonts w:eastAsia="黑体" w:hAnsi="宋体" w:cs="黑体" w:hint="eastAsia"/>
          <w:sz w:val="32"/>
          <w:szCs w:val="22"/>
        </w:rPr>
        <w:t>第九条</w:t>
      </w:r>
      <w:r>
        <w:rPr>
          <w:rFonts w:eastAsia="黑体" w:hAnsi="宋体" w:cs="黑体" w:hint="eastAsia"/>
          <w:sz w:val="32"/>
          <w:szCs w:val="22"/>
        </w:rPr>
        <w:t xml:space="preserve">  </w:t>
      </w:r>
      <w:r>
        <w:rPr>
          <w:rFonts w:eastAsia="仿宋_GB2312" w:hAnsi="Calibri" w:cs="仿宋_GB2312" w:hint="eastAsia"/>
          <w:sz w:val="32"/>
          <w:szCs w:val="22"/>
        </w:rPr>
        <w:t>部门预算由收入预算和支出预算组成。各科室、中队的一切经费收支均纳入部门预算管理。</w:t>
      </w:r>
    </w:p>
    <w:p w:rsidR="00916F76" w:rsidRDefault="00916F76" w:rsidP="00916F76">
      <w:pPr>
        <w:spacing w:line="560" w:lineRule="exact"/>
        <w:ind w:firstLineChars="200" w:firstLine="640"/>
        <w:rPr>
          <w:rFonts w:eastAsia="仿宋_GB2312"/>
        </w:rPr>
      </w:pPr>
      <w:r>
        <w:rPr>
          <w:rFonts w:eastAsia="黑体" w:hAnsi="宋体" w:cs="黑体" w:hint="eastAsia"/>
          <w:sz w:val="32"/>
          <w:szCs w:val="22"/>
        </w:rPr>
        <w:t>第十条</w:t>
      </w:r>
      <w:r>
        <w:rPr>
          <w:rFonts w:eastAsia="黑体" w:hAnsi="宋体" w:cs="黑体" w:hint="eastAsia"/>
          <w:sz w:val="32"/>
          <w:szCs w:val="22"/>
        </w:rPr>
        <w:t xml:space="preserve">  </w:t>
      </w:r>
      <w:r>
        <w:rPr>
          <w:rFonts w:eastAsia="仿宋_GB2312" w:hAnsi="Calibri" w:cs="仿宋_GB2312" w:hint="eastAsia"/>
          <w:sz w:val="32"/>
          <w:szCs w:val="22"/>
        </w:rPr>
        <w:t>部门预算按以下程序编报和审批：</w:t>
      </w:r>
    </w:p>
    <w:p w:rsidR="00916F76" w:rsidRDefault="00916F76" w:rsidP="00916F76">
      <w:pPr>
        <w:spacing w:line="560" w:lineRule="exact"/>
        <w:ind w:firstLineChars="200" w:firstLine="640"/>
        <w:rPr>
          <w:rFonts w:eastAsia="仿宋_GB2312"/>
        </w:rPr>
      </w:pPr>
      <w:r>
        <w:rPr>
          <w:rFonts w:ascii="楷体_GB2312" w:eastAsia="楷体_GB2312" w:cs="楷体_GB2312" w:hint="eastAsia"/>
          <w:sz w:val="32"/>
          <w:szCs w:val="22"/>
        </w:rPr>
        <w:t>（一）</w:t>
      </w:r>
      <w:r>
        <w:rPr>
          <w:rFonts w:ascii="楷体_GB2312" w:eastAsia="楷体_GB2312" w:hint="eastAsia"/>
          <w:sz w:val="32"/>
          <w:szCs w:val="22"/>
        </w:rPr>
        <w:t>“</w:t>
      </w:r>
      <w:r>
        <w:rPr>
          <w:rFonts w:ascii="楷体_GB2312" w:eastAsia="楷体_GB2312" w:cs="楷体_GB2312" w:hint="eastAsia"/>
          <w:sz w:val="32"/>
          <w:szCs w:val="22"/>
        </w:rPr>
        <w:t>一上</w:t>
      </w:r>
      <w:r>
        <w:rPr>
          <w:rFonts w:ascii="楷体_GB2312" w:eastAsia="楷体_GB2312" w:hint="eastAsia"/>
          <w:sz w:val="32"/>
          <w:szCs w:val="22"/>
        </w:rPr>
        <w:t>”</w:t>
      </w:r>
      <w:r>
        <w:rPr>
          <w:rFonts w:ascii="楷体_GB2312" w:eastAsia="楷体_GB2312" w:cs="楷体_GB2312" w:hint="eastAsia"/>
          <w:sz w:val="32"/>
          <w:szCs w:val="22"/>
        </w:rPr>
        <w:t>预算。</w:t>
      </w:r>
      <w:r>
        <w:rPr>
          <w:rFonts w:eastAsia="仿宋_GB2312" w:hAnsi="Calibri" w:cs="仿宋_GB2312" w:hint="eastAsia"/>
          <w:sz w:val="32"/>
          <w:szCs w:val="22"/>
        </w:rPr>
        <w:t>各科室、中队根据年度重点工作，提出拟开展工作的预算申请，报分管该项工作的分管领导审签后提交规划统计科。规划统计科统一汇总、审核并提出分局预算申报建议，报局主要负责同志审签后向区财政局申报预算需求建议。</w:t>
      </w:r>
    </w:p>
    <w:p w:rsidR="00916F76" w:rsidRDefault="00916F76" w:rsidP="00916F76">
      <w:pPr>
        <w:spacing w:line="560" w:lineRule="exact"/>
        <w:ind w:firstLineChars="200" w:firstLine="640"/>
        <w:rPr>
          <w:rFonts w:eastAsia="仿宋_GB2312"/>
        </w:rPr>
      </w:pPr>
      <w:r>
        <w:rPr>
          <w:rFonts w:ascii="楷体_GB2312" w:eastAsia="楷体_GB2312" w:cs="楷体_GB2312" w:hint="eastAsia"/>
          <w:sz w:val="32"/>
          <w:szCs w:val="22"/>
        </w:rPr>
        <w:t>（二）</w:t>
      </w:r>
      <w:r>
        <w:rPr>
          <w:rFonts w:ascii="楷体_GB2312" w:eastAsia="楷体_GB2312" w:hint="eastAsia"/>
          <w:sz w:val="32"/>
          <w:szCs w:val="22"/>
        </w:rPr>
        <w:t>“</w:t>
      </w:r>
      <w:r>
        <w:rPr>
          <w:rFonts w:ascii="楷体_GB2312" w:eastAsia="楷体_GB2312" w:cs="楷体_GB2312" w:hint="eastAsia"/>
          <w:sz w:val="32"/>
          <w:szCs w:val="22"/>
        </w:rPr>
        <w:t>一下</w:t>
      </w:r>
      <w:r>
        <w:rPr>
          <w:rFonts w:ascii="楷体_GB2312" w:eastAsia="楷体_GB2312" w:hint="eastAsia"/>
          <w:sz w:val="32"/>
          <w:szCs w:val="22"/>
        </w:rPr>
        <w:t>”</w:t>
      </w:r>
      <w:r>
        <w:rPr>
          <w:rFonts w:ascii="楷体_GB2312" w:eastAsia="楷体_GB2312" w:cs="楷体_GB2312" w:hint="eastAsia"/>
          <w:sz w:val="32"/>
          <w:szCs w:val="22"/>
        </w:rPr>
        <w:t>预算。区</w:t>
      </w:r>
      <w:r>
        <w:rPr>
          <w:rFonts w:eastAsia="仿宋_GB2312" w:hAnsi="Calibri" w:cs="仿宋_GB2312" w:hint="eastAsia"/>
          <w:sz w:val="32"/>
          <w:szCs w:val="22"/>
        </w:rPr>
        <w:t>财政局下达预算控制数，确定年度可用预算额度。</w:t>
      </w:r>
    </w:p>
    <w:p w:rsidR="00916F76" w:rsidRDefault="00916F76" w:rsidP="00916F76">
      <w:pPr>
        <w:spacing w:line="560" w:lineRule="exact"/>
        <w:ind w:firstLineChars="200" w:firstLine="640"/>
        <w:rPr>
          <w:rFonts w:eastAsia="仿宋_GB2312"/>
        </w:rPr>
      </w:pPr>
      <w:r>
        <w:rPr>
          <w:rFonts w:ascii="楷体_GB2312" w:eastAsia="楷体_GB2312" w:cs="楷体_GB2312" w:hint="eastAsia"/>
          <w:sz w:val="32"/>
          <w:szCs w:val="22"/>
        </w:rPr>
        <w:t>（三）</w:t>
      </w:r>
      <w:r>
        <w:rPr>
          <w:rFonts w:ascii="楷体_GB2312" w:eastAsia="楷体_GB2312" w:hint="eastAsia"/>
          <w:sz w:val="32"/>
          <w:szCs w:val="22"/>
        </w:rPr>
        <w:t>“</w:t>
      </w:r>
      <w:r>
        <w:rPr>
          <w:rFonts w:ascii="楷体_GB2312" w:eastAsia="楷体_GB2312" w:cs="楷体_GB2312" w:hint="eastAsia"/>
          <w:sz w:val="32"/>
          <w:szCs w:val="22"/>
        </w:rPr>
        <w:t>二上</w:t>
      </w:r>
      <w:r>
        <w:rPr>
          <w:rFonts w:ascii="楷体_GB2312" w:eastAsia="楷体_GB2312" w:hint="eastAsia"/>
          <w:sz w:val="32"/>
          <w:szCs w:val="22"/>
        </w:rPr>
        <w:t>”</w:t>
      </w:r>
      <w:r>
        <w:rPr>
          <w:rFonts w:ascii="楷体_GB2312" w:eastAsia="楷体_GB2312" w:cs="楷体_GB2312" w:hint="eastAsia"/>
          <w:sz w:val="32"/>
          <w:szCs w:val="22"/>
        </w:rPr>
        <w:t>预算。</w:t>
      </w:r>
      <w:r>
        <w:rPr>
          <w:rFonts w:eastAsia="仿宋_GB2312" w:hAnsi="Calibri" w:cs="仿宋_GB2312" w:hint="eastAsia"/>
          <w:sz w:val="32"/>
          <w:szCs w:val="22"/>
        </w:rPr>
        <w:t>根据预算控制数，规划统计科按照</w:t>
      </w:r>
      <w:r>
        <w:rPr>
          <w:rFonts w:eastAsia="仿宋_GB2312"/>
          <w:sz w:val="32"/>
          <w:szCs w:val="22"/>
        </w:rPr>
        <w:t>“</w:t>
      </w:r>
      <w:r>
        <w:rPr>
          <w:rFonts w:eastAsia="仿宋_GB2312" w:hAnsi="Calibri" w:cs="仿宋_GB2312" w:hint="eastAsia"/>
          <w:sz w:val="32"/>
          <w:szCs w:val="22"/>
        </w:rPr>
        <w:t>以收定支、保障重点，兼顾一般</w:t>
      </w:r>
      <w:r>
        <w:rPr>
          <w:rFonts w:eastAsia="仿宋_GB2312"/>
          <w:sz w:val="32"/>
          <w:szCs w:val="22"/>
        </w:rPr>
        <w:t>”</w:t>
      </w:r>
      <w:r>
        <w:rPr>
          <w:rFonts w:eastAsia="仿宋_GB2312" w:hAnsi="Calibri" w:cs="仿宋_GB2312" w:hint="eastAsia"/>
          <w:sz w:val="32"/>
          <w:szCs w:val="22"/>
        </w:rPr>
        <w:t>的原则，经与各科室、中队衔接，提出支出预算安排建议，经局主要领导审签后提报局党组会研究，根据局党组会确定的意见，向区财政局申报预算安排建议。</w:t>
      </w:r>
    </w:p>
    <w:p w:rsidR="00916F76" w:rsidRDefault="00916F76" w:rsidP="00916F76">
      <w:pPr>
        <w:spacing w:line="560" w:lineRule="exact"/>
        <w:ind w:firstLineChars="200" w:firstLine="640"/>
        <w:rPr>
          <w:rFonts w:eastAsia="仿宋_GB2312" w:hAnsi="Calibri" w:cs="仿宋_GB2312"/>
          <w:sz w:val="32"/>
          <w:szCs w:val="22"/>
        </w:rPr>
      </w:pPr>
      <w:r>
        <w:rPr>
          <w:rFonts w:ascii="楷体_GB2312" w:eastAsia="楷体_GB2312" w:cs="楷体_GB2312" w:hint="eastAsia"/>
          <w:sz w:val="32"/>
          <w:szCs w:val="22"/>
        </w:rPr>
        <w:lastRenderedPageBreak/>
        <w:t>（四）</w:t>
      </w:r>
      <w:r>
        <w:rPr>
          <w:rFonts w:ascii="楷体_GB2312" w:eastAsia="楷体_GB2312" w:hint="eastAsia"/>
          <w:sz w:val="32"/>
          <w:szCs w:val="22"/>
        </w:rPr>
        <w:t>“</w:t>
      </w:r>
      <w:r>
        <w:rPr>
          <w:rFonts w:ascii="楷体_GB2312" w:eastAsia="楷体_GB2312" w:cs="楷体_GB2312" w:hint="eastAsia"/>
          <w:sz w:val="32"/>
          <w:szCs w:val="22"/>
        </w:rPr>
        <w:t>二下</w:t>
      </w:r>
      <w:r>
        <w:rPr>
          <w:rFonts w:ascii="楷体_GB2312" w:eastAsia="楷体_GB2312" w:hint="eastAsia"/>
          <w:sz w:val="32"/>
          <w:szCs w:val="22"/>
        </w:rPr>
        <w:t>”</w:t>
      </w:r>
      <w:r>
        <w:rPr>
          <w:rFonts w:ascii="楷体_GB2312" w:eastAsia="楷体_GB2312" w:cs="楷体_GB2312" w:hint="eastAsia"/>
          <w:sz w:val="32"/>
          <w:szCs w:val="22"/>
        </w:rPr>
        <w:t>预算。</w:t>
      </w:r>
      <w:r>
        <w:rPr>
          <w:rFonts w:eastAsia="仿宋_GB2312" w:hAnsi="Calibri" w:cs="仿宋_GB2312" w:hint="eastAsia"/>
          <w:sz w:val="32"/>
          <w:szCs w:val="22"/>
        </w:rPr>
        <w:t>经履行法定程序，区财政局批复部门预算。</w:t>
      </w:r>
    </w:p>
    <w:p w:rsidR="00916F76" w:rsidRDefault="00916F76" w:rsidP="00916F76">
      <w:pPr>
        <w:spacing w:line="560" w:lineRule="exact"/>
        <w:ind w:firstLineChars="200" w:firstLine="640"/>
        <w:rPr>
          <w:rFonts w:eastAsia="仿宋_GB2312" w:hAnsi="Calibri" w:cs="仿宋_GB2312"/>
          <w:sz w:val="32"/>
          <w:szCs w:val="22"/>
        </w:rPr>
      </w:pPr>
      <w:r>
        <w:rPr>
          <w:rFonts w:eastAsia="黑体" w:hAnsi="宋体" w:cs="黑体" w:hint="eastAsia"/>
          <w:sz w:val="32"/>
          <w:szCs w:val="22"/>
        </w:rPr>
        <w:t>第十一条</w:t>
      </w:r>
      <w:r>
        <w:rPr>
          <w:rFonts w:eastAsia="黑体" w:hAnsi="宋体" w:cs="黑体" w:hint="eastAsia"/>
          <w:sz w:val="32"/>
          <w:szCs w:val="22"/>
        </w:rPr>
        <w:t xml:space="preserve">  </w:t>
      </w:r>
      <w:r>
        <w:rPr>
          <w:rFonts w:ascii="仿宋_GB2312" w:eastAsia="仿宋_GB2312" w:hAnsi="Calibri" w:cs="仿宋_GB2312" w:hint="eastAsia"/>
          <w:sz w:val="32"/>
          <w:szCs w:val="22"/>
        </w:rPr>
        <w:t>预算一经批复，原则上不予调整。</w:t>
      </w:r>
    </w:p>
    <w:p w:rsidR="00916F76" w:rsidRDefault="00916F76" w:rsidP="00916F76">
      <w:pPr>
        <w:spacing w:line="560" w:lineRule="exact"/>
        <w:jc w:val="center"/>
        <w:outlineLvl w:val="0"/>
        <w:rPr>
          <w:rFonts w:eastAsia="黑体"/>
        </w:rPr>
      </w:pPr>
      <w:bookmarkStart w:id="4" w:name="_Toc327"/>
      <w:bookmarkStart w:id="5" w:name="_Toc27941"/>
      <w:r>
        <w:rPr>
          <w:rFonts w:eastAsia="黑体" w:hAnsi="宋体" w:cs="黑体" w:hint="eastAsia"/>
          <w:sz w:val="32"/>
          <w:szCs w:val="22"/>
        </w:rPr>
        <w:t>第三章</w:t>
      </w:r>
      <w:r>
        <w:rPr>
          <w:rFonts w:eastAsia="黑体" w:hAnsi="宋体" w:cs="黑体" w:hint="eastAsia"/>
          <w:sz w:val="32"/>
          <w:szCs w:val="22"/>
        </w:rPr>
        <w:t xml:space="preserve"> </w:t>
      </w:r>
      <w:r>
        <w:rPr>
          <w:rFonts w:eastAsia="黑体" w:hAnsi="宋体" w:cs="黑体" w:hint="eastAsia"/>
          <w:sz w:val="32"/>
          <w:szCs w:val="22"/>
        </w:rPr>
        <w:t>收入管理</w:t>
      </w:r>
      <w:bookmarkEnd w:id="4"/>
      <w:bookmarkEnd w:id="5"/>
    </w:p>
    <w:p w:rsidR="00916F76" w:rsidRDefault="00916F76" w:rsidP="00916F76">
      <w:pPr>
        <w:spacing w:line="560" w:lineRule="exact"/>
        <w:ind w:firstLineChars="200" w:firstLine="640"/>
        <w:rPr>
          <w:rFonts w:eastAsia="仿宋_GB2312"/>
        </w:rPr>
      </w:pPr>
      <w:r>
        <w:rPr>
          <w:rFonts w:eastAsia="黑体" w:hAnsi="宋体" w:cs="黑体" w:hint="eastAsia"/>
          <w:sz w:val="32"/>
          <w:szCs w:val="22"/>
        </w:rPr>
        <w:t>第十二条</w:t>
      </w:r>
      <w:r>
        <w:rPr>
          <w:rFonts w:eastAsia="黑体" w:hAnsi="宋体" w:cs="黑体" w:hint="eastAsia"/>
          <w:sz w:val="32"/>
          <w:szCs w:val="22"/>
        </w:rPr>
        <w:t xml:space="preserve">  </w:t>
      </w:r>
      <w:r>
        <w:rPr>
          <w:rFonts w:eastAsia="仿宋_GB2312" w:hAnsi="Calibri" w:cs="仿宋_GB2312" w:hint="eastAsia"/>
          <w:sz w:val="32"/>
          <w:szCs w:val="22"/>
        </w:rPr>
        <w:t>收入包括经费拨款收入、非税收入、和其他收入。</w:t>
      </w:r>
    </w:p>
    <w:p w:rsidR="00916F76" w:rsidRDefault="00916F76" w:rsidP="00916F76">
      <w:pPr>
        <w:spacing w:line="560" w:lineRule="exact"/>
        <w:ind w:firstLineChars="200" w:firstLine="640"/>
        <w:rPr>
          <w:rFonts w:eastAsia="仿宋_GB2312"/>
        </w:rPr>
      </w:pPr>
      <w:r>
        <w:rPr>
          <w:rFonts w:eastAsia="仿宋_GB2312" w:hAnsi="Calibri" w:cs="仿宋_GB2312" w:hint="eastAsia"/>
          <w:sz w:val="32"/>
          <w:szCs w:val="22"/>
        </w:rPr>
        <w:t>经费拨款收入是指从区财政取得的财政预算资金收入。</w:t>
      </w:r>
    </w:p>
    <w:p w:rsidR="00916F76" w:rsidRDefault="00916F76" w:rsidP="00916F76">
      <w:pPr>
        <w:spacing w:line="560" w:lineRule="exact"/>
        <w:ind w:firstLineChars="200" w:firstLine="640"/>
        <w:rPr>
          <w:rFonts w:eastAsia="仿宋_GB2312"/>
        </w:rPr>
      </w:pPr>
      <w:r>
        <w:rPr>
          <w:rFonts w:eastAsia="仿宋_GB2312" w:hAnsi="Calibri" w:cs="仿宋_GB2312" w:hint="eastAsia"/>
          <w:sz w:val="32"/>
          <w:szCs w:val="22"/>
        </w:rPr>
        <w:t>非税收入是指经批准从部门执收入库的行政事业性收费、国有资产有偿使用和处置收益中安排的收入。</w:t>
      </w:r>
    </w:p>
    <w:p w:rsidR="00916F76" w:rsidRDefault="00916F76" w:rsidP="00916F76">
      <w:pPr>
        <w:spacing w:line="560" w:lineRule="exact"/>
        <w:ind w:firstLineChars="200" w:firstLine="640"/>
        <w:rPr>
          <w:rFonts w:ascii="Verdana" w:hAnsi="Verdana"/>
          <w:kern w:val="0"/>
          <w:sz w:val="20"/>
        </w:rPr>
      </w:pPr>
      <w:r>
        <w:rPr>
          <w:rFonts w:eastAsia="仿宋_GB2312" w:hAnsi="Calibri" w:cs="仿宋_GB2312" w:hint="eastAsia"/>
          <w:sz w:val="32"/>
          <w:szCs w:val="22"/>
        </w:rPr>
        <w:t>其他收入是指银行存款利息等收入。</w:t>
      </w:r>
    </w:p>
    <w:p w:rsidR="00916F76" w:rsidRDefault="00916F76" w:rsidP="00916F76">
      <w:pPr>
        <w:spacing w:line="560" w:lineRule="exact"/>
        <w:ind w:firstLineChars="200" w:firstLine="640"/>
        <w:rPr>
          <w:rFonts w:eastAsia="仿宋_GB2312"/>
        </w:rPr>
      </w:pPr>
      <w:r>
        <w:rPr>
          <w:rFonts w:eastAsia="黑体" w:hAnsi="宋体" w:cs="黑体" w:hint="eastAsia"/>
          <w:sz w:val="32"/>
          <w:szCs w:val="22"/>
        </w:rPr>
        <w:t>第十三条</w:t>
      </w:r>
      <w:r>
        <w:rPr>
          <w:rFonts w:eastAsia="黑体" w:hAnsi="宋体" w:cs="黑体" w:hint="eastAsia"/>
          <w:sz w:val="32"/>
          <w:szCs w:val="22"/>
        </w:rPr>
        <w:t xml:space="preserve">  </w:t>
      </w:r>
      <w:r>
        <w:rPr>
          <w:rFonts w:eastAsia="仿宋_GB2312" w:hAnsi="Calibri" w:cs="仿宋_GB2312" w:hint="eastAsia"/>
          <w:sz w:val="32"/>
          <w:szCs w:val="22"/>
        </w:rPr>
        <w:t>各项收入全部纳入预算统一管理。各项收入应按照政府收支功能科目分项核算，不得混淆资金来源和功能。</w:t>
      </w:r>
    </w:p>
    <w:p w:rsidR="00916F76" w:rsidRDefault="00916F76" w:rsidP="00916F76">
      <w:pPr>
        <w:spacing w:line="560" w:lineRule="exact"/>
        <w:ind w:firstLineChars="200" w:firstLine="640"/>
        <w:rPr>
          <w:rFonts w:eastAsia="仿宋_GB2312" w:hAnsi="Calibri" w:cs="仿宋_GB2312"/>
          <w:sz w:val="32"/>
          <w:szCs w:val="22"/>
        </w:rPr>
      </w:pPr>
      <w:r>
        <w:rPr>
          <w:rFonts w:eastAsia="黑体" w:hAnsi="宋体" w:cs="黑体" w:hint="eastAsia"/>
          <w:sz w:val="32"/>
          <w:szCs w:val="22"/>
        </w:rPr>
        <w:t>第十四条</w:t>
      </w:r>
      <w:r>
        <w:rPr>
          <w:rFonts w:eastAsia="黑体" w:hAnsi="宋体" w:cs="黑体" w:hint="eastAsia"/>
          <w:sz w:val="32"/>
          <w:szCs w:val="22"/>
        </w:rPr>
        <w:t xml:space="preserve">  </w:t>
      </w:r>
      <w:r>
        <w:rPr>
          <w:rFonts w:eastAsia="仿宋_GB2312" w:hAnsi="Calibri" w:cs="仿宋_GB2312" w:hint="eastAsia"/>
          <w:sz w:val="32"/>
          <w:szCs w:val="22"/>
        </w:rPr>
        <w:t>各项收入应当符合国家、省、市有关规定，不得违反规定统筹资金。</w:t>
      </w:r>
    </w:p>
    <w:p w:rsidR="00916F76" w:rsidRDefault="00916F76" w:rsidP="00916F76">
      <w:pPr>
        <w:spacing w:line="560" w:lineRule="exact"/>
        <w:jc w:val="center"/>
        <w:outlineLvl w:val="0"/>
        <w:rPr>
          <w:rFonts w:eastAsia="黑体"/>
          <w:sz w:val="32"/>
          <w:szCs w:val="32"/>
        </w:rPr>
      </w:pPr>
      <w:bookmarkStart w:id="6" w:name="_Toc18348"/>
      <w:bookmarkStart w:id="7" w:name="_Toc4312"/>
      <w:r>
        <w:rPr>
          <w:rFonts w:eastAsia="黑体" w:hAnsi="宋体" w:cs="黑体" w:hint="eastAsia"/>
          <w:sz w:val="32"/>
          <w:szCs w:val="32"/>
        </w:rPr>
        <w:t>第四章</w:t>
      </w:r>
      <w:r>
        <w:rPr>
          <w:rFonts w:eastAsia="黑体" w:hAnsi="宋体" w:cs="黑体" w:hint="eastAsia"/>
          <w:sz w:val="32"/>
          <w:szCs w:val="32"/>
        </w:rPr>
        <w:t xml:space="preserve"> </w:t>
      </w:r>
      <w:r>
        <w:rPr>
          <w:rFonts w:eastAsia="黑体" w:hAnsi="宋体" w:cs="黑体" w:hint="eastAsia"/>
          <w:sz w:val="32"/>
          <w:szCs w:val="32"/>
        </w:rPr>
        <w:t>支出管理</w:t>
      </w:r>
      <w:bookmarkEnd w:id="6"/>
      <w:bookmarkEnd w:id="7"/>
    </w:p>
    <w:p w:rsidR="00916F76" w:rsidRDefault="00916F76" w:rsidP="00916F76">
      <w:pPr>
        <w:spacing w:line="560" w:lineRule="exact"/>
        <w:ind w:firstLine="630"/>
        <w:rPr>
          <w:rFonts w:eastAsia="仿宋_GB2312"/>
        </w:rPr>
      </w:pPr>
      <w:r>
        <w:rPr>
          <w:rFonts w:eastAsia="黑体" w:hAnsi="宋体" w:cs="黑体" w:hint="eastAsia"/>
          <w:sz w:val="32"/>
          <w:szCs w:val="22"/>
        </w:rPr>
        <w:t>第十五条</w:t>
      </w:r>
      <w:r>
        <w:rPr>
          <w:rFonts w:eastAsia="黑体" w:hAnsi="宋体" w:cs="黑体" w:hint="eastAsia"/>
          <w:sz w:val="32"/>
          <w:szCs w:val="22"/>
        </w:rPr>
        <w:t xml:space="preserve">  </w:t>
      </w:r>
      <w:r>
        <w:rPr>
          <w:rFonts w:eastAsia="仿宋_GB2312" w:hAnsi="Calibri" w:cs="仿宋_GB2312" w:hint="eastAsia"/>
          <w:sz w:val="32"/>
          <w:szCs w:val="22"/>
        </w:rPr>
        <w:t>各项经费支出应当按照批准的预算执行，支出过程中应严格执行国家、省、市规定的开支范围和开支标准，不得超预算、无预算、超标准、超范围安排支出。</w:t>
      </w:r>
    </w:p>
    <w:p w:rsidR="00916F76" w:rsidRDefault="00916F76" w:rsidP="00916F76">
      <w:pPr>
        <w:spacing w:line="560" w:lineRule="exact"/>
        <w:ind w:firstLine="640"/>
        <w:jc w:val="left"/>
        <w:rPr>
          <w:rFonts w:eastAsia="仿宋_GB2312"/>
        </w:rPr>
      </w:pPr>
      <w:r>
        <w:rPr>
          <w:rFonts w:eastAsia="黑体" w:hAnsi="宋体" w:cs="黑体" w:hint="eastAsia"/>
          <w:sz w:val="32"/>
          <w:szCs w:val="22"/>
        </w:rPr>
        <w:t>第十六条</w:t>
      </w:r>
      <w:r>
        <w:rPr>
          <w:rFonts w:eastAsia="黑体" w:hAnsi="宋体" w:cs="黑体" w:hint="eastAsia"/>
          <w:sz w:val="32"/>
          <w:szCs w:val="22"/>
        </w:rPr>
        <w:t xml:space="preserve">  </w:t>
      </w:r>
      <w:r>
        <w:rPr>
          <w:rFonts w:eastAsia="仿宋_GB2312" w:hAnsi="Calibri" w:cs="仿宋_GB2312" w:hint="eastAsia"/>
          <w:sz w:val="32"/>
          <w:szCs w:val="22"/>
        </w:rPr>
        <w:t>严格执行经费支出事项事前审批制度，严禁未经批准开展发生经费支出的事项。财务人员未见审批文件，不予报销。</w:t>
      </w:r>
    </w:p>
    <w:p w:rsidR="00916F76" w:rsidRDefault="00916F76" w:rsidP="00916F76">
      <w:pPr>
        <w:spacing w:line="560" w:lineRule="exact"/>
        <w:ind w:firstLine="630"/>
        <w:rPr>
          <w:rFonts w:eastAsia="仿宋_GB2312"/>
        </w:rPr>
      </w:pPr>
      <w:r>
        <w:rPr>
          <w:rFonts w:eastAsia="黑体" w:hAnsi="宋体" w:cs="黑体" w:hint="eastAsia"/>
          <w:sz w:val="32"/>
          <w:szCs w:val="22"/>
        </w:rPr>
        <w:t>第十七条</w:t>
      </w:r>
      <w:r>
        <w:rPr>
          <w:rFonts w:eastAsia="黑体" w:hAnsi="宋体" w:cs="黑体" w:hint="eastAsia"/>
          <w:sz w:val="32"/>
          <w:szCs w:val="22"/>
        </w:rPr>
        <w:t xml:space="preserve">  </w:t>
      </w:r>
      <w:r>
        <w:rPr>
          <w:rFonts w:eastAsia="仿宋_GB2312" w:hAnsi="Calibri" w:cs="仿宋_GB2312" w:hint="eastAsia"/>
          <w:sz w:val="32"/>
          <w:szCs w:val="22"/>
        </w:rPr>
        <w:t>办理财务支出应严格执行公务卡结算制度、国库集中支付制度、政府采购制度（政府购买服务制度）等。</w:t>
      </w:r>
    </w:p>
    <w:p w:rsidR="00916F76" w:rsidRDefault="00916F76" w:rsidP="00916F76">
      <w:pPr>
        <w:spacing w:line="560" w:lineRule="exact"/>
        <w:jc w:val="left"/>
        <w:rPr>
          <w:rFonts w:eastAsia="黑体" w:hAnsi="宋体" w:cs="黑体"/>
          <w:sz w:val="32"/>
          <w:szCs w:val="32"/>
        </w:rPr>
      </w:pPr>
      <w:r>
        <w:rPr>
          <w:rFonts w:eastAsia="黑体" w:hAnsi="宋体" w:cs="黑体" w:hint="eastAsia"/>
          <w:sz w:val="32"/>
          <w:szCs w:val="22"/>
        </w:rPr>
        <w:lastRenderedPageBreak/>
        <w:t xml:space="preserve">    </w:t>
      </w:r>
      <w:r>
        <w:rPr>
          <w:rFonts w:eastAsia="黑体" w:hAnsi="宋体" w:cs="黑体" w:hint="eastAsia"/>
          <w:sz w:val="32"/>
          <w:szCs w:val="22"/>
        </w:rPr>
        <w:t>第十八条</w:t>
      </w:r>
      <w:r>
        <w:rPr>
          <w:rFonts w:eastAsia="黑体" w:hAnsi="宋体" w:cs="黑体" w:hint="eastAsia"/>
          <w:sz w:val="32"/>
          <w:szCs w:val="22"/>
        </w:rPr>
        <w:t xml:space="preserve">  </w:t>
      </w:r>
      <w:r>
        <w:rPr>
          <w:rFonts w:eastAsia="仿宋_GB2312" w:hAnsi="Calibri" w:cs="仿宋_GB2312" w:hint="eastAsia"/>
          <w:sz w:val="32"/>
          <w:szCs w:val="22"/>
        </w:rPr>
        <w:t>严格审核财务支出原始凭证、票据，严禁使用虚假票据报销费用，严禁跨年度报销费用。报销人员应对费用的真实性、票据的合法性、报销的及时性负责。</w:t>
      </w:r>
    </w:p>
    <w:p w:rsidR="00916F76" w:rsidRDefault="00916F76" w:rsidP="00916F76">
      <w:pPr>
        <w:spacing w:line="560" w:lineRule="exact"/>
        <w:jc w:val="center"/>
        <w:outlineLvl w:val="0"/>
        <w:rPr>
          <w:rFonts w:eastAsia="黑体"/>
          <w:sz w:val="32"/>
          <w:szCs w:val="32"/>
        </w:rPr>
      </w:pPr>
      <w:bookmarkStart w:id="8" w:name="_Toc29248"/>
      <w:bookmarkStart w:id="9" w:name="_Toc26235"/>
      <w:r>
        <w:rPr>
          <w:rFonts w:eastAsia="黑体" w:hAnsi="宋体" w:cs="黑体" w:hint="eastAsia"/>
          <w:sz w:val="32"/>
          <w:szCs w:val="32"/>
        </w:rPr>
        <w:t>第五章</w:t>
      </w:r>
      <w:r>
        <w:rPr>
          <w:rFonts w:eastAsia="黑体" w:hAnsi="宋体" w:cs="黑体" w:hint="eastAsia"/>
          <w:sz w:val="32"/>
          <w:szCs w:val="32"/>
        </w:rPr>
        <w:t xml:space="preserve"> </w:t>
      </w:r>
      <w:r>
        <w:rPr>
          <w:rFonts w:eastAsia="黑体" w:hAnsi="宋体" w:cs="黑体" w:hint="eastAsia"/>
          <w:sz w:val="32"/>
          <w:szCs w:val="32"/>
        </w:rPr>
        <w:t>专项资金管理</w:t>
      </w:r>
      <w:bookmarkEnd w:id="8"/>
      <w:bookmarkEnd w:id="9"/>
    </w:p>
    <w:p w:rsidR="00916F76" w:rsidRDefault="00916F76" w:rsidP="00916F76">
      <w:pPr>
        <w:spacing w:line="560" w:lineRule="exact"/>
        <w:ind w:firstLine="630"/>
        <w:rPr>
          <w:rFonts w:eastAsia="仿宋_GB2312"/>
        </w:rPr>
      </w:pPr>
      <w:r>
        <w:rPr>
          <w:rFonts w:eastAsia="黑体" w:hAnsi="宋体" w:cs="黑体" w:hint="eastAsia"/>
          <w:sz w:val="32"/>
          <w:szCs w:val="22"/>
        </w:rPr>
        <w:t>第十九条</w:t>
      </w:r>
      <w:r>
        <w:rPr>
          <w:rFonts w:eastAsia="黑体" w:hAnsi="宋体" w:cs="黑体" w:hint="eastAsia"/>
          <w:sz w:val="32"/>
          <w:szCs w:val="22"/>
        </w:rPr>
        <w:t xml:space="preserve">  </w:t>
      </w:r>
      <w:r>
        <w:rPr>
          <w:rFonts w:eastAsia="仿宋_GB2312" w:hAnsi="Calibri" w:cs="仿宋_GB2312" w:hint="eastAsia"/>
          <w:sz w:val="32"/>
          <w:szCs w:val="22"/>
        </w:rPr>
        <w:t>专项资金主要分为上级专项资金和区本级环保专项资金。区本级环保专项资金的分配管理由规划统计科牵头负责，有关科室、中队配合；上级专项资金由业务科室、中队分配管理，规划统计科配合；规划统计科协调做好与区财政局的对接与沟通，科室、中队协调做好与市局的对接与沟通。</w:t>
      </w:r>
    </w:p>
    <w:p w:rsidR="00916F76" w:rsidRDefault="00916F76" w:rsidP="00916F76">
      <w:pPr>
        <w:spacing w:line="560" w:lineRule="exact"/>
        <w:ind w:firstLine="630"/>
        <w:rPr>
          <w:rFonts w:eastAsia="仿宋_GB2312"/>
        </w:rPr>
      </w:pPr>
      <w:r>
        <w:rPr>
          <w:rFonts w:eastAsia="黑体" w:hAnsi="宋体" w:cs="黑体" w:hint="eastAsia"/>
          <w:sz w:val="32"/>
          <w:szCs w:val="22"/>
        </w:rPr>
        <w:t>第二十条</w:t>
      </w:r>
      <w:r>
        <w:rPr>
          <w:rFonts w:eastAsia="黑体" w:hAnsi="宋体" w:cs="黑体" w:hint="eastAsia"/>
          <w:sz w:val="32"/>
          <w:szCs w:val="22"/>
        </w:rPr>
        <w:t xml:space="preserve">  </w:t>
      </w:r>
      <w:r>
        <w:rPr>
          <w:rFonts w:eastAsia="仿宋_GB2312" w:hAnsi="Calibri" w:cs="仿宋_GB2312" w:hint="eastAsia"/>
          <w:sz w:val="32"/>
          <w:szCs w:val="22"/>
        </w:rPr>
        <w:t>各科室、中队申请专项资金应事先充分调研、科学论证、严格审核，并根据年度工作任务有关要求，合理设定绩效目标。</w:t>
      </w:r>
    </w:p>
    <w:p w:rsidR="00916F76" w:rsidRDefault="00916F76" w:rsidP="00916F76">
      <w:pPr>
        <w:spacing w:line="560" w:lineRule="exact"/>
        <w:ind w:firstLineChars="200" w:firstLine="640"/>
        <w:rPr>
          <w:rFonts w:eastAsia="仿宋_GB2312"/>
        </w:rPr>
      </w:pPr>
      <w:r>
        <w:rPr>
          <w:rFonts w:eastAsia="黑体" w:hAnsi="宋体" w:cs="黑体" w:hint="eastAsia"/>
          <w:sz w:val="32"/>
          <w:szCs w:val="22"/>
        </w:rPr>
        <w:t>第二十一条</w:t>
      </w:r>
      <w:r>
        <w:rPr>
          <w:rFonts w:eastAsia="黑体" w:hAnsi="宋体" w:cs="黑体" w:hint="eastAsia"/>
          <w:sz w:val="32"/>
          <w:szCs w:val="22"/>
        </w:rPr>
        <w:t xml:space="preserve">  </w:t>
      </w:r>
      <w:r>
        <w:rPr>
          <w:rFonts w:eastAsia="仿宋_GB2312" w:hAnsi="Calibri" w:cs="仿宋_GB2312" w:hint="eastAsia"/>
          <w:sz w:val="32"/>
          <w:szCs w:val="22"/>
        </w:rPr>
        <w:t>相关科室、中队对上级专项资金应按照规定用途和方向安排使用，确保资金分配的规范性、合理性，并将资金使用方案及绩效目标报送市局备案。区本级环保专项资金按部门预算要求管理使用。</w:t>
      </w:r>
    </w:p>
    <w:p w:rsidR="00916F76" w:rsidRDefault="00916F76" w:rsidP="00916F76">
      <w:pPr>
        <w:spacing w:line="560" w:lineRule="exact"/>
        <w:ind w:firstLine="630"/>
        <w:rPr>
          <w:rFonts w:eastAsia="仿宋_GB2312" w:hAnsi="Calibri"/>
        </w:rPr>
      </w:pPr>
      <w:r>
        <w:rPr>
          <w:rFonts w:eastAsia="黑体" w:hAnsi="宋体" w:cs="黑体" w:hint="eastAsia"/>
          <w:sz w:val="32"/>
          <w:szCs w:val="22"/>
        </w:rPr>
        <w:t>第二十二条</w:t>
      </w:r>
      <w:r>
        <w:rPr>
          <w:rFonts w:eastAsia="黑体" w:hAnsi="宋体" w:cs="黑体" w:hint="eastAsia"/>
          <w:sz w:val="32"/>
          <w:szCs w:val="22"/>
        </w:rPr>
        <w:t xml:space="preserve">  </w:t>
      </w:r>
      <w:r>
        <w:rPr>
          <w:rFonts w:eastAsia="仿宋_GB2312" w:hAnsi="Calibri" w:cs="仿宋_GB2312" w:hint="eastAsia"/>
          <w:sz w:val="32"/>
          <w:szCs w:val="22"/>
        </w:rPr>
        <w:t>专项资金下达后，应加快预算执行进度，减少年底结余资金额度。</w:t>
      </w:r>
    </w:p>
    <w:p w:rsidR="00916F76" w:rsidRDefault="00916F76" w:rsidP="00916F76">
      <w:pPr>
        <w:spacing w:line="560" w:lineRule="exact"/>
        <w:ind w:firstLine="630"/>
        <w:rPr>
          <w:rFonts w:eastAsia="仿宋_GB2312" w:hAnsi="Calibri" w:cs="仿宋_GB2312"/>
          <w:sz w:val="32"/>
          <w:szCs w:val="22"/>
        </w:rPr>
      </w:pPr>
      <w:r>
        <w:rPr>
          <w:rFonts w:eastAsia="黑体" w:hAnsi="宋体" w:cs="黑体" w:hint="eastAsia"/>
          <w:sz w:val="32"/>
          <w:szCs w:val="22"/>
        </w:rPr>
        <w:t>第二十三条</w:t>
      </w:r>
      <w:r>
        <w:rPr>
          <w:rFonts w:eastAsia="黑体" w:hAnsi="宋体" w:cs="黑体" w:hint="eastAsia"/>
          <w:sz w:val="32"/>
          <w:szCs w:val="22"/>
        </w:rPr>
        <w:t xml:space="preserve">  </w:t>
      </w:r>
      <w:r>
        <w:rPr>
          <w:rFonts w:eastAsia="仿宋_GB2312" w:hAnsi="Calibri" w:cs="仿宋_GB2312" w:hint="eastAsia"/>
          <w:sz w:val="32"/>
          <w:szCs w:val="22"/>
        </w:rPr>
        <w:t>对专项资金实施跟踪监管和问效，实施定期调度并通报预算执行和项目进展情况，年中不定期组织开展检查督导；预算年度终了或项目执行完毕后，组织开展绩效自评并视情采取委托第三方机构方式开展绩效评价，绩效评价结果作为安排后续资金的重要依据。</w:t>
      </w:r>
    </w:p>
    <w:p w:rsidR="00916F76" w:rsidRDefault="00916F76" w:rsidP="00916F76">
      <w:pPr>
        <w:spacing w:line="560" w:lineRule="exact"/>
        <w:jc w:val="center"/>
        <w:outlineLvl w:val="0"/>
        <w:rPr>
          <w:rFonts w:eastAsia="黑体"/>
        </w:rPr>
      </w:pPr>
      <w:bookmarkStart w:id="10" w:name="_Toc12394"/>
      <w:bookmarkStart w:id="11" w:name="_Toc16976"/>
      <w:r>
        <w:rPr>
          <w:rFonts w:eastAsia="黑体" w:hAnsi="宋体" w:cs="黑体" w:hint="eastAsia"/>
          <w:sz w:val="32"/>
          <w:szCs w:val="22"/>
        </w:rPr>
        <w:lastRenderedPageBreak/>
        <w:t>第六章</w:t>
      </w:r>
      <w:r>
        <w:rPr>
          <w:rFonts w:eastAsia="黑体" w:hAnsi="宋体" w:cs="黑体" w:hint="eastAsia"/>
          <w:sz w:val="32"/>
          <w:szCs w:val="22"/>
        </w:rPr>
        <w:t xml:space="preserve"> </w:t>
      </w:r>
      <w:r>
        <w:rPr>
          <w:rFonts w:eastAsia="黑体" w:hAnsi="宋体" w:cs="黑体" w:hint="eastAsia"/>
          <w:sz w:val="32"/>
          <w:szCs w:val="22"/>
        </w:rPr>
        <w:t>资产与债务管理</w:t>
      </w:r>
      <w:bookmarkEnd w:id="10"/>
      <w:bookmarkEnd w:id="11"/>
    </w:p>
    <w:p w:rsidR="00916F76" w:rsidRDefault="00916F76" w:rsidP="00916F76">
      <w:pPr>
        <w:spacing w:line="560" w:lineRule="exact"/>
        <w:ind w:firstLine="630"/>
        <w:rPr>
          <w:rFonts w:eastAsia="仿宋_GB2312" w:hAnsi="Calibri"/>
        </w:rPr>
      </w:pPr>
      <w:r>
        <w:rPr>
          <w:rFonts w:eastAsia="黑体" w:hAnsi="宋体" w:cs="黑体" w:hint="eastAsia"/>
          <w:sz w:val="32"/>
          <w:szCs w:val="22"/>
        </w:rPr>
        <w:t>第二十四条</w:t>
      </w:r>
      <w:r>
        <w:rPr>
          <w:rFonts w:eastAsia="黑体" w:hAnsi="宋体" w:cs="黑体" w:hint="eastAsia"/>
          <w:sz w:val="32"/>
          <w:szCs w:val="22"/>
        </w:rPr>
        <w:t xml:space="preserve">  </w:t>
      </w:r>
      <w:r>
        <w:rPr>
          <w:rFonts w:eastAsia="仿宋_GB2312" w:hAnsi="Calibri" w:cs="仿宋_GB2312" w:hint="eastAsia"/>
          <w:sz w:val="32"/>
          <w:szCs w:val="22"/>
        </w:rPr>
        <w:t>资产包括货币资金、零余额账户用款额度、应收及预算款项等流动资产，房屋、车辆、设备、家具等固定资产以及在建工程和无形资产。债务主要包括应付及预收款项、暂存款、周转款、贷款等。</w:t>
      </w:r>
    </w:p>
    <w:p w:rsidR="00916F76" w:rsidRDefault="00916F76" w:rsidP="00916F76">
      <w:pPr>
        <w:spacing w:line="560" w:lineRule="exact"/>
        <w:ind w:firstLine="630"/>
        <w:rPr>
          <w:rFonts w:eastAsia="仿宋_GB2312"/>
        </w:rPr>
      </w:pPr>
      <w:r>
        <w:rPr>
          <w:rFonts w:eastAsia="黑体" w:hAnsi="宋体" w:cs="黑体" w:hint="eastAsia"/>
          <w:sz w:val="32"/>
          <w:szCs w:val="22"/>
        </w:rPr>
        <w:t>第二十五条</w:t>
      </w:r>
      <w:r>
        <w:rPr>
          <w:rFonts w:eastAsia="黑体" w:hAnsi="宋体" w:cs="黑体" w:hint="eastAsia"/>
          <w:sz w:val="32"/>
          <w:szCs w:val="22"/>
        </w:rPr>
        <w:t xml:space="preserve">  </w:t>
      </w:r>
      <w:r>
        <w:rPr>
          <w:rFonts w:eastAsia="仿宋_GB2312" w:hAnsi="Calibri" w:cs="仿宋_GB2312" w:hint="eastAsia"/>
          <w:sz w:val="32"/>
          <w:szCs w:val="22"/>
        </w:rPr>
        <w:t>依法开设财政零余额账户，严禁违规开设银行账户、私设小金库和公款私存。</w:t>
      </w:r>
    </w:p>
    <w:p w:rsidR="00916F76" w:rsidRDefault="00916F76" w:rsidP="00916F76">
      <w:pPr>
        <w:spacing w:line="560" w:lineRule="exact"/>
        <w:ind w:firstLine="630"/>
        <w:rPr>
          <w:rFonts w:eastAsia="仿宋_GB2312"/>
        </w:rPr>
      </w:pPr>
      <w:r>
        <w:rPr>
          <w:rFonts w:eastAsia="黑体" w:hAnsi="宋体" w:cs="黑体" w:hint="eastAsia"/>
          <w:sz w:val="32"/>
          <w:szCs w:val="22"/>
        </w:rPr>
        <w:t>第二十六条</w:t>
      </w:r>
      <w:r>
        <w:rPr>
          <w:rFonts w:eastAsia="黑体" w:hAnsi="宋体" w:cs="黑体" w:hint="eastAsia"/>
          <w:sz w:val="32"/>
          <w:szCs w:val="22"/>
        </w:rPr>
        <w:t xml:space="preserve">  </w:t>
      </w:r>
      <w:r>
        <w:rPr>
          <w:rFonts w:eastAsia="仿宋_GB2312" w:hAnsi="Calibri" w:cs="仿宋_GB2312" w:hint="eastAsia"/>
          <w:sz w:val="32"/>
          <w:szCs w:val="22"/>
        </w:rPr>
        <w:t>加强债权债务管理，坚持及时清理旧账、杜绝开设新账的原则，按照有关规定程序及时清理往来款项，严禁长期挂账。同时加强内部管理，严禁未经事前批准，擅自发生经费支出、接受有偿服务、置办固定资产、对外提供担保等行为，在事实上形成新的赊欠款项和潜在债务。</w:t>
      </w:r>
    </w:p>
    <w:p w:rsidR="00916F76" w:rsidRDefault="00916F76" w:rsidP="00916F76">
      <w:pPr>
        <w:spacing w:line="560" w:lineRule="exact"/>
        <w:ind w:firstLine="629"/>
        <w:rPr>
          <w:rFonts w:eastAsia="仿宋_GB2312"/>
        </w:rPr>
      </w:pPr>
      <w:r>
        <w:rPr>
          <w:rFonts w:eastAsia="黑体" w:hAnsi="宋体" w:cs="黑体" w:hint="eastAsia"/>
          <w:sz w:val="32"/>
          <w:szCs w:val="22"/>
        </w:rPr>
        <w:t>第二十七条</w:t>
      </w:r>
      <w:r>
        <w:rPr>
          <w:rFonts w:eastAsia="黑体" w:hAnsi="宋体" w:cs="黑体" w:hint="eastAsia"/>
          <w:sz w:val="32"/>
          <w:szCs w:val="22"/>
        </w:rPr>
        <w:t xml:space="preserve">  </w:t>
      </w:r>
      <w:r>
        <w:rPr>
          <w:rFonts w:eastAsia="仿宋_GB2312" w:hAnsi="Calibri" w:cs="仿宋_GB2312" w:hint="eastAsia"/>
          <w:sz w:val="32"/>
          <w:szCs w:val="22"/>
        </w:rPr>
        <w:t>按照规范合理、从严控制、保障工作的原则，合理配置固定资产，严禁超标准、超范围配置固定资产，严禁违反规定和程序购置固定资产。</w:t>
      </w:r>
    </w:p>
    <w:p w:rsidR="00916F76" w:rsidRDefault="00916F76" w:rsidP="00916F76">
      <w:pPr>
        <w:spacing w:line="560" w:lineRule="exact"/>
        <w:ind w:firstLine="629"/>
        <w:rPr>
          <w:rFonts w:eastAsia="仿宋_GB2312"/>
        </w:rPr>
      </w:pPr>
      <w:r>
        <w:rPr>
          <w:rFonts w:eastAsia="黑体" w:hAnsi="宋体" w:cs="黑体" w:hint="eastAsia"/>
          <w:sz w:val="32"/>
          <w:szCs w:val="22"/>
        </w:rPr>
        <w:t>第二十八条</w:t>
      </w:r>
      <w:r>
        <w:rPr>
          <w:rFonts w:eastAsia="黑体" w:hAnsi="宋体" w:cs="黑体" w:hint="eastAsia"/>
          <w:sz w:val="32"/>
          <w:szCs w:val="22"/>
        </w:rPr>
        <w:t xml:space="preserve">  </w:t>
      </w:r>
      <w:r>
        <w:rPr>
          <w:rFonts w:eastAsia="仿宋_GB2312" w:hAnsi="Calibri" w:cs="仿宋_GB2312" w:hint="eastAsia"/>
          <w:sz w:val="32"/>
          <w:szCs w:val="22"/>
        </w:rPr>
        <w:t>加强固定资产日常管理，做好建账、核实和登记工作，及时根据人员变动情况做好资产信息的修改调整，定期进行资产清查盘点，对盘盈、盘亏固定资产及时处理、确保账实相符、账表相符、账卡相符。</w:t>
      </w:r>
    </w:p>
    <w:p w:rsidR="00916F76" w:rsidRDefault="00916F76" w:rsidP="00916F76">
      <w:pPr>
        <w:spacing w:line="560" w:lineRule="exact"/>
        <w:ind w:firstLine="629"/>
        <w:rPr>
          <w:rFonts w:eastAsia="黑体" w:hAnsi="宋体" w:cs="黑体"/>
          <w:sz w:val="32"/>
          <w:szCs w:val="32"/>
        </w:rPr>
      </w:pPr>
      <w:r>
        <w:rPr>
          <w:rFonts w:eastAsia="黑体" w:hAnsi="宋体" w:cs="黑体" w:hint="eastAsia"/>
          <w:sz w:val="32"/>
          <w:szCs w:val="22"/>
        </w:rPr>
        <w:t>第二十九条</w:t>
      </w:r>
      <w:r>
        <w:rPr>
          <w:rFonts w:eastAsia="黑体" w:hAnsi="宋体" w:cs="黑体" w:hint="eastAsia"/>
          <w:sz w:val="32"/>
          <w:szCs w:val="22"/>
        </w:rPr>
        <w:t xml:space="preserve">  </w:t>
      </w:r>
      <w:r>
        <w:rPr>
          <w:rFonts w:eastAsia="仿宋_GB2312" w:hAnsi="Calibri" w:cs="仿宋_GB2312" w:hint="eastAsia"/>
          <w:sz w:val="32"/>
          <w:szCs w:val="22"/>
        </w:rPr>
        <w:t>严格按照有关规定履行审批程序，健全完善内部固定资产管理制度，规范处置固定资产，严禁未经批准，擅自将占有、使用的固定资产对外出租、出借和处置。</w:t>
      </w:r>
    </w:p>
    <w:p w:rsidR="00916F76" w:rsidRDefault="00916F76" w:rsidP="00916F76">
      <w:pPr>
        <w:spacing w:line="560" w:lineRule="exact"/>
        <w:jc w:val="center"/>
        <w:outlineLvl w:val="0"/>
        <w:rPr>
          <w:rFonts w:eastAsia="黑体"/>
        </w:rPr>
      </w:pPr>
      <w:bookmarkStart w:id="12" w:name="_Toc22191"/>
      <w:bookmarkStart w:id="13" w:name="_Toc31683"/>
      <w:r>
        <w:rPr>
          <w:rFonts w:eastAsia="黑体" w:hAnsi="宋体" w:cs="黑体" w:hint="eastAsia"/>
          <w:sz w:val="32"/>
          <w:szCs w:val="22"/>
        </w:rPr>
        <w:t>第七章</w:t>
      </w:r>
      <w:r>
        <w:rPr>
          <w:rFonts w:eastAsia="黑体" w:hAnsi="宋体" w:cs="黑体" w:hint="eastAsia"/>
          <w:sz w:val="32"/>
          <w:szCs w:val="22"/>
        </w:rPr>
        <w:t xml:space="preserve"> </w:t>
      </w:r>
      <w:r>
        <w:rPr>
          <w:rFonts w:eastAsia="黑体" w:hAnsi="宋体" w:cs="黑体" w:hint="eastAsia"/>
          <w:sz w:val="32"/>
          <w:szCs w:val="22"/>
        </w:rPr>
        <w:t>内部监督</w:t>
      </w:r>
      <w:bookmarkEnd w:id="12"/>
      <w:bookmarkEnd w:id="13"/>
    </w:p>
    <w:p w:rsidR="00916F76" w:rsidRDefault="00916F76" w:rsidP="00916F76">
      <w:pPr>
        <w:spacing w:line="560" w:lineRule="exact"/>
        <w:ind w:firstLine="630"/>
        <w:rPr>
          <w:rFonts w:eastAsia="仿宋_GB2312"/>
        </w:rPr>
      </w:pPr>
      <w:r>
        <w:rPr>
          <w:rFonts w:eastAsia="黑体" w:hAnsi="宋体" w:cs="黑体" w:hint="eastAsia"/>
          <w:sz w:val="32"/>
          <w:szCs w:val="22"/>
        </w:rPr>
        <w:t>第三十条</w:t>
      </w:r>
      <w:r>
        <w:rPr>
          <w:rFonts w:eastAsia="黑体" w:hAnsi="宋体" w:cs="黑体" w:hint="eastAsia"/>
          <w:sz w:val="32"/>
          <w:szCs w:val="22"/>
        </w:rPr>
        <w:t xml:space="preserve">  </w:t>
      </w:r>
      <w:r>
        <w:rPr>
          <w:rFonts w:eastAsia="仿宋_GB2312" w:hAnsi="Calibri" w:cs="仿宋_GB2312" w:hint="eastAsia"/>
          <w:sz w:val="32"/>
          <w:szCs w:val="22"/>
        </w:rPr>
        <w:t>健全完善内部监督工作机制。不定期召开会</w:t>
      </w:r>
      <w:r>
        <w:rPr>
          <w:rFonts w:eastAsia="仿宋_GB2312" w:hAnsi="Calibri" w:cs="仿宋_GB2312" w:hint="eastAsia"/>
          <w:sz w:val="32"/>
          <w:szCs w:val="22"/>
        </w:rPr>
        <w:lastRenderedPageBreak/>
        <w:t>议，对财务管理工作进行通报、督办和培训等；开展内部审计，加强对财务工作的检查监督。</w:t>
      </w:r>
    </w:p>
    <w:p w:rsidR="00916F76" w:rsidRDefault="00916F76" w:rsidP="00916F76">
      <w:pPr>
        <w:spacing w:line="560" w:lineRule="exact"/>
        <w:ind w:firstLine="630"/>
        <w:rPr>
          <w:rFonts w:eastAsia="仿宋_GB2312"/>
        </w:rPr>
      </w:pPr>
      <w:r>
        <w:rPr>
          <w:rFonts w:eastAsia="黑体" w:hAnsi="宋体" w:cs="黑体" w:hint="eastAsia"/>
          <w:sz w:val="32"/>
          <w:szCs w:val="22"/>
        </w:rPr>
        <w:t>第三十一条</w:t>
      </w:r>
      <w:r>
        <w:rPr>
          <w:rFonts w:eastAsia="黑体" w:hAnsi="宋体" w:cs="黑体" w:hint="eastAsia"/>
          <w:sz w:val="32"/>
          <w:szCs w:val="22"/>
        </w:rPr>
        <w:t xml:space="preserve">  </w:t>
      </w:r>
      <w:r>
        <w:rPr>
          <w:rFonts w:eastAsia="仿宋_GB2312" w:hAnsi="Calibri" w:cs="仿宋_GB2312" w:hint="eastAsia"/>
          <w:sz w:val="32"/>
          <w:szCs w:val="22"/>
        </w:rPr>
        <w:t>对本单位会计工作负责，对本单位会计资料的真实性、完整性负责。强化经费支出主体责任，经费支出各科室、中队对经费发生的真实性负责。强化财务管理监督责任，规划统计科负责指导和监督国有资产管理，各科室、中队对经费支出的合法合规性负责。</w:t>
      </w:r>
    </w:p>
    <w:p w:rsidR="00916F76" w:rsidRDefault="00916F76" w:rsidP="00916F76">
      <w:pPr>
        <w:spacing w:line="560" w:lineRule="exact"/>
        <w:ind w:firstLine="630"/>
        <w:rPr>
          <w:rFonts w:eastAsia="仿宋_GB2312"/>
        </w:rPr>
      </w:pPr>
      <w:r>
        <w:rPr>
          <w:rFonts w:eastAsia="黑体" w:hAnsi="宋体" w:cs="黑体" w:hint="eastAsia"/>
          <w:sz w:val="32"/>
          <w:szCs w:val="22"/>
        </w:rPr>
        <w:t>第三十二条</w:t>
      </w:r>
      <w:r>
        <w:rPr>
          <w:rFonts w:eastAsia="黑体" w:hAnsi="宋体" w:cs="黑体" w:hint="eastAsia"/>
          <w:sz w:val="32"/>
          <w:szCs w:val="22"/>
        </w:rPr>
        <w:t xml:space="preserve">  </w:t>
      </w:r>
      <w:r>
        <w:rPr>
          <w:rFonts w:eastAsia="仿宋_GB2312" w:hAnsi="Calibri" w:cs="仿宋_GB2312" w:hint="eastAsia"/>
          <w:sz w:val="32"/>
          <w:szCs w:val="22"/>
        </w:rPr>
        <w:t>加强财务人员队伍建设，配备配齐德才兼备的专职财务人员，严禁会计、出纳一人兼任。加强财务人员培训，提升财务人员业务能力水平。</w:t>
      </w:r>
    </w:p>
    <w:p w:rsidR="00916F76" w:rsidRDefault="00916F76" w:rsidP="00916F76">
      <w:pPr>
        <w:spacing w:line="560" w:lineRule="exact"/>
        <w:ind w:firstLine="630"/>
        <w:rPr>
          <w:rFonts w:eastAsia="仿宋_GB2312" w:hAnsi="Calibri" w:cs="仿宋_GB2312"/>
          <w:sz w:val="32"/>
          <w:szCs w:val="22"/>
        </w:rPr>
      </w:pPr>
      <w:r>
        <w:rPr>
          <w:rFonts w:eastAsia="黑体" w:hAnsi="宋体" w:cs="黑体" w:hint="eastAsia"/>
          <w:sz w:val="32"/>
          <w:szCs w:val="22"/>
        </w:rPr>
        <w:t>第三十三条</w:t>
      </w:r>
      <w:r>
        <w:rPr>
          <w:rFonts w:eastAsia="黑体" w:hAnsi="宋体" w:cs="黑体" w:hint="eastAsia"/>
          <w:sz w:val="32"/>
          <w:szCs w:val="22"/>
        </w:rPr>
        <w:t xml:space="preserve">  </w:t>
      </w:r>
      <w:r>
        <w:rPr>
          <w:rFonts w:eastAsia="仿宋_GB2312" w:hAnsi="Calibri" w:cs="仿宋_GB2312" w:hint="eastAsia"/>
          <w:sz w:val="32"/>
          <w:szCs w:val="22"/>
        </w:rPr>
        <w:t>各科室、中队应积极配合巡查组或第三方机构开展巡查、审计等工作，如实提供相关资料及说明文件，认真整改发现的问题。对拒绝提供资料、提供虚假资料、拒不执行巡查或审计结论、威胁报复巡查或审计人员的，依法依规追究有关责任人的责任。对巡查、内审及日常管理工作中发现的违反财政规定、财经纪律等行为，视情按照有关规定进行处理。涉嫌违法的，移交司法机关处理。</w:t>
      </w:r>
    </w:p>
    <w:p w:rsidR="00916F76" w:rsidRDefault="00916F76" w:rsidP="00916F76">
      <w:pPr>
        <w:spacing w:line="560" w:lineRule="exact"/>
        <w:jc w:val="center"/>
        <w:outlineLvl w:val="0"/>
        <w:rPr>
          <w:rFonts w:eastAsia="黑体"/>
        </w:rPr>
      </w:pPr>
      <w:bookmarkStart w:id="14" w:name="_Toc12868"/>
      <w:bookmarkStart w:id="15" w:name="_Toc32515"/>
      <w:r>
        <w:rPr>
          <w:rFonts w:eastAsia="黑体" w:hAnsi="宋体" w:cs="黑体" w:hint="eastAsia"/>
          <w:sz w:val="32"/>
          <w:szCs w:val="22"/>
        </w:rPr>
        <w:t>第八章</w:t>
      </w:r>
      <w:r>
        <w:rPr>
          <w:rFonts w:eastAsia="黑体" w:hAnsi="宋体" w:cs="黑体" w:hint="eastAsia"/>
          <w:sz w:val="32"/>
          <w:szCs w:val="22"/>
        </w:rPr>
        <w:t xml:space="preserve"> </w:t>
      </w:r>
      <w:r>
        <w:rPr>
          <w:rFonts w:eastAsia="黑体" w:hAnsi="宋体" w:cs="黑体" w:hint="eastAsia"/>
          <w:sz w:val="32"/>
          <w:szCs w:val="22"/>
        </w:rPr>
        <w:t>附则</w:t>
      </w:r>
      <w:bookmarkEnd w:id="14"/>
      <w:bookmarkEnd w:id="15"/>
    </w:p>
    <w:p w:rsidR="00916F76" w:rsidRDefault="00916F76" w:rsidP="00916F76">
      <w:pPr>
        <w:spacing w:line="560" w:lineRule="exact"/>
        <w:ind w:firstLine="630"/>
        <w:rPr>
          <w:rFonts w:eastAsia="仿宋_GB2312"/>
        </w:rPr>
      </w:pPr>
      <w:r>
        <w:rPr>
          <w:rFonts w:eastAsia="黑体" w:hAnsi="宋体" w:cs="黑体" w:hint="eastAsia"/>
          <w:sz w:val="32"/>
          <w:szCs w:val="22"/>
        </w:rPr>
        <w:t>第三十四条</w:t>
      </w:r>
      <w:r>
        <w:rPr>
          <w:rFonts w:eastAsia="黑体" w:hAnsi="宋体" w:cs="黑体" w:hint="eastAsia"/>
          <w:sz w:val="32"/>
          <w:szCs w:val="22"/>
        </w:rPr>
        <w:t xml:space="preserve"> </w:t>
      </w:r>
      <w:r>
        <w:rPr>
          <w:rFonts w:eastAsia="仿宋_GB2312" w:hAnsi="Calibri" w:cs="仿宋_GB2312" w:hint="eastAsia"/>
          <w:sz w:val="32"/>
          <w:szCs w:val="22"/>
        </w:rPr>
        <w:t>本办法由规划统计科责解释。</w:t>
      </w:r>
    </w:p>
    <w:p w:rsidR="00916F76" w:rsidRDefault="00916F76" w:rsidP="00916F76">
      <w:pPr>
        <w:spacing w:line="560" w:lineRule="exact"/>
        <w:ind w:firstLine="630"/>
      </w:pPr>
      <w:r>
        <w:rPr>
          <w:rFonts w:eastAsia="黑体" w:hAnsi="宋体" w:cs="黑体" w:hint="eastAsia"/>
          <w:sz w:val="32"/>
          <w:szCs w:val="22"/>
        </w:rPr>
        <w:t>第三十五条</w:t>
      </w:r>
      <w:r>
        <w:rPr>
          <w:rFonts w:eastAsia="黑体" w:hAnsi="宋体" w:cs="黑体" w:hint="eastAsia"/>
          <w:sz w:val="32"/>
          <w:szCs w:val="22"/>
        </w:rPr>
        <w:t xml:space="preserve">  </w:t>
      </w:r>
      <w:r>
        <w:rPr>
          <w:rFonts w:ascii="仿宋_GB2312" w:eastAsia="仿宋_GB2312" w:hint="eastAsia"/>
          <w:kern w:val="0"/>
          <w:sz w:val="32"/>
          <w:szCs w:val="32"/>
        </w:rPr>
        <w:t>本办法自颁布之日起施行。实施过程中与国家、省、市新颁布的规定不一致的，以新规定为准</w:t>
      </w:r>
      <w:r>
        <w:rPr>
          <w:rFonts w:eastAsia="仿宋_GB2312" w:hAnsi="Calibri" w:cs="仿宋_GB2312" w:hint="eastAsia"/>
          <w:sz w:val="32"/>
          <w:szCs w:val="22"/>
        </w:rPr>
        <w:t>。</w:t>
      </w:r>
    </w:p>
    <w:p w:rsidR="00365BE6" w:rsidRPr="00916F76" w:rsidRDefault="00365BE6"/>
    <w:sectPr w:rsidR="00365BE6" w:rsidRPr="00916F76" w:rsidSect="00565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C6A" w:rsidRDefault="00111C6A" w:rsidP="00F50EC4">
      <w:r>
        <w:separator/>
      </w:r>
    </w:p>
  </w:endnote>
  <w:endnote w:type="continuationSeparator" w:id="1">
    <w:p w:rsidR="00111C6A" w:rsidRDefault="00111C6A" w:rsidP="00F50E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C6A" w:rsidRDefault="00111C6A" w:rsidP="00F50EC4">
      <w:r>
        <w:separator/>
      </w:r>
    </w:p>
  </w:footnote>
  <w:footnote w:type="continuationSeparator" w:id="1">
    <w:p w:rsidR="00111C6A" w:rsidRDefault="00111C6A" w:rsidP="00F50E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9DD30E1"/>
    <w:multiLevelType w:val="multilevel"/>
    <w:tmpl w:val="E9DD30E1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0EC4"/>
    <w:rsid w:val="00111C6A"/>
    <w:rsid w:val="00320992"/>
    <w:rsid w:val="00365BE6"/>
    <w:rsid w:val="005379C2"/>
    <w:rsid w:val="0056591F"/>
    <w:rsid w:val="00916F76"/>
    <w:rsid w:val="00F50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E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916F76"/>
    <w:pPr>
      <w:keepNext/>
      <w:keepLines/>
      <w:numPr>
        <w:numId w:val="1"/>
      </w:numPr>
      <w:spacing w:line="600" w:lineRule="exact"/>
      <w:ind w:firstLine="0"/>
      <w:outlineLvl w:val="0"/>
    </w:pPr>
    <w:rPr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0E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0E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0E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0EC4"/>
    <w:rPr>
      <w:sz w:val="18"/>
      <w:szCs w:val="18"/>
    </w:rPr>
  </w:style>
  <w:style w:type="paragraph" w:styleId="a5">
    <w:name w:val="Normal (Web)"/>
    <w:basedOn w:val="a"/>
    <w:rsid w:val="00F50E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32"/>
    </w:rPr>
  </w:style>
  <w:style w:type="character" w:customStyle="1" w:styleId="1Char">
    <w:name w:val="标题 1 Char"/>
    <w:basedOn w:val="a0"/>
    <w:link w:val="1"/>
    <w:rsid w:val="00916F76"/>
    <w:rPr>
      <w:rFonts w:ascii="Times New Roman" w:eastAsia="宋体" w:hAnsi="Times New Roman" w:cs="Times New Roman"/>
      <w:b/>
      <w:bCs/>
      <w:kern w:val="44"/>
      <w:sz w:val="32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455</Words>
  <Characters>2598</Characters>
  <Application>Microsoft Office Word</Application>
  <DocSecurity>0</DocSecurity>
  <Lines>21</Lines>
  <Paragraphs>6</Paragraphs>
  <ScaleCrop>false</ScaleCrop>
  <Company>微软中国</Company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资产管理员</cp:lastModifiedBy>
  <cp:revision>4</cp:revision>
  <dcterms:created xsi:type="dcterms:W3CDTF">2019-05-08T07:30:00Z</dcterms:created>
  <dcterms:modified xsi:type="dcterms:W3CDTF">2021-02-26T04:20:00Z</dcterms:modified>
</cp:coreProperties>
</file>