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 w:lineRule="exact"/>
      </w:pPr>
      <w:r>
        <w:rPr>
          <w:rFonts w:ascii="Calibri" w:hAnsi="Calibri" w:eastAsia="宋体" w:cs="黑体"/>
          <w:kern w:val="2"/>
          <w:sz w:val="21"/>
          <w:szCs w:val="22"/>
          <w:lang w:val="en-US" w:eastAsia="zh-CN" w:bidi="ar-SA"/>
        </w:rPr>
        <mc:AlternateContent>
          <mc:Choice Requires="wps">
            <w:drawing>
              <wp:anchor distT="0" distB="0" distL="114300" distR="114300" simplePos="0" relativeHeight="251659264" behindDoc="0" locked="0" layoutInCell="1" hidden="true" allowOverlap="1">
                <wp:simplePos x="0" y="0"/>
                <wp:positionH relativeFrom="column">
                  <wp:posOffset>0</wp:posOffset>
                </wp:positionH>
                <wp:positionV relativeFrom="paragraph">
                  <wp:posOffset>0</wp:posOffset>
                </wp:positionV>
                <wp:extent cx="635000" cy="635000"/>
                <wp:effectExtent l="0" t="0" r="0" b="0"/>
                <wp:wrapNone/>
                <wp:docPr id="1" name="polygon2" hidden="true"/>
                <wp:cNvGraphicFramePr/>
                <a:graphic xmlns:a="http://schemas.openxmlformats.org/drawingml/2006/main">
                  <a:graphicData uri="http://schemas.microsoft.com/office/word/2010/wordprocessingShape">
                    <wps:wsp>
                      <wps:cNvSpPr/>
                      <wps:spPr>
                        <a:xfrm>
                          <a:off x="0" y="0"/>
                          <a:ext cx="635000" cy="635000"/>
                        </a:xfrm>
                        <a:custGeom>
                          <a:avLst/>
                          <a:gdLst/>
                          <a:ahLst/>
                          <a:cxnLst/>
                          <a:pathLst/>
                        </a:custGeom>
                        <a:solidFill>
                          <a:srgbClr val="FFFFFF"/>
                        </a:solidFill>
                        <a:ln w="9525" cap="flat" cmpd="sng">
                          <a:solidFill>
                            <a:srgbClr val="000000"/>
                          </a:solidFill>
                          <a:prstDash val="solid"/>
                          <a:headEnd type="none" w="med" len="med"/>
                          <a:tailEnd type="none" w="med" len="med"/>
                        </a:ln>
                      </wps:spPr>
                      <wps:bodyPr upright="true"/>
                    </wps:wsp>
                  </a:graphicData>
                </a:graphic>
              </wp:anchor>
            </w:drawing>
          </mc:Choice>
          <mc:Fallback>
            <w:pict>
              <v:shape id="polygon2" o:spid="_x0000_s1026" o:spt="100" style="position:absolute;left:0pt;margin-left:0pt;margin-top:0pt;height:50pt;width:50pt;visibility:hidden;z-index:251659264;mso-width-relative:page;mso-height-relative:page;" fillcolor="#FFFFFF" filled="t" stroked="t" coordsize="635000,635000" o:gfxdata="UEsFBgAAAAAAAAAAAAAAAAAAAAAAAFBLAwQKAAAAAACHTuJAAAAAAAAAAAAAAAAABAAAAGRycy9Q&#10;SwMEFAAAAAgAh07iQPH0JCzRAAAABQEAAA8AAABkcnMvZG93bnJldi54bWxNj0FLw0AQhe+C/2EZ&#10;wZvdbdVS0mxKKXgQBG3qweM0OybB7GzIbtP6752KYC/DPN7w5nv56uQ7NdIQ28AWphMDirgKruXa&#10;wvvu6W4BKiZkh11gsvBNEVbF9VWOmQtH3tJYplpJCMcMLTQp9ZnWsWrIY5yEnli8zzB4TCKHWrsB&#10;jxLuOz0zZq49tiwfGuxp01D1VR68hfU488ZQvG/LN/fy+vz4sa3GB2tvb6ZmCSrRKf0fwxlf0KEQ&#10;pn04sIuqsyBF0u88e8aI3P8tusj1JX3xA1BLAwQUAAAACACHTuJAxqkjxd0BAAD1AwAADgAAAGRy&#10;cy9lMm9Eb2MueG1srVNNj9MwEL0j8R8s32myRV1B1HQPlHJBsNKyP2BqO4klf8njNs2/Z+ym3S1w&#10;QIge3LE98zLvPc/64WQNO6qI2ruW3y1qzpQTXmrXt/z5x+7dB84wgZNgvFMtnxTyh83bN+sxNGrp&#10;B2+kioxAHDZjaPmQUmiqCsWgLODCB+XosvPRQqJt7CsZYSR0a6plXd9Xo48yRC8UIp1uz5d8U/C7&#10;Ton0vetQJWZaTr2lssay7vNabdbQ9BHCoMXcBvxDFxa0o49eobaQgB2i/g3KahE9+i4thLeV7zot&#10;VOFAbO7qX9g8DRBU4ULiYLjKhP8PVnw7PkamJXnHmQNLFgVvpt67JWeDllKRrSkeVFZqDNhQwVN4&#10;jPMOKcy0T120+Z8IsVNRd7qqq06JCTq8f7+qa/JA0NUcE0r1UiwOmL4oX4Dg+BXT2Rx5iWC4ROLk&#10;LmGANB8T0msE9EbLnTYm94Wx338ykR2B3sGu/DIhKrlJM46NLf+4Wq6oTaDn2BlIFNpAAqHri8U3&#10;FTfARC8z/ANwiJi2gMO5gYKQ06AZFMjPTrI0BZLe0Yzw3IJVkjOTtc9RyUygzd9kEifjiFo262xP&#10;jvZeTmT0IUTdDzQFF0tLGr2tosU8B/nxvt4XsJdp3f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8fQkLNEAAAAFAQAADwAAAAAAAAABACAAAAA4AAAAZHJzL2Rvd25yZXYueG1sUEsBAhQAFAAAAAgA&#10;h07iQMapI8XdAQAA9QMAAA4AAAAAAAAAAQAgAAAANgEAAGRycy9lMm9Eb2MueG1sUEsFBgAAAAAG&#10;AAYAWQEAAIUFAAAAAA==&#10;">
                <v:fill on="t" focussize="0,0"/>
                <v:stroke color="#000000" joinstyle="round"/>
                <v:imagedata o:title=""/>
                <o:lock v:ext="edit" aspectratio="f"/>
              </v:shape>
            </w:pict>
          </mc:Fallback>
        </mc:AlternateContent>
      </w:r>
      <w:bookmarkStart w:id="0" w:name="_bookmark0"/>
      <w:bookmarkEnd w:id="0"/>
      <w:r>
        <w:rPr>
          <w:rFonts w:ascii="Calibri" w:hAnsi="Calibri" w:eastAsia="宋体" w:cs="黑体"/>
          <w:kern w:val="2"/>
          <w:sz w:val="21"/>
          <w:szCs w:val="22"/>
          <w:lang w:val="en-US" w:eastAsia="zh-CN" w:bidi="ar-SA"/>
        </w:rPr>
        <mc:AlternateContent>
          <mc:Choice Requires="wps">
            <w:drawing>
              <wp:anchor distT="0" distB="0" distL="114300" distR="114300" simplePos="0" relativeHeight="251660288" behindDoc="0" locked="0" layoutInCell="1" hidden="true" allowOverlap="1">
                <wp:simplePos x="0" y="0"/>
                <wp:positionH relativeFrom="column">
                  <wp:posOffset>0</wp:posOffset>
                </wp:positionH>
                <wp:positionV relativeFrom="paragraph">
                  <wp:posOffset>0</wp:posOffset>
                </wp:positionV>
                <wp:extent cx="635000" cy="635000"/>
                <wp:effectExtent l="0" t="0" r="0" b="0"/>
                <wp:wrapNone/>
                <wp:docPr id="2" name="polygon3" hidden="true"/>
                <wp:cNvGraphicFramePr/>
                <a:graphic xmlns:a="http://schemas.openxmlformats.org/drawingml/2006/main">
                  <a:graphicData uri="http://schemas.microsoft.com/office/word/2010/wordprocessingShape">
                    <wps:wsp>
                      <wps:cNvSpPr/>
                      <wps:spPr>
                        <a:xfrm>
                          <a:off x="0" y="0"/>
                          <a:ext cx="635000" cy="635000"/>
                        </a:xfrm>
                        <a:custGeom>
                          <a:avLst/>
                          <a:gdLst/>
                          <a:ahLst/>
                          <a:cxnLst/>
                          <a:pathLst/>
                        </a:custGeom>
                        <a:solidFill>
                          <a:srgbClr val="FFFFFF"/>
                        </a:solidFill>
                        <a:ln w="9525" cap="flat" cmpd="sng">
                          <a:solidFill>
                            <a:srgbClr val="000000"/>
                          </a:solidFill>
                          <a:prstDash val="solid"/>
                          <a:headEnd type="none" w="med" len="med"/>
                          <a:tailEnd type="none" w="med" len="med"/>
                        </a:ln>
                      </wps:spPr>
                      <wps:bodyPr upright="true"/>
                    </wps:wsp>
                  </a:graphicData>
                </a:graphic>
              </wp:anchor>
            </w:drawing>
          </mc:Choice>
          <mc:Fallback>
            <w:pict>
              <v:shape id="polygon3" o:spid="_x0000_s1026" o:spt="100" style="position:absolute;left:0pt;margin-left:0pt;margin-top:0pt;height:50pt;width:50pt;visibility:hidden;z-index:251660288;mso-width-relative:page;mso-height-relative:page;" fillcolor="#FFFFFF" filled="t" stroked="t" coordsize="635000,635000" o:gfxdata="UEsFBgAAAAAAAAAAAAAAAAAAAAAAAFBLAwQKAAAAAACHTuJAAAAAAAAAAAAAAAAABAAAAGRycy9Q&#10;SwMEFAAAAAgAh07iQPH0JCzRAAAABQEAAA8AAABkcnMvZG93bnJldi54bWxNj0FLw0AQhe+C/2EZ&#10;wZvdbdVS0mxKKXgQBG3qweM0OybB7GzIbtP6752KYC/DPN7w5nv56uQ7NdIQ28AWphMDirgKruXa&#10;wvvu6W4BKiZkh11gsvBNEVbF9VWOmQtH3tJYplpJCMcMLTQp9ZnWsWrIY5yEnli8zzB4TCKHWrsB&#10;jxLuOz0zZq49tiwfGuxp01D1VR68hfU488ZQvG/LN/fy+vz4sa3GB2tvb6ZmCSrRKf0fwxlf0KEQ&#10;pn04sIuqsyBF0u88e8aI3P8tusj1JX3xA1BLAwQUAAAACACHTuJA2lRgAd0BAAD1AwAADgAAAGRy&#10;cy9lMm9Eb2MueG1srVNNj9MwEL0j8R8s32myXXUFUdM9UMoFwUoLP2BqO4klf8njNs2/Z+ym3S1w&#10;QIge3LE98zLvPc/68WQNO6qI2ruW3y1qzpQTXmrXt/zH992795xhAifBeKdaPinkj5u3b9ZjaNTS&#10;D95IFRmBOGzG0PIhpdBUFYpBWcCFD8rRZeejhUTb2Fcywkjo1lTLun6oRh9liF4oRDrdni/5puB3&#10;nRLpW9ehSsy0nHpLZY1l3ee12qyh6SOEQYu5DfiHLixoRx+9Qm0hATtE/RuU1SJ69F1aCG8r33Va&#10;qMKB2NzVv7B5HiCowoXEwXCVCf8frPh6fIpMy5YvOXNgyaLgzdR7d8/ZoKVUZGuKB5WVGgM2VPAc&#10;nuK8Qwoz7VMXbf4nQuxU1J2u6qpTYoIOH+5XdU0eCLqaY0KpXorFAdNn5QsQHL9gOpsjLxEMl0ic&#10;3CUMkOZjQnqNgN5oudPG5L4w9vuPJrIj0DvYlV8mRCU3acaxseUfVssVtQn0HDsDiUIbSCB0fbH4&#10;puIGmOhlhn8ADhHTFnA4N1AQcho0gwL5yUmWpkDSO5oRnluwSnJmsvY5KpkJtPmbTOJkHFHLZp3t&#10;ydHey4mMPoSo+4Gm4GJpSaO3VbSY5yA/3tf7AvYyrZ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8fQkLNEAAAAFAQAADwAAAAAAAAABACAAAAA4AAAAZHJzL2Rvd25yZXYueG1sUEsBAhQAFAAAAAgA&#10;h07iQNpUYAHdAQAA9QMAAA4AAAAAAAAAAQAgAAAANgEAAGRycy9lMm9Eb2MueG1sUEsFBgAAAAAG&#10;AAYAWQEAAIUFAAAAAA==&#10;">
                <v:fill on="t" focussize="0,0"/>
                <v:stroke color="#000000" joinstyle="round"/>
                <v:imagedata o:title=""/>
                <o:lock v:ext="edit" aspectratio="f"/>
              </v:shape>
            </w:pict>
          </mc:Fallback>
        </mc:AlternateContent>
      </w:r>
      <w:r>
        <w:rPr>
          <w:rFonts w:ascii="Calibri" w:hAnsi="Calibri" w:eastAsia="宋体" w:cs="黑体"/>
          <w:kern w:val="2"/>
          <w:sz w:val="21"/>
          <w:szCs w:val="22"/>
          <w:lang w:val="en-US" w:eastAsia="zh-CN" w:bidi="ar-SA"/>
        </w:rPr>
        <mc:AlternateContent>
          <mc:Choice Requires="wps">
            <w:drawing>
              <wp:anchor distT="0" distB="0" distL="114300" distR="114300" simplePos="0" relativeHeight="251661312" behindDoc="0" locked="0" layoutInCell="1" hidden="true" allowOverlap="1">
                <wp:simplePos x="0" y="0"/>
                <wp:positionH relativeFrom="column">
                  <wp:posOffset>0</wp:posOffset>
                </wp:positionH>
                <wp:positionV relativeFrom="paragraph">
                  <wp:posOffset>0</wp:posOffset>
                </wp:positionV>
                <wp:extent cx="635000" cy="635000"/>
                <wp:effectExtent l="0" t="0" r="0" b="0"/>
                <wp:wrapNone/>
                <wp:docPr id="3" name="polygon4" hidden="true"/>
                <wp:cNvGraphicFramePr/>
                <a:graphic xmlns:a="http://schemas.openxmlformats.org/drawingml/2006/main">
                  <a:graphicData uri="http://schemas.microsoft.com/office/word/2010/wordprocessingShape">
                    <wps:wsp>
                      <wps:cNvSpPr/>
                      <wps:spPr>
                        <a:xfrm>
                          <a:off x="0" y="0"/>
                          <a:ext cx="635000" cy="635000"/>
                        </a:xfrm>
                        <a:custGeom>
                          <a:avLst/>
                          <a:gdLst/>
                          <a:ahLst/>
                          <a:cxnLst/>
                          <a:pathLst/>
                        </a:custGeom>
                        <a:solidFill>
                          <a:srgbClr val="FFFFFF"/>
                        </a:solidFill>
                        <a:ln w="9525" cap="flat" cmpd="sng">
                          <a:solidFill>
                            <a:srgbClr val="000000"/>
                          </a:solidFill>
                          <a:prstDash val="solid"/>
                          <a:headEnd type="none" w="med" len="med"/>
                          <a:tailEnd type="none" w="med" len="med"/>
                        </a:ln>
                      </wps:spPr>
                      <wps:bodyPr upright="true"/>
                    </wps:wsp>
                  </a:graphicData>
                </a:graphic>
              </wp:anchor>
            </w:drawing>
          </mc:Choice>
          <mc:Fallback>
            <w:pict>
              <v:shape id="polygon4" o:spid="_x0000_s1026" o:spt="100" style="position:absolute;left:0pt;margin-left:0pt;margin-top:0pt;height:50pt;width:50pt;visibility:hidden;z-index:251661312;mso-width-relative:page;mso-height-relative:page;" fillcolor="#FFFFFF" filled="t" stroked="t" coordsize="635000,635000" o:gfxdata="UEsFBgAAAAAAAAAAAAAAAAAAAAAAAFBLAwQKAAAAAACHTuJAAAAAAAAAAAAAAAAABAAAAGRycy9Q&#10;SwMEFAAAAAgAh07iQPH0JCzRAAAABQEAAA8AAABkcnMvZG93bnJldi54bWxNj0FLw0AQhe+C/2EZ&#10;wZvdbdVS0mxKKXgQBG3qweM0OybB7GzIbtP6752KYC/DPN7w5nv56uQ7NdIQ28AWphMDirgKruXa&#10;wvvu6W4BKiZkh11gsvBNEVbF9VWOmQtH3tJYplpJCMcMLTQp9ZnWsWrIY5yEnli8zzB4TCKHWrsB&#10;jxLuOz0zZq49tiwfGuxp01D1VR68hfU488ZQvG/LN/fy+vz4sa3GB2tvb6ZmCSrRKf0fwxlf0KEQ&#10;pn04sIuqsyBF0u88e8aI3P8tusj1JX3xA1BLAwQUAAAACACHTuJAchbtFt4BAAD1AwAADgAAAGRy&#10;cy9lMm9Eb2MueG1srVPLbtswELwX6D8QvNdSnDpoBcs51HUvRRsg6QesSUoiwBe4tCX/fZf0I3Gb&#10;Q1DUB3pJ7o52ZrjL+8katlcRtXctv5nVnCknvNSub/mvp82HT5xhAifBeKdaflDI71fv3y3H0Ki5&#10;H7yRKjICcdiMoeVDSqGpKhSDsoAzH5Sjy85HC4m2sa9khJHQranmdX1XjT7KEL1QiHS6Pl7yVcHv&#10;OiXSz65DlZhpOfWWyhrLus1rtVpC00cIgxanNuAfurCgHX30ArWGBGwX9V9QVovo0XdpJrytfNdp&#10;oQoHYnNT/8HmcYCgChcSB8NFJvx/sOLH/iEyLVt+y5kDSxYFbw69dx85G7SUimxNcaeyUmPAhgoe&#10;w0M87ZDCTHvqos3/RIhNRd3DRV01JSbo8O52UdfkgaCrU0wo1XOx2GH6pnwBgv13TEdz5DmC4RyJ&#10;yZ3DAOl0TEgvEdAbLTfamNwXxn77xUS2B3oHm/LLhKjkKs04Nrb882K+oDaBnmNnIFFoAwmEri8W&#10;X1VcARO9zPAV4BAxrQGHYwMFIadBMyiQX51k6RBIekczwnMLVknOTNY+RyUzgTZvySROxhG1bNbR&#10;nhxtvTyQ0bsQdT/QFJwtLWn0tooWpznIj/flvoA9T+v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PH0JCzRAAAABQEAAA8AAAAAAAAAAQAgAAAAOAAAAGRycy9kb3ducmV2LnhtbFBLAQIUABQAAAAI&#10;AIdO4kByFu0W3gEAAPUDAAAOAAAAAAAAAAEAIAAAADYBAABkcnMvZTJvRG9jLnhtbFBLBQYAAAAA&#10;BgAGAFkBAACGBQAAAAA=&#10;">
                <v:fill on="t" focussize="0,0"/>
                <v:stroke color="#000000" joinstyle="round"/>
                <v:imagedata o:title=""/>
                <o:lock v:ext="edit" aspectratio="f"/>
              </v:shape>
            </w:pict>
          </mc:Fallback>
        </mc:AlternateContent>
      </w:r>
      <w:r>
        <w:rPr>
          <w:rFonts w:ascii="Calibri" w:hAnsi="Calibri" w:eastAsia="宋体" w:cs="黑体"/>
          <w:kern w:val="2"/>
          <w:sz w:val="21"/>
          <w:szCs w:val="22"/>
          <w:lang w:val="en-US" w:eastAsia="zh-CN" w:bidi="ar-SA"/>
        </w:rPr>
        <mc:AlternateContent>
          <mc:Choice Requires="wps">
            <w:drawing>
              <wp:anchor distT="0" distB="0" distL="114300" distR="114300" simplePos="0" relativeHeight="251662336" behindDoc="0" locked="0" layoutInCell="1" hidden="true" allowOverlap="1">
                <wp:simplePos x="0" y="0"/>
                <wp:positionH relativeFrom="column">
                  <wp:posOffset>0</wp:posOffset>
                </wp:positionH>
                <wp:positionV relativeFrom="paragraph">
                  <wp:posOffset>0</wp:posOffset>
                </wp:positionV>
                <wp:extent cx="635000" cy="635000"/>
                <wp:effectExtent l="0" t="0" r="0" b="0"/>
                <wp:wrapNone/>
                <wp:docPr id="4" name="polygon5" hidden="true"/>
                <wp:cNvGraphicFramePr/>
                <a:graphic xmlns:a="http://schemas.openxmlformats.org/drawingml/2006/main">
                  <a:graphicData uri="http://schemas.microsoft.com/office/word/2010/wordprocessingShape">
                    <wps:wsp>
                      <wps:cNvSpPr/>
                      <wps:spPr>
                        <a:xfrm>
                          <a:off x="0" y="0"/>
                          <a:ext cx="635000" cy="635000"/>
                        </a:xfrm>
                        <a:custGeom>
                          <a:avLst/>
                          <a:gdLst/>
                          <a:ahLst/>
                          <a:cxnLst/>
                          <a:pathLst/>
                        </a:custGeom>
                        <a:solidFill>
                          <a:srgbClr val="FFFFFF"/>
                        </a:solidFill>
                        <a:ln w="9525" cap="flat" cmpd="sng">
                          <a:solidFill>
                            <a:srgbClr val="000000"/>
                          </a:solidFill>
                          <a:prstDash val="solid"/>
                          <a:headEnd type="none" w="med" len="med"/>
                          <a:tailEnd type="none" w="med" len="med"/>
                        </a:ln>
                      </wps:spPr>
                      <wps:bodyPr upright="true"/>
                    </wps:wsp>
                  </a:graphicData>
                </a:graphic>
              </wp:anchor>
            </w:drawing>
          </mc:Choice>
          <mc:Fallback>
            <w:pict>
              <v:shape id="polygon5" o:spid="_x0000_s1026" o:spt="100" style="position:absolute;left:0pt;margin-left:0pt;margin-top:0pt;height:50pt;width:50pt;visibility:hidden;z-index:251662336;mso-width-relative:page;mso-height-relative:page;" fillcolor="#FFFFFF" filled="t" stroked="t" coordsize="635000,635000" o:gfxdata="UEsFBgAAAAAAAAAAAAAAAAAAAAAAAFBLAwQKAAAAAACHTuJAAAAAAAAAAAAAAAAABAAAAGRycy9Q&#10;SwMEFAAAAAgAh07iQPH0JCzRAAAABQEAAA8AAABkcnMvZG93bnJldi54bWxNj0FLw0AQhe+C/2EZ&#10;wZvdbdVS0mxKKXgQBG3qweM0OybB7GzIbtP6752KYC/DPN7w5nv56uQ7NdIQ28AWphMDirgKruXa&#10;wvvu6W4BKiZkh11gsvBNEVbF9VWOmQtH3tJYplpJCMcMLTQp9ZnWsWrIY5yEnli8zzB4TCKHWrsB&#10;jxLuOz0zZq49tiwfGuxp01D1VR68hfU488ZQvG/LN/fy+vz4sa3GB2tvb6ZmCSrRKf0fwxlf0KEQ&#10;pn04sIuqsyBF0u88e8aI3P8tusj1JX3xA1BLAwQUAAAACACHTuJA0bX8LN0BAAD1AwAADgAAAGRy&#10;cy9lMm9Eb2MueG1srVNNj9MwEL0j8R8s32myha4garoHSrkgWGnhB0xtJ7HkL3ncJvn3jN2P3QIH&#10;hOjBHdszL/Pe86wfJmvYUUXU3rX8blFzppzwUru+5T++79685wwTOAnGO9XyWSF/2Lx+tR5Do5Z+&#10;8EaqyAjEYTOGlg8phaaqUAzKAi58UI4uOx8tJNrGvpIRRkK3plrW9X01+ihD9EIh0un2dMk3Bb/r&#10;lEjfug5VYqbl1FsqayzrPq/VZg1NHyEMWpzbgH/owoJ29NEr1BYSsEPUv0FZLaJH36WF8LbyXaeF&#10;KhyIzV39C5unAYIqXEgcDFeZ8P/Biq/Hx8i0bPk7zhxYsih4M/ferTgbtJSKbE3xoLJSY8CGCp7C&#10;YzzvkMJMe+qizf9EiE1F3fmqrpoSE3R4/3ZV1+SBoKtzTCjVc7E4YPqsfAGC4xdMJ3PkJYLhEonJ&#10;XcIA6XxMSC8R0Bstd9qY3BfGfv/RRHYEege78suEqOQmzTg2tvzDaknkBdBz7AwkCm0ggdD1xeKb&#10;ihtgopcZ/gE4RExbwOHUQEHIadAMCuQnJ1maA0nvaEZ4bsEqyZnJ2ueoZCbQ5m8yiZNxRC2bdbIn&#10;R3svZzL6EKLuB5qCi6Uljd5W0eI8B/nxvtwXsOdp3f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8fQkLNEAAAAFAQAADwAAAAAAAAABACAAAAA4AAAAZHJzL2Rvd25yZXYueG1sUEsBAhQAFAAAAAgA&#10;h07iQNG1/CzdAQAA9QMAAA4AAAAAAAAAAQAgAAAANgEAAGRycy9lMm9Eb2MueG1sUEsFBgAAAAAG&#10;AAYAWQEAAIUFAAAAAA==&#10;">
                <v:fill on="t" focussize="0,0"/>
                <v:stroke color="#000000" joinstyle="round"/>
                <v:imagedata o:title=""/>
                <o:lock v:ext="edit" aspectratio="f"/>
              </v:shape>
            </w:pict>
          </mc:Fallback>
        </mc:AlternateContent>
      </w:r>
      <w:r>
        <w:rPr>
          <w:rFonts w:ascii="Calibri" w:hAnsi="Calibri" w:eastAsia="宋体" w:cs="黑体"/>
          <w:kern w:val="2"/>
          <w:sz w:val="21"/>
          <w:szCs w:val="22"/>
          <w:lang w:val="en-US" w:eastAsia="zh-CN" w:bidi="ar-SA"/>
        </w:rPr>
        <mc:AlternateContent>
          <mc:Choice Requires="wps">
            <w:drawing>
              <wp:anchor distT="0" distB="0" distL="114300" distR="114300" simplePos="0" relativeHeight="251663360" behindDoc="0" locked="0" layoutInCell="1" hidden="true" allowOverlap="1">
                <wp:simplePos x="0" y="0"/>
                <wp:positionH relativeFrom="column">
                  <wp:posOffset>0</wp:posOffset>
                </wp:positionH>
                <wp:positionV relativeFrom="paragraph">
                  <wp:posOffset>0</wp:posOffset>
                </wp:positionV>
                <wp:extent cx="635000" cy="635000"/>
                <wp:effectExtent l="0" t="0" r="0" b="0"/>
                <wp:wrapNone/>
                <wp:docPr id="5" name="polygon6" hidden="true"/>
                <wp:cNvGraphicFramePr/>
                <a:graphic xmlns:a="http://schemas.openxmlformats.org/drawingml/2006/main">
                  <a:graphicData uri="http://schemas.microsoft.com/office/word/2010/wordprocessingShape">
                    <wps:wsp>
                      <wps:cNvSpPr/>
                      <wps:spPr>
                        <a:xfrm>
                          <a:off x="0" y="0"/>
                          <a:ext cx="635000" cy="635000"/>
                        </a:xfrm>
                        <a:custGeom>
                          <a:avLst/>
                          <a:gdLst/>
                          <a:ahLst/>
                          <a:cxnLst/>
                          <a:pathLst/>
                        </a:custGeom>
                        <a:solidFill>
                          <a:srgbClr val="FFFFFF"/>
                        </a:solidFill>
                        <a:ln w="9525" cap="flat" cmpd="sng">
                          <a:solidFill>
                            <a:srgbClr val="000000"/>
                          </a:solidFill>
                          <a:prstDash val="solid"/>
                          <a:headEnd type="none" w="med" len="med"/>
                          <a:tailEnd type="none" w="med" len="med"/>
                        </a:ln>
                      </wps:spPr>
                      <wps:bodyPr upright="true"/>
                    </wps:wsp>
                  </a:graphicData>
                </a:graphic>
              </wp:anchor>
            </w:drawing>
          </mc:Choice>
          <mc:Fallback>
            <w:pict>
              <v:shape id="polygon6" o:spid="_x0000_s1026" o:spt="100" style="position:absolute;left:0pt;margin-left:0pt;margin-top:0pt;height:50pt;width:50pt;visibility:hidden;z-index:251663360;mso-width-relative:page;mso-height-relative:page;" fillcolor="#FFFFFF" filled="t" stroked="t" coordsize="635000,635000" o:gfxdata="UEsFBgAAAAAAAAAAAAAAAAAAAAAAAFBLAwQKAAAAAACHTuJAAAAAAAAAAAAAAAAABAAAAGRycy9Q&#10;SwMEFAAAAAgAh07iQPH0JCzRAAAABQEAAA8AAABkcnMvZG93bnJldi54bWxNj0FLw0AQhe+C/2EZ&#10;wZvdbdVS0mxKKXgQBG3qweM0OybB7GzIbtP6752KYC/DPN7w5nv56uQ7NdIQ28AWphMDirgKruXa&#10;wvvu6W4BKiZkh11gsvBNEVbF9VWOmQtH3tJYplpJCMcMLTQp9ZnWsWrIY5yEnli8zzB4TCKHWrsB&#10;jxLuOz0zZq49tiwfGuxp01D1VR68hfU488ZQvG/LN/fy+vz4sa3GB2tvb6ZmCSrRKf0fwxlf0KEQ&#10;pn04sIuqsyBF0u88e8aI3P8tusj1JX3xA1BLAwQUAAAACACHTuJAC+obRd0BAAD1AwAADgAAAGRy&#10;cy9lMm9Eb2MueG1srVPLbtswELwX6D8QvNdSXNhoBcs51HUvRRsgzQesSUoiwBe4tCX/fZf0I3Hb&#10;QxHEB3pJ7o52Zrir+8kadlARtXctv5vVnCknvNSub/nTr+2HT5xhAifBeKdaflTI79fv363G0Ki5&#10;H7yRKjICcdiMoeVDSqGpKhSDsoAzH5Sjy85HC4m2sa9khJHQranmdb2sRh9liF4oRDrdnC75uuB3&#10;nRLpZ9ehSsy0nHpLZY1l3eW1Wq+g6SOEQYtzG/CKLixoRx+9Qm0gAdtH/ReU1SJ69F2aCW8r33Va&#10;qMKB2NzVf7B5HCCowoXEwXCVCd8OVvw4PESmZcsXnDmwZFHw5th7t+Rs0FIqsjXFvcpKjQEbKngM&#10;D/G8Qwoz7amLNv8TITYVdY9XddWUmKDD5cdFXZMHgq7OMaFUz8Vij+mb8gUIDt8xncyRlwiGSyQm&#10;dwkDpPMxIb1EQG+03Gpjcl8Y+90XE9kB6B1syy8TopKbNOPY2PLPizmJIYCeY2cgUWgDCYSuLxbf&#10;VNwAE73M8B/AIWLaAA6nBgpCToNmUCC/OsnSMZD0jmaE5xaskpyZrH2OSmYCbf4nkzgZR9SyWSd7&#10;crTz8khG70PU/UBTcLG0pNHbKlqc5yA/3pf7AvY8re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8fQkLNEAAAAFAQAADwAAAAAAAAABACAAAAA4AAAAZHJzL2Rvd25yZXYueG1sUEsBAhQAFAAAAAgA&#10;h07iQAvqG0XdAQAA9QMAAA4AAAAAAAAAAQAgAAAANgEAAGRycy9lMm9Eb2MueG1sUEsFBgAAAAAG&#10;AAYAWQEAAIUFAAAAAA==&#10;">
                <v:fill on="t" focussize="0,0"/>
                <v:stroke color="#000000" joinstyle="round"/>
                <v:imagedata o:title=""/>
                <o:lock v:ext="edit" aspectratio="f"/>
              </v:shape>
            </w:pict>
          </mc:Fallback>
        </mc:AlternateContent>
      </w:r>
      <w:r>
        <w:rPr>
          <w:rFonts w:ascii="Calibri" w:hAnsi="Calibri" w:eastAsia="宋体" w:cs="黑体"/>
          <w:kern w:val="2"/>
          <w:sz w:val="21"/>
          <w:szCs w:val="22"/>
          <w:lang w:val="en-US" w:eastAsia="zh-CN" w:bidi="ar-SA"/>
        </w:rPr>
        <mc:AlternateContent>
          <mc:Choice Requires="wps">
            <w:drawing>
              <wp:anchor distT="0" distB="0" distL="114300" distR="114300" simplePos="0" relativeHeight="251664384" behindDoc="0" locked="0" layoutInCell="1" hidden="true" allowOverlap="1">
                <wp:simplePos x="0" y="0"/>
                <wp:positionH relativeFrom="column">
                  <wp:posOffset>0</wp:posOffset>
                </wp:positionH>
                <wp:positionV relativeFrom="paragraph">
                  <wp:posOffset>0</wp:posOffset>
                </wp:positionV>
                <wp:extent cx="635000" cy="635000"/>
                <wp:effectExtent l="0" t="0" r="0" b="0"/>
                <wp:wrapNone/>
                <wp:docPr id="6" name="polygon7" hidden="true"/>
                <wp:cNvGraphicFramePr/>
                <a:graphic xmlns:a="http://schemas.openxmlformats.org/drawingml/2006/main">
                  <a:graphicData uri="http://schemas.microsoft.com/office/word/2010/wordprocessingShape">
                    <wps:wsp>
                      <wps:cNvSpPr/>
                      <wps:spPr>
                        <a:xfrm>
                          <a:off x="0" y="0"/>
                          <a:ext cx="635000" cy="635000"/>
                        </a:xfrm>
                        <a:custGeom>
                          <a:avLst/>
                          <a:gdLst/>
                          <a:ahLst/>
                          <a:cxnLst/>
                          <a:pathLst/>
                        </a:custGeom>
                        <a:solidFill>
                          <a:srgbClr val="FFFFFF"/>
                        </a:solidFill>
                        <a:ln w="9525" cap="flat" cmpd="sng">
                          <a:solidFill>
                            <a:srgbClr val="000000"/>
                          </a:solidFill>
                          <a:prstDash val="solid"/>
                          <a:headEnd type="none" w="med" len="med"/>
                          <a:tailEnd type="none" w="med" len="med"/>
                        </a:ln>
                      </wps:spPr>
                      <wps:bodyPr upright="true"/>
                    </wps:wsp>
                  </a:graphicData>
                </a:graphic>
              </wp:anchor>
            </w:drawing>
          </mc:Choice>
          <mc:Fallback>
            <w:pict>
              <v:shape id="polygon7" o:spid="_x0000_s1026" o:spt="100" style="position:absolute;left:0pt;margin-left:0pt;margin-top:0pt;height:50pt;width:50pt;visibility:hidden;z-index:251664384;mso-width-relative:page;mso-height-relative:page;" fillcolor="#FFFFFF" filled="t" stroked="t" coordsize="635000,635000" o:gfxdata="UEsFBgAAAAAAAAAAAAAAAAAAAAAAAFBLAwQKAAAAAACHTuJAAAAAAAAAAAAAAAAABAAAAGRycy9Q&#10;SwMEFAAAAAgAh07iQPH0JCzRAAAABQEAAA8AAABkcnMvZG93bnJldi54bWxNj0FLw0AQhe+C/2EZ&#10;wZvdbdVS0mxKKXgQBG3qweM0OybB7GzIbtP6752KYC/DPN7w5nv56uQ7NdIQ28AWphMDirgKruXa&#10;wvvu6W4BKiZkh11gsvBNEVbF9VWOmQtH3tJYplpJCMcMLTQp9ZnWsWrIY5yEnli8zzB4TCKHWrsB&#10;jxLuOz0zZq49tiwfGuxp01D1VR68hfU488ZQvG/LN/fy+vz4sa3GB2tvb6ZmCSrRKf0fwxlf0KEQ&#10;pn04sIuqsyBF0u88e8aI3P8tusj1JX3xA1BLAwQUAAAACACHTuJAFxdYgd4BAAD1AwAADgAAAGRy&#10;cy9lMm9Eb2MueG1srVNNj9MwEL0j8R8s32myRS0QNd0DpVwQrLTwA6a2k1jylzxu0/57xm7a3QKH&#10;1Yoe3LE98zLvPc/q/mgNO6iI2ruW381qzpQTXmrXt/zXz+27j5xhAifBeKdaflLI79dv36zG0Ki5&#10;H7yRKjICcdiMoeVDSqGpKhSDsoAzH5Sjy85HC4m2sa9khJHQranmdb2sRh9liF4oRDrdnC/5uuB3&#10;nRLpR9ehSsy0nHpLZY1l3eW1Wq+g6SOEQYupDXhFFxa0o49eoTaQgO2j/gvKahE9+i7NhLeV7zot&#10;VOFAbO7qP9g8DhBU4ULiYLjKhP8PVnw/PESmZcuXnDmwZFHw5tR794GzQUupyNYU9yorNQZsqOAx&#10;PMRphxRm2scu2vxPhNixqHu6qquOiQk6XL5f1DV5IOhqigmleioWe0xflS9AcPiG6WyOvEQwXCJx&#10;dJcwQJqOCek5Anqj5VYbk/vC2O8+m8gOQO9gW36ZEJXcpBnHxpZ/WswX1CbQc+wMJAptIIHQ9cXi&#10;m4obYKKXGf4DOERMG8Dh3EBByGnQDArkFydZOgWS3tGM8NyCVZIzk7XPUclMoM1LMomTcUQtm3W2&#10;J0c7L09k9D5E3Q80BRdLSxq9raLFNAf58T7fF7CnaV3/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PH0JCzRAAAABQEAAA8AAAAAAAAAAQAgAAAAOAAAAGRycy9kb3ducmV2LnhtbFBLAQIUABQAAAAI&#10;AIdO4kAXF1iB3gEAAPUDAAAOAAAAAAAAAAEAIAAAADYBAABkcnMvZTJvRG9jLnhtbFBLBQYAAAAA&#10;BgAGAFkBAACGBQAAAAA=&#10;">
                <v:fill on="t" focussize="0,0"/>
                <v:stroke color="#000000" joinstyle="round"/>
                <v:imagedata o:title=""/>
                <o:lock v:ext="edit" aspectratio="f"/>
              </v:shape>
            </w:pict>
          </mc:Fallback>
        </mc:AlternateContent>
      </w:r>
      <w:r>
        <w:rPr>
          <w:rFonts w:ascii="Calibri" w:hAnsi="Calibri" w:eastAsia="宋体" w:cs="黑体"/>
          <w:kern w:val="2"/>
          <w:sz w:val="21"/>
          <w:szCs w:val="22"/>
          <w:lang w:val="en-US" w:eastAsia="zh-CN" w:bidi="ar-SA"/>
        </w:rPr>
        <mc:AlternateContent>
          <mc:Choice Requires="wps">
            <w:drawing>
              <wp:anchor distT="0" distB="0" distL="114300" distR="114300" simplePos="0" relativeHeight="251665408" behindDoc="0" locked="0" layoutInCell="1" hidden="true" allowOverlap="1">
                <wp:simplePos x="0" y="0"/>
                <wp:positionH relativeFrom="column">
                  <wp:posOffset>0</wp:posOffset>
                </wp:positionH>
                <wp:positionV relativeFrom="paragraph">
                  <wp:posOffset>0</wp:posOffset>
                </wp:positionV>
                <wp:extent cx="635000" cy="635000"/>
                <wp:effectExtent l="0" t="0" r="0" b="0"/>
                <wp:wrapNone/>
                <wp:docPr id="7" name="polygon8" hidden="true"/>
                <wp:cNvGraphicFramePr/>
                <a:graphic xmlns:a="http://schemas.openxmlformats.org/drawingml/2006/main">
                  <a:graphicData uri="http://schemas.microsoft.com/office/word/2010/wordprocessingShape">
                    <wps:wsp>
                      <wps:cNvSpPr/>
                      <wps:spPr>
                        <a:xfrm>
                          <a:off x="0" y="0"/>
                          <a:ext cx="635000" cy="635000"/>
                        </a:xfrm>
                        <a:custGeom>
                          <a:avLst/>
                          <a:gdLst/>
                          <a:ahLst/>
                          <a:cxnLst/>
                          <a:pathLst/>
                        </a:custGeom>
                        <a:solidFill>
                          <a:srgbClr val="FFFFFF"/>
                        </a:solidFill>
                        <a:ln w="9525" cap="flat" cmpd="sng">
                          <a:solidFill>
                            <a:srgbClr val="000000"/>
                          </a:solidFill>
                          <a:prstDash val="solid"/>
                          <a:headEnd type="none" w="med" len="med"/>
                          <a:tailEnd type="none" w="med" len="med"/>
                        </a:ln>
                      </wps:spPr>
                      <wps:bodyPr upright="true"/>
                    </wps:wsp>
                  </a:graphicData>
                </a:graphic>
              </wp:anchor>
            </w:drawing>
          </mc:Choice>
          <mc:Fallback>
            <w:pict>
              <v:shape id="polygon8" o:spid="_x0000_s1026" o:spt="100" style="position:absolute;left:0pt;margin-left:0pt;margin-top:0pt;height:50pt;width:50pt;visibility:hidden;z-index:251665408;mso-width-relative:page;mso-height-relative:page;" fillcolor="#FFFFFF" filled="t" stroked="t" coordsize="635000,635000" o:gfxdata="UEsFBgAAAAAAAAAAAAAAAAAAAAAAAFBLAwQKAAAAAACHTuJAAAAAAAAAAAAAAAAABAAAAGRycy9Q&#10;SwMEFAAAAAgAh07iQPH0JCzRAAAABQEAAA8AAABkcnMvZG93bnJldi54bWxNj0FLw0AQhe+C/2EZ&#10;wZvdbdVS0mxKKXgQBG3qweM0OybB7GzIbtP6752KYC/DPN7w5nv56uQ7NdIQ28AWphMDirgKruXa&#10;wvvu6W4BKiZkh11gsvBNEVbF9VWOmQtH3tJYplpJCMcMLTQp9ZnWsWrIY5yEnli8zzB4TCKHWrsB&#10;jxLuOz0zZq49tiwfGuxp01D1VR68hfU488ZQvG/LN/fy+vz4sa3GB2tvb6ZmCSrRKf0fwxlf0KEQ&#10;pn04sIuqsyBF0u88e8aI3P8tusj1JX3xA1BLAwQUAAAACACHTuJAW28Bat0BAAD1AwAADgAAAGRy&#10;cy9lMm9Eb2MueG1srVNNj9MwEL0j8R8s32myRV0garoHSrkgWGnhB0xtJ7HkL3ncJv33jN20uwUO&#10;CNGDO7ZnXua951k/TNawo4qovWv53aLmTDnhpXZ9y3983715zxkmcBKMd6rlJ4X8YfP61XoMjVr6&#10;wRupIiMQh80YWj6kFJqqQjEoC7jwQTm67Hy0kGgb+0pGGAndmmpZ1/fV6KMM0QuFSKfb8yXfFPyu&#10;UyJ96zpUiZmWU2+prLGs+7xWmzU0fYQwaDG3Af/QhQXt6KNXqC0kYIeof4OyWkSPvksL4W3lu04L&#10;VTgQm7v6FzZPAwRVuJA4GK4y4f+DFV+Pj5Fp2fJ3nDmwZFHw5tR7R8YNWkpFtqZ4UFmpMWBDBU/h&#10;Mc47pDDTnrpo8z8RYlNR93RVV02JCTq8f7uqa/JA0NUcE0r1XCwOmD4rX4Dg+AXT2Rx5iWC4RGJy&#10;lzBAmo8J6SUCeqPlThuT+8LY7z+ayI5A72BXfpkQldykGcfGln9YLVfUJtBz7AwkCm0ggdD1xeKb&#10;ihtgopcZ/gE4RExbwOHcQEHIadAMCuQnJ1k6BZLe0Yzw3IJVkjOTtc9RyUygzd9kEifjiFo262xP&#10;jvZensjoQ4i6H2gKLpaWNHpbRYt5DvLjfbkvYM/Tuvk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8fQkLNEAAAAFAQAADwAAAAAAAAABACAAAAA4AAAAZHJzL2Rvd25yZXYueG1sUEsBAhQAFAAAAAgA&#10;h07iQFtvAWrdAQAA9QMAAA4AAAAAAAAAAQAgAAAANgEAAGRycy9lMm9Eb2MueG1sUEsFBgAAAAAG&#10;AAYAWQEAAIUFAAAAAA==&#10;">
                <v:fill on="t" focussize="0,0"/>
                <v:stroke color="#000000" joinstyle="round"/>
                <v:imagedata o:title=""/>
                <o:lock v:ext="edit" aspectratio="f"/>
              </v:shape>
            </w:pict>
          </mc:Fallback>
        </mc:AlternateContent>
      </w:r>
      <w:r>
        <w:rPr>
          <w:rFonts w:ascii="Calibri" w:hAnsi="Calibri" w:eastAsia="宋体" w:cs="黑体"/>
          <w:kern w:val="2"/>
          <w:sz w:val="21"/>
          <w:szCs w:val="22"/>
          <w:lang w:val="en-US" w:eastAsia="zh-CN" w:bidi="ar-SA"/>
        </w:rPr>
        <mc:AlternateContent>
          <mc:Choice Requires="wps">
            <w:drawing>
              <wp:anchor distT="0" distB="0" distL="114300" distR="114300" simplePos="0" relativeHeight="251666432" behindDoc="0" locked="0" layoutInCell="1" hidden="true" allowOverlap="1">
                <wp:simplePos x="0" y="0"/>
                <wp:positionH relativeFrom="column">
                  <wp:posOffset>0</wp:posOffset>
                </wp:positionH>
                <wp:positionV relativeFrom="paragraph">
                  <wp:posOffset>0</wp:posOffset>
                </wp:positionV>
                <wp:extent cx="635000" cy="635000"/>
                <wp:effectExtent l="0" t="0" r="0" b="0"/>
                <wp:wrapNone/>
                <wp:docPr id="8" name="polygon9" hidden="true"/>
                <wp:cNvGraphicFramePr/>
                <a:graphic xmlns:a="http://schemas.openxmlformats.org/drawingml/2006/main">
                  <a:graphicData uri="http://schemas.microsoft.com/office/word/2010/wordprocessingShape">
                    <wps:wsp>
                      <wps:cNvSpPr/>
                      <wps:spPr>
                        <a:xfrm>
                          <a:off x="0" y="0"/>
                          <a:ext cx="635000" cy="635000"/>
                        </a:xfrm>
                        <a:custGeom>
                          <a:avLst/>
                          <a:gdLst/>
                          <a:ahLst/>
                          <a:cxnLst/>
                          <a:pathLst/>
                        </a:custGeom>
                        <a:solidFill>
                          <a:srgbClr val="FFFFFF"/>
                        </a:solidFill>
                        <a:ln w="9525" cap="flat" cmpd="sng">
                          <a:solidFill>
                            <a:srgbClr val="000000"/>
                          </a:solidFill>
                          <a:prstDash val="solid"/>
                          <a:headEnd type="none" w="med" len="med"/>
                          <a:tailEnd type="none" w="med" len="med"/>
                        </a:ln>
                      </wps:spPr>
                      <wps:bodyPr upright="true"/>
                    </wps:wsp>
                  </a:graphicData>
                </a:graphic>
              </wp:anchor>
            </w:drawing>
          </mc:Choice>
          <mc:Fallback>
            <w:pict>
              <v:shape id="polygon9" o:spid="_x0000_s1026" o:spt="100" style="position:absolute;left:0pt;margin-left:0pt;margin-top:0pt;height:50pt;width:50pt;visibility:hidden;z-index:251666432;mso-width-relative:page;mso-height-relative:page;" fillcolor="#FFFFFF" filled="t" stroked="t" coordsize="635000,635000" o:gfxdata="UEsFBgAAAAAAAAAAAAAAAAAAAAAAAFBLAwQKAAAAAACHTuJAAAAAAAAAAAAAAAAABAAAAGRycy9Q&#10;SwMEFAAAAAgAh07iQPH0JCzRAAAABQEAAA8AAABkcnMvZG93bnJldi54bWxNj0FLw0AQhe+C/2EZ&#10;wZvdbdVS0mxKKXgQBG3qweM0OybB7GzIbtP6752KYC/DPN7w5nv56uQ7NdIQ28AWphMDirgKruXa&#10;wvvu6W4BKiZkh11gsvBNEVbF9VWOmQtH3tJYplpJCMcMLTQp9ZnWsWrIY5yEnli8zzB4TCKHWrsB&#10;jxLuOz0zZq49tiwfGuxp01D1VR68hfU488ZQvG/LN/fy+vz4sa3GB2tvb6ZmCSrRKf0fwxlf0KEQ&#10;pn04sIuqsyBF0u88e8aI3P8tusj1JX3xA1BLAwQUAAAACACHTuJAx3fFd90BAAD1AwAADgAAAGRy&#10;cy9lMm9Eb2MueG1srVNNj9MwEL0j8R8s32myRV2xUdM9UMoFwUoLP2BqO4klf8njNsm/Z+x+7BY4&#10;IEQP7tieeZn3nmf9OFnDjiqi9q7ld4uaM+WEl9r1Lf/xfffuA2eYwEkw3qmWzwr54+btm/UYGrX0&#10;gzdSRUYgDpsxtHxIKTRVhWJQFnDhg3J02floIdE29pWMMBK6NdWyru+r0UcZohcKkU63p0u+Kfhd&#10;p0T61nWoEjMtp95SWWNZ93mtNmto+ghh0OLcBvxDFxa0o49eobaQgB2i/g3KahE9+i4thLeV7zot&#10;VOFAbO7qX9g8DxBU4ULiYLjKhP8PVnw9PkWmZcvJKAeWLArezL13D5wNWkpFtqZ4UFmpMWBDBc/h&#10;KZ53SGGmPXXR5n8ixKai7nxVV02JCTq8f7+qa/JA0NU5JpTqpVgcMH1WvgDB8QumkznyEsFwicTk&#10;LmGAdD4mpNcI6I2WO21M7gtjv/9oIjsCvYNd+WVCVHKTZhwbW/6wWq6oTaDn2BlIFNpAAqHri8U3&#10;FTfARC8z/ANwiJi2gMOpgYKQ06AZFMhPTrI0B5Le0Yzw3IJVkjOTtc9RyUygzd9kEifjiFo262RP&#10;jvZezmT0IUTdDzQFF0tLGr2tosV5DvLjfb0vYC/Tuvk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8fQkLNEAAAAFAQAADwAAAAAAAAABACAAAAA4AAAAZHJzL2Rvd25yZXYueG1sUEsBAhQAFAAAAAgA&#10;h07iQMd3xXfdAQAA9QMAAA4AAAAAAAAAAQAgAAAANgEAAGRycy9lMm9Eb2MueG1sUEsFBgAAAAAG&#10;AAYAWQEAAIUFAAAAAA==&#10;">
                <v:fill on="t" focussize="0,0"/>
                <v:stroke color="#000000" joinstyle="round"/>
                <v:imagedata o:title=""/>
                <o:lock v:ext="edit" aspectratio="f"/>
              </v:shape>
            </w:pict>
          </mc:Fallback>
        </mc:AlternateContent>
      </w:r>
      <w:r>
        <w:rPr>
          <w:rFonts w:ascii="Calibri" w:hAnsi="Calibri" w:eastAsia="宋体" w:cs="黑体"/>
          <w:kern w:val="2"/>
          <w:sz w:val="21"/>
          <w:szCs w:val="22"/>
          <w:lang w:val="en-US" w:eastAsia="zh-CN" w:bidi="ar-SA"/>
        </w:rPr>
        <mc:AlternateContent>
          <mc:Choice Requires="wps">
            <w:drawing>
              <wp:anchor distT="0" distB="0" distL="114300" distR="114300" simplePos="0" relativeHeight="251667456" behindDoc="0" locked="0" layoutInCell="1" hidden="true" allowOverlap="1">
                <wp:simplePos x="0" y="0"/>
                <wp:positionH relativeFrom="column">
                  <wp:posOffset>0</wp:posOffset>
                </wp:positionH>
                <wp:positionV relativeFrom="paragraph">
                  <wp:posOffset>0</wp:posOffset>
                </wp:positionV>
                <wp:extent cx="635000" cy="635000"/>
                <wp:effectExtent l="0" t="0" r="0" b="0"/>
                <wp:wrapNone/>
                <wp:docPr id="9" name="polygon10" hidden="true"/>
                <wp:cNvGraphicFramePr/>
                <a:graphic xmlns:a="http://schemas.openxmlformats.org/drawingml/2006/main">
                  <a:graphicData uri="http://schemas.microsoft.com/office/word/2010/wordprocessingShape">
                    <wps:wsp>
                      <wps:cNvSpPr/>
                      <wps:spPr>
                        <a:xfrm>
                          <a:off x="0" y="0"/>
                          <a:ext cx="635000" cy="635000"/>
                        </a:xfrm>
                        <a:custGeom>
                          <a:avLst/>
                          <a:gdLst/>
                          <a:ahLst/>
                          <a:cxnLst/>
                          <a:pathLst/>
                        </a:custGeom>
                        <a:solidFill>
                          <a:srgbClr val="FFFFFF"/>
                        </a:solidFill>
                        <a:ln w="9525" cap="flat" cmpd="sng">
                          <a:solidFill>
                            <a:srgbClr val="000000"/>
                          </a:solidFill>
                          <a:prstDash val="solid"/>
                          <a:headEnd type="none" w="med" len="med"/>
                          <a:tailEnd type="none" w="med" len="med"/>
                        </a:ln>
                      </wps:spPr>
                      <wps:bodyPr upright="true"/>
                    </wps:wsp>
                  </a:graphicData>
                </a:graphic>
              </wp:anchor>
            </w:drawing>
          </mc:Choice>
          <mc:Fallback>
            <w:pict>
              <v:shape id="polygon10" o:spid="_x0000_s1026" o:spt="100" style="position:absolute;left:0pt;margin-left:0pt;margin-top:0pt;height:50pt;width:50pt;visibility:hidden;z-index:251667456;mso-width-relative:page;mso-height-relative:page;" fillcolor="#FFFFFF" filled="t" stroked="t" coordsize="635000,635000" o:gfxdata="UEsFBgAAAAAAAAAAAAAAAAAAAAAAAFBLAwQKAAAAAACHTuJAAAAAAAAAAAAAAAAABAAAAGRycy9Q&#10;SwMEFAAAAAgAh07iQPH0JCzRAAAABQEAAA8AAABkcnMvZG93bnJldi54bWxNj0FLw0AQhe+C/2EZ&#10;wZvdbdVS0mxKKXgQBG3qweM0OybB7GzIbtP6752KYC/DPN7w5nv56uQ7NdIQ28AWphMDirgKruXa&#10;wvvu6W4BKiZkh11gsvBNEVbF9VWOmQtH3tJYplpJCMcMLTQp9ZnWsWrIY5yEnli8zzB4TCKHWrsB&#10;jxLuOz0zZq49tiwfGuxp01D1VR68hfU488ZQvG/LN/fy+vz4sa3GB2tvb6ZmCSrRKf0fwxlf0KEQ&#10;pn04sIuqsyBF0u88e8aI3P8tusj1JX3xA1BLAwQUAAAACACHTuJA6fLKG90BAAD2AwAADgAAAGRy&#10;cy9lMm9Eb2MueG1srVPLbtswELwX6D8QvNeSXThoBcs51HUvRRsgzQesSUoiwBe4tGX9fZf0I3Hb&#10;QxHEB3pI7o52Zrmr+6M17KAiau9aPp/VnCknvNSub/nTr+2HT5xhAifBeKdaPink9+v371ZjaNTC&#10;D95IFRmROGzG0PIhpdBUFYpBWcCZD8rRZeejhUTb2Fcywkjs1lSLur6rRh9liF4oRDrdnC75uvB3&#10;nRLpZ9ehSsy0nGpLZY1l3eW1Wq+g6SOEQYtzGfCKKixoRx+9Um0gAdtH/ReV1SJ69F2aCW8r33Va&#10;qKKB1MzrP9Q8DhBU0ULmYLjahG9HK34cHiLTsuWfOXNgqUXBm6n3bk52DVpKRX1Nca+yVWPAhjIe&#10;w0M875Bg1n3sos3/pIgdi73T1V51TEzQ4d3HZV0Tq6CrMyaW6jlZ7DF9U74QweE7plN35AXBcEHi&#10;6C4wQDofE9NLBvRGy602JteFsd99MZEdgB7CtvyyIEq5CTOOjWTFcrGkMoHeY2cgEbSBHELXlx7f&#10;ZNwQk7ys8B/EIWLaAA6nAgpDDoNmUCC/OsnSFMh7R0PCcwlWSc5M9j6jEplAm/+JJE3GkbTcrFN7&#10;Mtp5OVGn9yHqfqAxuLS0hNHjKl6cByG/3pf7QvY8ru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8fQkLNEAAAAFAQAADwAAAAAAAAABACAAAAA4AAAAZHJzL2Rvd25yZXYueG1sUEsBAhQAFAAAAAgA&#10;h07iQOnyyhvdAQAA9gMAAA4AAAAAAAAAAQAgAAAANgEAAGRycy9lMm9Eb2MueG1sUEsFBgAAAAAG&#10;AAYAWQEAAIUFAAAAAA==&#10;">
                <v:fill on="t" focussize="0,0"/>
                <v:stroke color="#000000" joinstyle="round"/>
                <v:imagedata o:title=""/>
                <o:lock v:ext="edit" aspectratio="f"/>
              </v:shape>
            </w:pict>
          </mc:Fallback>
        </mc:AlternateContent>
      </w:r>
    </w:p>
    <w:p>
      <w:pPr>
        <w:spacing w:line="14" w:lineRule="exact"/>
        <w:jc w:val="center"/>
      </w:pPr>
    </w:p>
    <w:p>
      <w:pPr>
        <w:spacing w:line="14" w:lineRule="exact"/>
        <w:jc w:val="center"/>
        <w:sectPr>
          <w:headerReference r:id="rId3" w:type="default"/>
          <w:footerReference r:id="rId4" w:type="default"/>
          <w:type w:val="continuous"/>
          <w:pgSz w:w="16840" w:h="11900"/>
          <w:pgMar w:top="1124" w:right="339" w:bottom="561" w:left="504" w:header="851" w:footer="561" w:gutter="0"/>
          <w:pgBorders>
            <w:top w:val="none" w:sz="0" w:space="0"/>
            <w:left w:val="none" w:sz="0" w:space="0"/>
            <w:bottom w:val="none" w:sz="0" w:space="0"/>
            <w:right w:val="none" w:sz="0" w:space="0"/>
          </w:pgBorders>
          <w:cols w:space="720" w:num="1"/>
        </w:sectPr>
      </w:pPr>
    </w:p>
    <w:p>
      <w:pPr>
        <w:jc w:val="center"/>
        <w:rPr>
          <w:rFonts w:hint="eastAsia" w:ascii="方正小标宋简体" w:eastAsia="方正小标宋简体"/>
          <w:b/>
          <w:sz w:val="36"/>
          <w:szCs w:val="36"/>
        </w:rPr>
      </w:pPr>
      <w:r>
        <w:rPr>
          <w:rFonts w:hint="eastAsia" w:ascii="方正小标宋简体" w:eastAsia="方正小标宋简体"/>
          <w:b/>
          <w:sz w:val="36"/>
          <w:szCs w:val="36"/>
          <w:lang w:val="en-US" w:eastAsia="zh-CN"/>
        </w:rPr>
        <w:t>2021年青岛西海岸新区住房和城乡建设局</w:t>
      </w:r>
      <w:r>
        <w:rPr>
          <w:rFonts w:hint="eastAsia" w:ascii="方正小标宋简体" w:eastAsia="方正小标宋简体"/>
          <w:b/>
          <w:sz w:val="36"/>
          <w:szCs w:val="36"/>
          <w:lang w:eastAsia="zh-CN"/>
        </w:rPr>
        <w:t>部门内部</w:t>
      </w:r>
      <w:r>
        <w:rPr>
          <w:rFonts w:hint="eastAsia" w:ascii="方正小标宋简体" w:eastAsia="方正小标宋简体"/>
          <w:b/>
          <w:sz w:val="36"/>
          <w:szCs w:val="36"/>
        </w:rPr>
        <w:t>随机抽查事项清单</w:t>
      </w:r>
    </w:p>
    <w:tbl>
      <w:tblPr>
        <w:tblStyle w:val="4"/>
        <w:tblW w:w="15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732"/>
        <w:gridCol w:w="1254"/>
        <w:gridCol w:w="1044"/>
        <w:gridCol w:w="2862"/>
        <w:gridCol w:w="1564"/>
        <w:gridCol w:w="1104"/>
        <w:gridCol w:w="1400"/>
        <w:gridCol w:w="1239"/>
        <w:gridCol w:w="3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20" w:lineRule="exact"/>
              <w:ind w:left="0" w:right="0"/>
              <w:jc w:val="center"/>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SA"/>
              </w:rPr>
              <w:t>序号</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20" w:lineRule="exact"/>
              <w:ind w:left="0" w:right="0"/>
              <w:jc w:val="center"/>
              <w:rPr>
                <w:rFonts w:hint="eastAsia" w:ascii="黑体" w:hAnsi="宋体" w:eastAsia="黑体" w:cs="黑体"/>
                <w:b w:val="0"/>
                <w:bCs w:val="0"/>
                <w:sz w:val="28"/>
                <w:szCs w:val="28"/>
                <w:lang w:val="en-US" w:eastAsia="zh-CN"/>
              </w:rPr>
            </w:pPr>
            <w:r>
              <w:rPr>
                <w:rFonts w:hint="eastAsia" w:ascii="黑体" w:hAnsi="宋体" w:eastAsia="黑体" w:cs="黑体"/>
                <w:b w:val="0"/>
                <w:bCs w:val="0"/>
                <w:sz w:val="28"/>
                <w:szCs w:val="28"/>
                <w:lang w:val="en-US" w:eastAsia="zh-CN"/>
              </w:rPr>
              <w:t>部门</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20" w:lineRule="exact"/>
              <w:ind w:left="0" w:right="0"/>
              <w:jc w:val="center"/>
              <w:rPr>
                <w:rFonts w:hint="eastAsia" w:ascii="黑体" w:hAnsi="宋体" w:eastAsia="黑体" w:cs="黑体"/>
                <w:b w:val="0"/>
                <w:bCs w:val="0"/>
                <w:kern w:val="2"/>
                <w:sz w:val="28"/>
                <w:szCs w:val="28"/>
                <w:lang w:val="en-US" w:eastAsia="zh-CN" w:bidi="ar-SA"/>
              </w:rPr>
            </w:pPr>
            <w:r>
              <w:rPr>
                <w:rFonts w:hint="eastAsia" w:ascii="黑体" w:hAnsi="宋体" w:eastAsia="黑体" w:cs="黑体"/>
                <w:b w:val="0"/>
                <w:bCs w:val="0"/>
                <w:kern w:val="2"/>
                <w:sz w:val="28"/>
                <w:szCs w:val="28"/>
                <w:lang w:val="en-US" w:eastAsia="zh-CN" w:bidi="ar-SA"/>
              </w:rPr>
              <w:t>抽查事项</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20" w:lineRule="exact"/>
              <w:ind w:left="0" w:leftChars="0" w:right="0"/>
              <w:jc w:val="center"/>
              <w:rPr>
                <w:rFonts w:hint="default"/>
              </w:rPr>
            </w:pPr>
            <w:r>
              <w:rPr>
                <w:rFonts w:hint="eastAsia" w:ascii="黑体" w:hAnsi="宋体" w:eastAsia="黑体" w:cs="黑体"/>
                <w:kern w:val="2"/>
                <w:sz w:val="28"/>
                <w:szCs w:val="28"/>
                <w:lang w:val="en-US" w:eastAsia="zh-CN" w:bidi="ar-SA"/>
              </w:rPr>
              <w:t>检查对象</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20" w:lineRule="exact"/>
              <w:ind w:left="0" w:leftChars="0" w:right="0"/>
              <w:jc w:val="center"/>
              <w:rPr>
                <w:rFonts w:hint="default"/>
              </w:rPr>
            </w:pPr>
            <w:r>
              <w:rPr>
                <w:rFonts w:hint="eastAsia" w:ascii="黑体" w:hAnsi="宋体" w:eastAsia="黑体" w:cs="黑体"/>
                <w:kern w:val="2"/>
                <w:sz w:val="28"/>
                <w:szCs w:val="28"/>
                <w:lang w:val="en-US" w:eastAsia="zh-CN" w:bidi="ar-SA"/>
              </w:rPr>
              <w:t>抽查内容</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20" w:lineRule="exact"/>
              <w:ind w:left="0" w:leftChars="0" w:right="0"/>
              <w:jc w:val="both"/>
              <w:rPr>
                <w:rFonts w:hint="default"/>
              </w:rPr>
            </w:pPr>
            <w:r>
              <w:rPr>
                <w:rFonts w:hint="eastAsia" w:ascii="黑体" w:hAnsi="宋体" w:eastAsia="黑体" w:cs="黑体"/>
                <w:kern w:val="2"/>
                <w:sz w:val="28"/>
                <w:szCs w:val="28"/>
                <w:lang w:val="en-US" w:eastAsia="zh-CN" w:bidi="ar-SA"/>
              </w:rPr>
              <w:t>事项类别</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20" w:lineRule="exact"/>
              <w:ind w:left="0" w:right="0"/>
              <w:jc w:val="center"/>
              <w:rPr>
                <w:rFonts w:hint="eastAsia" w:ascii="黑体" w:hAnsi="宋体" w:eastAsia="黑体" w:cs="黑体"/>
                <w:kern w:val="2"/>
                <w:sz w:val="28"/>
                <w:szCs w:val="28"/>
                <w:lang w:val="en-US" w:eastAsia="zh-CN" w:bidi="ar-SA"/>
              </w:rPr>
            </w:pPr>
            <w:r>
              <w:rPr>
                <w:rFonts w:hint="eastAsia" w:ascii="黑体" w:hAnsi="宋体" w:eastAsia="黑体" w:cs="黑体"/>
                <w:kern w:val="2"/>
                <w:sz w:val="28"/>
                <w:szCs w:val="28"/>
                <w:lang w:val="en-US" w:eastAsia="zh-CN" w:bidi="ar-SA"/>
              </w:rPr>
              <w:t>检查方式</w:t>
            </w:r>
          </w:p>
        </w:tc>
        <w:tc>
          <w:tcPr>
            <w:tcW w:w="140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20" w:lineRule="exact"/>
              <w:ind w:left="0" w:right="0"/>
              <w:jc w:val="center"/>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SA"/>
              </w:rPr>
              <w:t>抽查比例及频次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320" w:lineRule="exact"/>
              <w:ind w:left="0" w:right="0"/>
              <w:jc w:val="center"/>
              <w:rPr>
                <w:rFonts w:hint="eastAsia" w:ascii="黑体" w:hAnsi="宋体" w:eastAsia="黑体" w:cs="黑体"/>
                <w:kern w:val="2"/>
                <w:sz w:val="28"/>
                <w:szCs w:val="28"/>
                <w:lang w:val="en-US" w:eastAsia="zh-CN" w:bidi="ar-SA"/>
              </w:rPr>
            </w:pPr>
            <w:r>
              <w:rPr>
                <w:rFonts w:hint="eastAsia" w:ascii="黑体" w:hAnsi="宋体" w:eastAsia="黑体" w:cs="黑体"/>
                <w:kern w:val="2"/>
                <w:sz w:val="28"/>
                <w:szCs w:val="28"/>
                <w:lang w:val="en-US" w:eastAsia="zh-CN" w:bidi="ar-SA"/>
              </w:rPr>
              <w:t>检查部门及实施层级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320" w:lineRule="exact"/>
              <w:ind w:left="0" w:right="0"/>
              <w:jc w:val="center"/>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SA"/>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1</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eastAsia="zh-CN"/>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对注册建筑师执业资格制度落实情况的检查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注册建筑师</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检查证书和执业印章是否在有效期内；对其权利和义务的落实情况进行检查；检查劳动合同及缴纳社会</w:t>
            </w:r>
            <w:bookmarkStart w:id="2" w:name="_GoBack"/>
            <w:bookmarkEnd w:id="2"/>
            <w:r>
              <w:rPr>
                <w:rFonts w:hint="eastAsia" w:ascii="仿宋_GB2312" w:hAnsi="仿宋" w:eastAsia="仿宋_GB2312" w:cs="仿宋"/>
                <w:color w:val="000000"/>
                <w:kern w:val="2"/>
                <w:sz w:val="20"/>
                <w:szCs w:val="20"/>
                <w:lang w:val="en-US" w:eastAsia="zh-CN" w:bidi="ar-SA"/>
              </w:rPr>
              <w:t>保险的清单，并核查是否存在“挂靠”注册的行为；检查其执业业绩，核查其执业行为是否规范，是否有超越国家规定的执业范围执行业务的情况</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eastAsia="zh-CN"/>
              </w:rPr>
            </w:pPr>
            <w:r>
              <w:rPr>
                <w:rFonts w:hint="eastAsia" w:ascii="仿宋_GB2312" w:hAnsi="仿宋" w:eastAsia="仿宋_GB2312" w:cs="仿宋"/>
                <w:color w:val="000000"/>
                <w:sz w:val="20"/>
                <w:szCs w:val="20"/>
                <w:lang w:val="en-US" w:eastAsia="zh-CN"/>
              </w:rPr>
              <w:t>1《注册建筑师条例》第二十条、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2</w:t>
            </w:r>
          </w:p>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对注册建造师执业资格制度落实情况的检查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注册建造师</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证书和执业印章是否在有效期内；对其权利和义务的落实情况进行检查；检查劳动合同及缴纳社会保险的清单，并核查是否存在“挂靠”注册的行为；检查其执业业绩，核查其执业行为是否规范，是否有超越国家规定的执业范围执行业务的情况</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eastAsia="zh-CN"/>
              </w:rPr>
            </w:pPr>
            <w:r>
              <w:rPr>
                <w:rFonts w:hint="eastAsia" w:ascii="仿宋_GB2312" w:hAnsi="仿宋" w:eastAsia="仿宋_GB2312" w:cs="仿宋"/>
                <w:color w:val="000000"/>
                <w:sz w:val="20"/>
                <w:szCs w:val="20"/>
                <w:lang w:val="en-US" w:eastAsia="zh-CN"/>
              </w:rPr>
              <w:t>2、《注册建造师管理规定》第二十条、第二第五条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3</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对勘察设计注册工程师执业资格制度落实情况的检查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勘察设计注册工程师</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证书和执业印章是否在有效期内；对其权利和义务的落实情况进行检查；检查劳动合同及缴纳社会保险的清单，并核查是否存在“挂靠”注册的行为；检查其执业业绩，核查其执业行为是否规范，是否有超越国家规定的执业范围执行业务的情况</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eastAsia="zh-CN"/>
              </w:rPr>
            </w:pPr>
            <w:r>
              <w:rPr>
                <w:rFonts w:hint="eastAsia" w:ascii="仿宋_GB2312" w:hAnsi="仿宋" w:eastAsia="仿宋_GB2312" w:cs="仿宋"/>
                <w:color w:val="000000"/>
                <w:sz w:val="20"/>
                <w:szCs w:val="20"/>
                <w:lang w:val="en-US" w:eastAsia="zh-CN"/>
              </w:rPr>
              <w:t>1、《勘察设计注册工程师管理规定》第十八条、第十九条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4</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对注册监理工程师执业资格制度落实情况的检查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注册监理工程师</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检查证书和执业印章是否在有效期内；对其权利和义务的落实情况进行检查；检查劳动合同及缴纳社会保险的清单，并核查是否存在“挂靠”注册的行为；检查其执业业绩，核查其执业行为是否规范</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eastAsia="zh-CN"/>
              </w:rPr>
            </w:pPr>
            <w:r>
              <w:rPr>
                <w:rFonts w:hint="eastAsia" w:ascii="仿宋_GB2312" w:hAnsi="仿宋" w:eastAsia="仿宋_GB2312" w:cs="仿宋"/>
                <w:color w:val="000000"/>
                <w:sz w:val="20"/>
                <w:szCs w:val="20"/>
                <w:lang w:val="en-US" w:eastAsia="zh-CN"/>
              </w:rPr>
              <w:t>1、《注册监理工程师管理规定》第十七条、第二十六条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5</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kern w:val="2"/>
                <w:sz w:val="20"/>
                <w:szCs w:val="20"/>
                <w:lang w:val="en-US" w:eastAsia="zh-CN" w:bidi="ar-SA"/>
              </w:rPr>
              <w:t>对注册造价工程师执业资格制度落实情况</w:t>
            </w:r>
          </w:p>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的检查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注册造价工程师</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检查证书和执业印章是否在有效期内；对其权利和义务的落实情况进行检查;检查劳动合同及缴纳社会保险的清单，并核查是否存在“挂靠”注册的行为；检查其执业业绩，核查其执业行为是否规范</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eastAsia="zh-CN"/>
              </w:rPr>
            </w:pPr>
            <w:r>
              <w:rPr>
                <w:rFonts w:hint="eastAsia" w:ascii="仿宋_GB2312" w:hAnsi="仿宋" w:eastAsia="仿宋_GB2312" w:cs="仿宋"/>
                <w:color w:val="000000"/>
                <w:sz w:val="20"/>
                <w:szCs w:val="20"/>
                <w:lang w:val="en-US" w:eastAsia="zh-CN"/>
              </w:rPr>
              <w:t>1、《注册造价工程师管理办法》第十五条、第十六条、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6</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对注册房地产估价师执业资格制度落实情况的检查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注册房地产估价师</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检查证书和执业印章是否在有效期内；对其权利和义务的落实情况进行检查；检查劳动合同及缴纳社会保险的清单，并核查是否存在“挂靠”注册的行为；检查其执业业绩，核查其执业行为是否规范</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《注册房地产估价师管理办法》</w:t>
            </w:r>
            <w:r>
              <w:rPr>
                <w:rFonts w:hint="eastAsia" w:ascii="仿宋_GB2312" w:hAnsi="宋体" w:eastAsia="仿宋_GB2312" w:cs="仿宋_GB2312"/>
                <w:i w:val="0"/>
                <w:color w:val="000000"/>
                <w:sz w:val="20"/>
                <w:szCs w:val="20"/>
              </w:rPr>
              <w:t>第五条、第二十七条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7</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对物业管理活动的监督检查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物业服务企业、开</w:t>
            </w:r>
          </w:p>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发建设单位</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是否按照相关法规、规章规定开展物业管理活动；是否按照相关法规、规章规定协助业主使用房屋专项维修资金（房屋专项维修资金由业主缴纳）</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全年抽查比例不低于 5%，每季度抽查1次</w:t>
            </w:r>
          </w:p>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1. 《物业管理条例》第五条；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2. 《住宅专项维修资金管理办法》第五条；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3. 《山东省物业管理条例》第五</w:t>
            </w:r>
            <w:r>
              <w:rPr>
                <w:rFonts w:hint="eastAsia" w:ascii="仿宋_GB2312" w:hAnsi="宋体" w:eastAsia="仿宋_GB2312" w:cs="仿宋_GB2312"/>
                <w:i w:val="0"/>
                <w:color w:val="000000"/>
                <w:sz w:val="18"/>
                <w:szCs w:val="18"/>
              </w:rPr>
              <w:t>10</w:t>
            </w:r>
            <w:r>
              <w:rPr>
                <w:rFonts w:hint="eastAsia" w:ascii="仿宋_GB2312" w:hAnsi="宋体" w:eastAsia="仿宋_GB2312" w:cs="仿宋_GB2312"/>
                <w:i w:val="0"/>
                <w:color w:val="000000"/>
                <w:sz w:val="18"/>
                <w:szCs w:val="18"/>
              </w:rPr>
              <w:br w:type="textWrapping"/>
            </w:r>
            <w:r>
              <w:rPr>
                <w:rFonts w:hint="eastAsia" w:ascii="仿宋_GB2312" w:hAnsi="宋体" w:eastAsia="仿宋_GB2312" w:cs="仿宋_GB2312"/>
                <w:i w:val="0"/>
                <w:color w:val="000000"/>
                <w:sz w:val="20"/>
                <w:szCs w:val="20"/>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8</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建筑节能与绿色建筑、装配式建筑实施情况检查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民用建筑节能单位、施工单位</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检查工程项目的建设单位及参建单位市场行为是否符合法律、法规、规章等关于建筑节能、绿色建筑与装配式建筑的各项规定，对涉嫌违法行为依法开展调查</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当年竣工、在建项目抽查比例不低于5%，每年抽查1次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1. 《民用建筑节能条例》第五条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2. 《山东省民用建筑节能条例》第四条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3. 《山东省绿色建筑促进办法》第二十条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9</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对勘察设计市场行为与资质的监督检查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工程勘察设计企业</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检查勘察设计企业资质合规情况</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 5%，每年抽查 1 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1. 《建设工程勘察设计管理条</w:t>
            </w:r>
            <w:r>
              <w:rPr>
                <w:rFonts w:hint="eastAsia" w:ascii="仿宋_GB2312" w:hAnsi="宋体" w:eastAsia="仿宋_GB2312" w:cs="仿宋_GB2312"/>
                <w:i w:val="0"/>
                <w:color w:val="000000"/>
                <w:sz w:val="20"/>
                <w:szCs w:val="20"/>
              </w:rPr>
              <w:t>例》第五条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2.《山东省建设工程勘察设计管理条例》第五条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3.《建设工程勘察设计资质管理规定》第二十一条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20"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10</w:t>
            </w:r>
          </w:p>
        </w:tc>
        <w:tc>
          <w:tcPr>
            <w:tcW w:w="732" w:type="dxa"/>
            <w:vMerge w:val="restart"/>
            <w:tcBorders>
              <w:top w:val="single" w:color="auto" w:sz="4" w:space="0"/>
              <w:left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vMerge w:val="restart"/>
            <w:tcBorders>
              <w:top w:val="single" w:color="auto" w:sz="4" w:space="0"/>
              <w:left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对勘察、设计活动的监督检查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建设单位、勘察设计单位</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检查勘察设计成果质量的法律、规和强制性标准执行情况</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 5%，每年抽查 1 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vMerge w:val="restart"/>
            <w:tcBorders>
              <w:top w:val="single" w:color="auto" w:sz="4" w:space="0"/>
              <w:left w:val="single" w:color="auto" w:sz="4" w:space="0"/>
              <w:bottom w:val="single" w:color="auto" w:sz="4" w:space="0"/>
              <w:right w:val="single" w:color="auto" w:sz="4" w:space="0"/>
            </w:tcBorders>
            <w:vAlign w:val="top"/>
          </w:tcPr>
          <w:p>
            <w:pPr>
              <w:widowControl w:val="0"/>
              <w:numPr>
                <w:ilvl w:val="0"/>
                <w:numId w:val="1"/>
              </w:numPr>
              <w:spacing w:before="0" w:beforeAutospacing="0" w:after="0" w:afterAutospacing="0" w:line="240" w:lineRule="exact"/>
              <w:ind w:left="0" w:right="0"/>
              <w:jc w:val="both"/>
              <w:rPr>
                <w:rFonts w:hint="eastAsia" w:ascii="仿宋_GB2312" w:hAnsi="宋体" w:eastAsia="仿宋_GB2312" w:cs="仿宋_GB2312"/>
                <w:i w:val="0"/>
                <w:color w:val="000000"/>
                <w:sz w:val="20"/>
                <w:szCs w:val="20"/>
              </w:rPr>
            </w:pPr>
            <w:r>
              <w:rPr>
                <w:rFonts w:hint="default" w:ascii="仿宋_GB2312" w:hAnsi="宋体" w:eastAsia="仿宋_GB2312" w:cs="仿宋_GB2312"/>
                <w:i w:val="0"/>
                <w:color w:val="000000"/>
                <w:sz w:val="20"/>
                <w:szCs w:val="20"/>
              </w:rPr>
              <w:t>《建设工程勘察设计管理条</w:t>
            </w:r>
            <w:r>
              <w:rPr>
                <w:rFonts w:hint="eastAsia" w:ascii="仿宋_GB2312" w:hAnsi="宋体" w:eastAsia="仿宋_GB2312" w:cs="仿宋_GB2312"/>
                <w:i w:val="0"/>
                <w:color w:val="000000"/>
                <w:sz w:val="20"/>
                <w:szCs w:val="20"/>
              </w:rPr>
              <w:t>例》第五条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2.《山东省建设工程勘察设计管理条例》第五条</w:t>
            </w:r>
          </w:p>
          <w:p>
            <w:pPr>
              <w:widowControl w:val="0"/>
              <w:numPr>
                <w:ilvl w:val="0"/>
                <w:numId w:val="1"/>
              </w:numPr>
              <w:spacing w:before="0" w:beforeAutospacing="0" w:after="0" w:afterAutospacing="0" w:line="240" w:lineRule="exact"/>
              <w:ind w:left="0" w:right="0"/>
              <w:jc w:val="both"/>
              <w:rPr>
                <w:rFonts w:hint="eastAsia" w:ascii="仿宋_GB2312" w:hAnsi="宋体" w:eastAsia="仿宋_GB2312" w:cs="仿宋_GB2312"/>
                <w:i w:val="0"/>
                <w:color w:val="000000"/>
                <w:sz w:val="20"/>
                <w:szCs w:val="20"/>
                <w:lang w:val="en-US"/>
              </w:rPr>
            </w:pPr>
            <w:r>
              <w:rPr>
                <w:rFonts w:hint="default" w:ascii="仿宋_GB2312" w:hAnsi="宋体" w:eastAsia="仿宋_GB2312" w:cs="仿宋_GB2312"/>
                <w:i w:val="0"/>
                <w:color w:val="000000"/>
                <w:sz w:val="20"/>
                <w:szCs w:val="20"/>
              </w:rPr>
              <w:t>《房屋建筑和市政基础设施工</w:t>
            </w:r>
            <w:r>
              <w:rPr>
                <w:rFonts w:hint="eastAsia" w:ascii="仿宋_GB2312" w:hAnsi="宋体" w:eastAsia="仿宋_GB2312" w:cs="仿宋_GB2312"/>
                <w:i w:val="0"/>
                <w:color w:val="000000"/>
                <w:sz w:val="20"/>
                <w:szCs w:val="20"/>
              </w:rPr>
              <w:t>程施工图设计文件审查管理办法》第十九条规定</w:t>
            </w:r>
          </w:p>
          <w:p>
            <w:pPr>
              <w:widowControl w:val="0"/>
              <w:numPr>
                <w:ilvl w:val="0"/>
                <w:numId w:val="0"/>
              </w:numPr>
              <w:spacing w:before="0" w:beforeAutospacing="0" w:after="0" w:afterAutospacing="0" w:line="240" w:lineRule="exact"/>
              <w:ind w:left="0" w:right="0" w:rightChars="0"/>
              <w:jc w:val="both"/>
              <w:rPr>
                <w:rFonts w:hint="eastAsia" w:eastAsia="仿宋_GB2312"/>
                <w:color w:val="0000FF"/>
                <w:lang w:val="en-US" w:eastAsia="zh-CN"/>
              </w:rPr>
            </w:pPr>
            <w:r>
              <w:rPr>
                <w:rFonts w:hint="eastAsia" w:ascii="仿宋_GB2312" w:hAnsi="宋体" w:eastAsia="仿宋_GB2312" w:cs="仿宋_GB2312"/>
                <w:i w:val="0"/>
                <w:color w:val="0000FF"/>
                <w:sz w:val="20"/>
                <w:szCs w:val="20"/>
                <w:lang w:val="en-US" w:eastAsia="zh-CN"/>
              </w:rPr>
              <w:t>3.</w:t>
            </w:r>
            <w:r>
              <w:rPr>
                <w:rFonts w:hint="default" w:ascii="仿宋_GB2312" w:hAnsi="宋体" w:eastAsia="仿宋_GB2312" w:cs="仿宋_GB2312"/>
                <w:i w:val="0"/>
                <w:color w:val="0000FF"/>
                <w:sz w:val="20"/>
                <w:szCs w:val="20"/>
                <w:lang w:val="en-US" w:eastAsia="zh-CN"/>
              </w:rPr>
              <w:t>《消防法》</w:t>
            </w:r>
            <w:r>
              <w:rPr>
                <w:rFonts w:hint="eastAsia" w:ascii="仿宋_GB2312" w:hAnsi="宋体" w:eastAsia="仿宋_GB2312" w:cs="仿宋_GB2312"/>
                <w:i w:val="0"/>
                <w:color w:val="0000FF"/>
                <w:sz w:val="20"/>
                <w:szCs w:val="20"/>
                <w:lang w:val="en-US" w:eastAsia="zh-CN"/>
              </w:rPr>
              <w:t>第十一条</w:t>
            </w:r>
          </w:p>
          <w:p>
            <w:pPr>
              <w:widowControl w:val="0"/>
              <w:numPr>
                <w:ilvl w:val="0"/>
                <w:numId w:val="0"/>
              </w:numPr>
              <w:spacing w:before="0" w:beforeAutospacing="0" w:after="0" w:afterAutospacing="0" w:line="240" w:lineRule="exact"/>
              <w:ind w:left="0" w:right="0" w:rightChars="0"/>
              <w:jc w:val="both"/>
              <w:rPr>
                <w:rFonts w:hint="eastAsia" w:ascii="仿宋_GB2312" w:hAnsi="宋体" w:eastAsia="仿宋_GB2312" w:cs="仿宋_GB2312"/>
                <w:i w:val="0"/>
                <w:color w:val="000000"/>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default" w:ascii="Times New Roman" w:hAnsi="Times New Roman" w:eastAsia="Times New Roman" w:cs="Times New Roman"/>
                <w:sz w:val="20"/>
                <w:szCs w:val="20"/>
              </w:rPr>
            </w:pPr>
          </w:p>
        </w:tc>
        <w:tc>
          <w:tcPr>
            <w:tcW w:w="732" w:type="dxa"/>
            <w:vMerge w:val="continue"/>
            <w:tcBorders>
              <w:left w:val="single" w:color="auto" w:sz="4" w:space="0"/>
              <w:bottom w:val="single" w:color="auto" w:sz="4" w:space="0"/>
              <w:right w:val="single" w:color="auto" w:sz="4" w:space="0"/>
            </w:tcBorders>
            <w:vAlign w:val="center"/>
          </w:tcPr>
          <w:p>
            <w:pPr>
              <w:spacing w:before="0" w:beforeAutospacing="0" w:after="0" w:afterAutospacing="0"/>
              <w:ind w:left="0" w:right="0"/>
              <w:rPr>
                <w:rFonts w:hint="default" w:ascii="Times New Roman" w:hAnsi="Times New Roman" w:eastAsia="Times New Roman" w:cs="Times New Roman"/>
                <w:b w:val="0"/>
                <w:bCs w:val="0"/>
                <w:sz w:val="20"/>
                <w:szCs w:val="20"/>
              </w:rPr>
            </w:pPr>
          </w:p>
        </w:tc>
        <w:tc>
          <w:tcPr>
            <w:tcW w:w="1254" w:type="dxa"/>
            <w:vMerge w:val="continue"/>
            <w:tcBorders>
              <w:left w:val="single" w:color="auto" w:sz="4" w:space="0"/>
              <w:bottom w:val="single" w:color="auto" w:sz="4" w:space="0"/>
              <w:right w:val="single" w:color="auto" w:sz="4" w:space="0"/>
            </w:tcBorders>
            <w:vAlign w:val="center"/>
          </w:tcPr>
          <w:p>
            <w:pPr>
              <w:spacing w:before="0" w:beforeAutospacing="0" w:after="0" w:afterAutospacing="0"/>
              <w:ind w:left="0" w:right="0"/>
              <w:rPr>
                <w:rFonts w:hint="default" w:ascii="Times New Roman" w:hAnsi="Times New Roman" w:eastAsia="Times New Roman" w:cs="Times New Roman"/>
                <w:b w:val="0"/>
                <w:bCs w:val="0"/>
                <w:sz w:val="20"/>
                <w:szCs w:val="20"/>
              </w:rPr>
            </w:pP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施工图设计文件审查机构</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检查施工图设计文件审查机构资格合规情况；检查施工图设计文件审查机构的审查行为</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 15%，每年抽查 1 次</w:t>
            </w:r>
          </w:p>
        </w:tc>
        <w:tc>
          <w:tcPr>
            <w:tcW w:w="1239" w:type="dxa"/>
            <w:tcBorders>
              <w:top w:val="single" w:color="auto" w:sz="4" w:space="0"/>
              <w:left w:val="single" w:color="auto" w:sz="4" w:space="0"/>
              <w:bottom w:val="single" w:color="auto" w:sz="4" w:space="0"/>
              <w:right w:val="single" w:color="auto" w:sz="4" w:space="0"/>
            </w:tcBorders>
            <w:vAlign w:val="top"/>
          </w:tcPr>
          <w:p>
            <w:pPr>
              <w:spacing w:before="0" w:beforeAutospacing="0" w:after="0" w:afterAutospacing="0"/>
              <w:ind w:left="0" w:right="0"/>
              <w:jc w:val="center"/>
              <w:rPr>
                <w:rFonts w:hint="default" w:ascii="Times New Roman" w:hAnsi="Times New Roman" w:eastAsia="Times New Roman" w:cs="Times New Roman"/>
                <w:sz w:val="20"/>
                <w:szCs w:val="20"/>
              </w:rPr>
            </w:pPr>
            <w:r>
              <w:rPr>
                <w:rFonts w:hint="eastAsia" w:ascii="仿宋_GB2312" w:hAnsi="仿宋" w:eastAsia="仿宋_GB2312" w:cs="仿宋"/>
                <w:color w:val="000000"/>
                <w:kern w:val="2"/>
                <w:sz w:val="20"/>
                <w:szCs w:val="20"/>
                <w:lang w:val="en-US" w:eastAsia="zh-CN" w:bidi="ar-SA"/>
              </w:rPr>
              <w:t>区级</w:t>
            </w:r>
          </w:p>
        </w:tc>
        <w:tc>
          <w:tcPr>
            <w:tcW w:w="3461" w:type="dxa"/>
            <w:vMerge w:val="continue"/>
            <w:tcBorders>
              <w:top w:val="single" w:color="auto" w:sz="4" w:space="0"/>
              <w:left w:val="single" w:color="auto" w:sz="4" w:space="0"/>
              <w:bottom w:val="single" w:color="auto" w:sz="4" w:space="0"/>
              <w:right w:val="single" w:color="auto" w:sz="4" w:space="0"/>
            </w:tcBorders>
            <w:vAlign w:val="top"/>
          </w:tcPr>
          <w:p>
            <w:pPr>
              <w:spacing w:before="0" w:beforeAutospacing="0" w:after="0" w:afterAutospacing="0"/>
              <w:ind w:left="0" w:right="0"/>
              <w:rPr>
                <w:rFonts w:hint="default"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11</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对房屋建筑和市政工程抗震设防监督检查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超限审查委员会，</w:t>
            </w:r>
          </w:p>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建设单位、勘察单位、设计单位、施工图审查机构等</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检查有关单位执行抗震设防管理规定情况，重点检查超限高层建筑工程抗震设防管理规定情况</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 5%，每年抽查 1 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1.《房屋建筑工程抗震设防管理</w:t>
            </w:r>
            <w:r>
              <w:rPr>
                <w:rFonts w:hint="eastAsia" w:ascii="仿宋_GB2312" w:hAnsi="宋体" w:eastAsia="仿宋_GB2312" w:cs="仿宋_GB2312"/>
                <w:i w:val="0"/>
                <w:color w:val="000000"/>
                <w:sz w:val="20"/>
                <w:szCs w:val="20"/>
              </w:rPr>
              <w:t>规定》第四条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2.《山东省建设工程抗震设防条例》第六条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12</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对建筑市场行为的监督检查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在建工程的建设单位、施工企业</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eastAsia" w:ascii="仿宋_GB2312" w:hAnsi="仿宋" w:eastAsia="仿宋_GB2312" w:cs="仿宋"/>
                <w:color w:val="0000FF"/>
                <w:kern w:val="2"/>
                <w:sz w:val="20"/>
                <w:szCs w:val="20"/>
                <w:lang w:val="en-US" w:eastAsia="zh-CN" w:bidi="ar-SA"/>
              </w:rPr>
            </w:pPr>
            <w:r>
              <w:rPr>
                <w:rFonts w:hint="eastAsia" w:ascii="仿宋_GB2312" w:hAnsi="仿宋" w:eastAsia="仿宋_GB2312" w:cs="仿宋"/>
                <w:color w:val="0000FF"/>
                <w:kern w:val="2"/>
                <w:sz w:val="20"/>
                <w:szCs w:val="20"/>
                <w:lang w:val="en-US" w:eastAsia="zh-CN" w:bidi="ar-SA"/>
              </w:rPr>
              <w:t>建设单位：是否存在违法发包行为；施工企业：是否存在转包、违法分包、挂靠、出借资质、超越资质承接业务行为</w:t>
            </w:r>
          </w:p>
          <w:p>
            <w:pPr>
              <w:widowControl w:val="0"/>
              <w:spacing w:before="0" w:beforeAutospacing="0" w:after="0" w:afterAutospacing="0" w:line="240" w:lineRule="exact"/>
              <w:ind w:left="0" w:leftChars="0" w:right="0"/>
              <w:jc w:val="both"/>
              <w:rPr>
                <w:rFonts w:hint="eastAsia" w:ascii="仿宋_GB2312" w:hAnsi="仿宋" w:eastAsia="仿宋_GB2312" w:cs="仿宋"/>
                <w:color w:val="0000FF"/>
                <w:kern w:val="2"/>
                <w:sz w:val="20"/>
                <w:szCs w:val="20"/>
                <w:lang w:val="en-US" w:eastAsia="zh-CN" w:bidi="ar-SA"/>
              </w:rPr>
            </w:pPr>
            <w:r>
              <w:rPr>
                <w:rFonts w:hint="eastAsia" w:ascii="仿宋_GB2312" w:hAnsi="仿宋" w:eastAsia="仿宋_GB2312" w:cs="仿宋"/>
                <w:color w:val="0000FF"/>
                <w:kern w:val="2"/>
                <w:sz w:val="20"/>
                <w:szCs w:val="20"/>
                <w:lang w:val="en-US" w:eastAsia="zh-CN" w:bidi="ar-SA"/>
              </w:rPr>
              <w:t>施工企业：检查项目负责人是否与中标通知书、施工许可证一致，项目负责人在岗履职情况；监理企业：检查项目总监是否与中标通知书、施工许可证一致，项目总监在岗履职情况</w:t>
            </w:r>
          </w:p>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FF"/>
                <w:kern w:val="2"/>
                <w:sz w:val="20"/>
                <w:szCs w:val="20"/>
                <w:lang w:val="en-US" w:eastAsia="zh-CN" w:bidi="ar-SA"/>
              </w:rPr>
              <w:t>落实实名制管理及“一书两金一户一卡”等制度情况</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每个月随机抽查1次抽查比例不少于5%的项目</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1. 《建筑法》第六条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2. 《</w:t>
            </w:r>
            <w:r>
              <w:rPr>
                <w:rFonts w:hint="default" w:ascii="仿宋_GB2312" w:hAnsi="宋体" w:eastAsia="仿宋_GB2312" w:cs="仿宋_GB2312"/>
                <w:i w:val="0"/>
                <w:color w:val="000000"/>
                <w:sz w:val="20"/>
                <w:szCs w:val="20"/>
                <w:lang w:val="en"/>
              </w:rPr>
              <w:t>建设工程质量管理条例</w:t>
            </w:r>
            <w:r>
              <w:rPr>
                <w:rFonts w:hint="eastAsia" w:ascii="仿宋_GB2312" w:hAnsi="宋体" w:eastAsia="仿宋_GB2312" w:cs="仿宋_GB2312"/>
                <w:i w:val="0"/>
                <w:color w:val="000000"/>
                <w:sz w:val="20"/>
                <w:szCs w:val="20"/>
              </w:rPr>
              <w:t>》第四条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3.《住房和城乡建设部关于印发建筑工程施工发包与承包违法行为认定查处管理办法的通知》（建市规〔 2019〕 1 号）第三条、第十五条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default"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13</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themeColor="text1"/>
                <w:kern w:val="2"/>
                <w:sz w:val="20"/>
                <w:szCs w:val="20"/>
                <w:lang w:val="en-US" w:eastAsia="zh-CN" w:bidi="ar-SA"/>
                <w14:textFill>
                  <w14:solidFill>
                    <w14:schemeClr w14:val="tx1"/>
                  </w14:solidFill>
                </w14:textFill>
              </w:rPr>
              <w:t>对建筑业企业资质监督检查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注册的建筑业、工</w:t>
            </w:r>
          </w:p>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程监理和工程造价</w:t>
            </w:r>
          </w:p>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企业、招标代理机构</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建筑业、工程监理和工程造价企业自查、主要人员、技术、装备等满足资质标准情况。以及招标代理机构工程建设类职称专职人员、代表性业绩以及组织评标等行为情况</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1. 《建筑业企业资质管理规定》</w:t>
            </w:r>
            <w:r>
              <w:rPr>
                <w:rFonts w:hint="eastAsia" w:ascii="仿宋_GB2312" w:hAnsi="宋体" w:eastAsia="仿宋_GB2312" w:cs="仿宋_GB2312"/>
                <w:i w:val="0"/>
                <w:color w:val="000000"/>
                <w:sz w:val="20"/>
                <w:szCs w:val="20"/>
              </w:rPr>
              <w:t>第二十四条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2. 《工程监理企业资质管理规定》第四条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3. 《工程造价咨询企业管理办法》第六条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4. 住房城乡建设部办公厅印发《关于取消工程建设项目招标代理机构资格认定加强事中事后监管的通知》（建办市〔 2017〕77 号）</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5. 山东省住房和城乡建设厅关于做好工程建设项目招标代理机构信息报送和事中事后监管工作的通知（鲁建建管函〔 2018〕</w:t>
            </w:r>
            <w:r>
              <w:rPr>
                <w:rFonts w:hint="eastAsia" w:ascii="仿宋_GB2312" w:hAnsi="宋体" w:eastAsia="仿宋_GB2312" w:cs="仿宋_GB2312"/>
                <w:i w:val="0"/>
                <w:color w:val="000000"/>
                <w:sz w:val="18"/>
                <w:szCs w:val="18"/>
              </w:rPr>
              <w:t>13</w:t>
            </w:r>
            <w:r>
              <w:rPr>
                <w:rFonts w:hint="eastAsia" w:ascii="仿宋_GB2312" w:hAnsi="宋体" w:eastAsia="仿宋_GB2312" w:cs="仿宋_GB2312"/>
                <w:i w:val="0"/>
                <w:color w:val="000000"/>
                <w:sz w:val="20"/>
                <w:szCs w:val="20"/>
              </w:rPr>
              <w:t>4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14</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各类工程建设标准、定额实施的监督检查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工程建设活动中各方主体</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工程建设活动中各方主体是否执行工程建设标准、定额</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1. 《建设工程质量管理条例》第</w:t>
            </w:r>
            <w:r>
              <w:rPr>
                <w:rFonts w:hint="eastAsia" w:ascii="仿宋_GB2312" w:hAnsi="宋体" w:eastAsia="仿宋_GB2312" w:cs="仿宋_GB2312"/>
                <w:i w:val="0"/>
                <w:color w:val="000000"/>
                <w:sz w:val="20"/>
                <w:szCs w:val="20"/>
              </w:rPr>
              <w:t>四十七条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2.《实施工程建设强制性标准监督规定》第四条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default" w:ascii="仿宋_GB2312" w:hAnsi="仿宋" w:eastAsia="仿宋_GB2312" w:cs="仿宋"/>
                <w:color w:val="000000"/>
                <w:sz w:val="20"/>
                <w:szCs w:val="20"/>
                <w:lang w:val="en-US" w:eastAsia="zh-CN"/>
              </w:rPr>
            </w:pPr>
            <w:r>
              <w:rPr>
                <w:rFonts w:hint="eastAsia" w:ascii="仿宋_GB2312" w:hAnsi="仿宋" w:eastAsia="仿宋_GB2312" w:cs="仿宋"/>
                <w:color w:val="000000"/>
                <w:sz w:val="20"/>
                <w:szCs w:val="20"/>
                <w:lang w:val="en-US" w:eastAsia="zh-CN"/>
              </w:rPr>
              <w:t>15</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对工程造价咨询企业执业情况监督检查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工程造价咨询企业、专职专业人员</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工程造价咨询企业资质情况；企业及企业中专职专业人员执业行为；工程造价咨询成果质量等</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山东省建设工程造价管理办法》</w:t>
            </w:r>
            <w:r>
              <w:rPr>
                <w:rFonts w:hint="eastAsia" w:ascii="仿宋_GB2312" w:hAnsi="宋体" w:eastAsia="仿宋_GB2312" w:cs="仿宋_GB2312"/>
                <w:i w:val="0"/>
                <w:color w:val="000000"/>
                <w:sz w:val="20"/>
                <w:szCs w:val="20"/>
              </w:rPr>
              <w:t>第五条、第三十一条、第三十九</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default"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16</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对工程造价计价（活动）的监督检查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工程建设活动中各</w:t>
            </w:r>
          </w:p>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方主体</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各类工程造价计价活动是否符合国家、省关于工程造价计价规范、规则的相关规定</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《山东省建设工程造价管理办</w:t>
            </w:r>
            <w:r>
              <w:rPr>
                <w:rFonts w:hint="eastAsia" w:ascii="仿宋_GB2312" w:hAnsi="宋体" w:eastAsia="仿宋_GB2312" w:cs="仿宋_GB2312"/>
                <w:i w:val="0"/>
                <w:color w:val="000000"/>
                <w:sz w:val="20"/>
                <w:szCs w:val="20"/>
              </w:rPr>
              <w:t>法》第五条、第三十七条、第四</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default"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17</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对建筑工程质量检测机构监督检查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default" w:ascii="仿宋_GB2312" w:hAnsi="仿宋" w:eastAsia="仿宋_GB2312" w:cs="仿宋"/>
                <w:b w:val="0"/>
                <w:bCs w:val="0"/>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建筑工程质量检测机构</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检测机构资质条件保持情况；检测人员检测能力情况；检测仪器设备配备、维护保养、使用情况；检测实验室环境条件控制情况；检测样品管理情况；原始记录、检测报告管理情况；检测业务委托合同备案及涉及结构安全检测结果不合格上报情况。</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全年抽查比例不低于 5%，每年抽查1次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default" w:ascii="仿宋_GB2312" w:hAnsi="宋体" w:eastAsia="仿宋_GB2312" w:cs="仿宋_GB2312"/>
                <w:i w:val="0"/>
                <w:color w:val="000000"/>
                <w:sz w:val="20"/>
                <w:szCs w:val="20"/>
                <w:lang w:val="en-US" w:eastAsia="zh-CN"/>
              </w:rPr>
            </w:pPr>
            <w:r>
              <w:rPr>
                <w:rFonts w:hint="eastAsia" w:ascii="仿宋_GB2312" w:hAnsi="宋体" w:eastAsia="仿宋_GB2312" w:cs="仿宋_GB2312"/>
                <w:i w:val="0"/>
                <w:color w:val="000000"/>
                <w:sz w:val="20"/>
                <w:szCs w:val="20"/>
                <w:lang w:val="en-US" w:eastAsia="zh-CN"/>
              </w:rPr>
              <w:t>1.</w:t>
            </w:r>
            <w:r>
              <w:rPr>
                <w:rFonts w:hint="default" w:ascii="仿宋_GB2312" w:hAnsi="宋体" w:eastAsia="仿宋_GB2312" w:cs="仿宋_GB2312"/>
                <w:i w:val="0"/>
                <w:color w:val="000000"/>
                <w:sz w:val="20"/>
                <w:szCs w:val="20"/>
                <w:lang w:val="en-US" w:eastAsia="zh-CN"/>
              </w:rPr>
              <w:t>《建设工程质量检测管理办法》（建设部令第141号）第二十一条：</w:t>
            </w:r>
          </w:p>
          <w:p>
            <w:pPr>
              <w:widowControl w:val="0"/>
              <w:spacing w:before="0" w:beforeAutospacing="0" w:after="0" w:afterAutospacing="0" w:line="240" w:lineRule="exact"/>
              <w:ind w:left="0" w:right="0"/>
              <w:jc w:val="both"/>
              <w:rPr>
                <w:rFonts w:hint="eastAsia" w:ascii="Verdana" w:hAnsi="Verdana" w:eastAsia="宋体" w:cs="Verdana"/>
                <w:i w:val="0"/>
                <w:iCs w:val="0"/>
                <w:color w:val="000000"/>
                <w:kern w:val="2"/>
                <w:sz w:val="20"/>
                <w:szCs w:val="20"/>
                <w:u w:val="none"/>
                <w:lang w:val="en-US" w:eastAsia="zh-CN" w:bidi="ar-SA"/>
              </w:rPr>
            </w:pPr>
            <w:r>
              <w:rPr>
                <w:rFonts w:hint="eastAsia" w:ascii="仿宋_GB2312" w:hAnsi="宋体" w:eastAsia="仿宋_GB2312" w:cs="仿宋_GB2312"/>
                <w:i w:val="0"/>
                <w:color w:val="000000"/>
                <w:sz w:val="20"/>
                <w:szCs w:val="20"/>
                <w:lang w:val="en-US" w:eastAsia="zh-CN"/>
              </w:rPr>
              <w:t>2.</w:t>
            </w:r>
            <w:r>
              <w:rPr>
                <w:rFonts w:hint="default" w:ascii="仿宋_GB2312" w:hAnsi="宋体" w:eastAsia="仿宋_GB2312" w:cs="仿宋_GB2312"/>
                <w:i w:val="0"/>
                <w:color w:val="000000"/>
                <w:sz w:val="20"/>
                <w:szCs w:val="20"/>
                <w:lang w:val="en-US" w:eastAsia="zh-CN"/>
              </w:rPr>
              <w:t>《建设工程质量检测管理办法》（建设部令第141号）第二十二条：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default"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18</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对房地产开发企业的监督检查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房地产开发企业</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检查房地产开发企业是否按照相关法规、规章规定开展商品房预售活动是否按照相关法律、法规、规章规定开展房地产开发经营活动；是否按照有关规定要求，开展竣工综合验收备案</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全年抽查比例不低于 5%，每年抽查2次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1.《城市房地产开发经营管理条</w:t>
            </w:r>
            <w:r>
              <w:rPr>
                <w:rFonts w:hint="eastAsia" w:ascii="仿宋_GB2312" w:hAnsi="宋体" w:eastAsia="仿宋_GB2312" w:cs="仿宋_GB2312"/>
                <w:i w:val="0"/>
                <w:color w:val="000000"/>
                <w:sz w:val="20"/>
                <w:szCs w:val="20"/>
              </w:rPr>
              <w:t>例》第四条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2. 《山东省商品房销售条例》第五条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3.《山东省城市房地产开发经营管理条例》第七条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4.《山东省城市房地产开发经营管理条例》第三十四条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5. 《城市商品房预售管理办法》第四条”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6. 《商品房销售管理办法》第五条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7.《山东省房地产开发项目竣工综合验收备案办法》（鲁建发</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18"/>
                <w:szCs w:val="18"/>
              </w:rPr>
              <w:t>15</w:t>
            </w:r>
            <w:r>
              <w:rPr>
                <w:rFonts w:hint="eastAsia" w:ascii="仿宋_GB2312" w:hAnsi="宋体" w:eastAsia="仿宋_GB2312" w:cs="仿宋_GB2312"/>
                <w:i w:val="0"/>
                <w:color w:val="000000"/>
                <w:sz w:val="18"/>
                <w:szCs w:val="18"/>
              </w:rPr>
              <w:br w:type="textWrapping"/>
            </w:r>
            <w:r>
              <w:rPr>
                <w:rFonts w:hint="eastAsia" w:ascii="仿宋_GB2312" w:hAnsi="宋体" w:eastAsia="仿宋_GB2312" w:cs="仿宋_GB2312"/>
                <w:i w:val="0"/>
                <w:color w:val="000000"/>
                <w:sz w:val="20"/>
                <w:szCs w:val="20"/>
              </w:rPr>
              <w:t>[2009]11 号）第三条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default"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19</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对房地产估价机构的监督检查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房地产估价机构、</w:t>
            </w:r>
          </w:p>
          <w:p>
            <w:pPr>
              <w:widowControl w:val="0"/>
              <w:spacing w:before="0" w:beforeAutospacing="0" w:after="0" w:afterAutospacing="0" w:line="240" w:lineRule="exact"/>
              <w:ind w:left="0" w:leftChars="0" w:right="0"/>
              <w:jc w:val="both"/>
              <w:rPr>
                <w:rFonts w:hint="default"/>
              </w:rPr>
            </w:pP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检查房地产估价机构是否备案且满足备案条件；市场行为是否符合法律法规规章规定的规范</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一般检查事项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全年抽查比例不低于 5%，每年抽查1次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1《房地产估价机构管理办法》</w:t>
            </w:r>
            <w:r>
              <w:rPr>
                <w:rFonts w:hint="eastAsia" w:ascii="仿宋_GB2312" w:hAnsi="宋体" w:eastAsia="仿宋_GB2312" w:cs="仿宋_GB2312"/>
                <w:i w:val="0"/>
                <w:color w:val="000000"/>
                <w:sz w:val="20"/>
                <w:szCs w:val="20"/>
              </w:rPr>
              <w:t>第三十七条</w:t>
            </w:r>
            <w:r>
              <w:rPr>
                <w:rFonts w:hint="eastAsia" w:ascii="仿宋_GB2312" w:hAnsi="宋体" w:eastAsia="仿宋_GB2312" w:cs="仿宋_GB2312"/>
                <w:i w:val="0"/>
                <w:color w:val="000000"/>
                <w:sz w:val="20"/>
                <w:szCs w:val="20"/>
              </w:rPr>
              <w:br w:type="textWrapping"/>
            </w:r>
            <w:r>
              <w:rPr>
                <w:rFonts w:hint="eastAsia" w:ascii="仿宋_GB2312" w:hAnsi="宋体" w:eastAsia="仿宋_GB2312" w:cs="仿宋_GB2312"/>
                <w:i w:val="0"/>
                <w:color w:val="000000"/>
                <w:sz w:val="20"/>
                <w:szCs w:val="20"/>
              </w:rPr>
              <w:t>2. 《房地产经纪管理办法》第二十八条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default"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20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00"/>
                <w:sz w:val="20"/>
                <w:szCs w:val="20"/>
                <w:lang w:val="en-US"/>
              </w:rPr>
            </w:pPr>
            <w:r>
              <w:rPr>
                <w:rFonts w:hint="eastAsia" w:ascii="仿宋_GB2312" w:hAnsi="仿宋" w:eastAsia="仿宋_GB2312" w:cs="仿宋"/>
                <w:b w:val="0"/>
                <w:bCs w:val="0"/>
                <w:color w:val="000000"/>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b w:val="0"/>
                <w:bCs w:val="0"/>
                <w:color w:val="000000"/>
                <w:kern w:val="2"/>
                <w:sz w:val="20"/>
                <w:szCs w:val="20"/>
                <w:lang w:val="en-US" w:eastAsia="zh-CN" w:bidi="ar-SA"/>
              </w:rPr>
              <w:t>对房地产经纪活动的检查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房地产经纪机构</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房地产经纪业务承接、经营场所公示内容、经纪服务合同、房源信息发布、客户交易资金划转，是否符合《房地产经纪管理办法》相关规定</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一般检查</w:t>
            </w:r>
          </w:p>
          <w:p>
            <w:pPr>
              <w:widowControl w:val="0"/>
              <w:spacing w:before="0" w:beforeAutospacing="0" w:after="0" w:afterAutospacing="0" w:line="240" w:lineRule="exact"/>
              <w:ind w:left="0" w:leftChars="0" w:right="0"/>
              <w:jc w:val="both"/>
              <w:rPr>
                <w:rFonts w:hint="default"/>
              </w:rPr>
            </w:pPr>
            <w:r>
              <w:rPr>
                <w:rFonts w:hint="eastAsia" w:ascii="仿宋_GB2312" w:hAnsi="仿宋" w:eastAsia="仿宋_GB2312" w:cs="仿宋"/>
                <w:color w:val="000000"/>
                <w:kern w:val="2"/>
                <w:sz w:val="20"/>
                <w:szCs w:val="20"/>
                <w:lang w:val="en-US" w:eastAsia="zh-CN" w:bidi="ar-SA"/>
              </w:rPr>
              <w:t>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00"/>
                <w:kern w:val="2"/>
                <w:sz w:val="20"/>
                <w:szCs w:val="20"/>
                <w:lang w:val="en-US" w:eastAsia="zh-CN" w:bidi="ar-SA"/>
              </w:rPr>
            </w:pPr>
            <w:r>
              <w:rPr>
                <w:rFonts w:hint="eastAsia" w:ascii="仿宋" w:hAnsi="仿宋" w:eastAsia="仿宋" w:cs="仿宋"/>
                <w:color w:val="000000"/>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eastAsia" w:ascii="仿宋_GB2312" w:hAnsi="仿宋" w:eastAsia="仿宋_GB2312" w:cs="仿宋"/>
                <w:color w:val="000000"/>
                <w:kern w:val="2"/>
                <w:sz w:val="20"/>
                <w:szCs w:val="20"/>
                <w:lang w:val="en-US" w:eastAsia="zh-CN" w:bidi="ar-SA"/>
              </w:rPr>
              <w:t>全年抽查比例不低于 5%，每季度抽查1次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00"/>
                <w:kern w:val="2"/>
                <w:sz w:val="20"/>
                <w:szCs w:val="20"/>
                <w:lang w:val="en-US" w:eastAsia="zh-CN" w:bidi="ar-SA"/>
              </w:rPr>
            </w:pPr>
            <w:r>
              <w:rPr>
                <w:rFonts w:hint="eastAsia" w:ascii="仿宋_GB2312" w:hAnsi="仿宋" w:eastAsia="仿宋_GB2312" w:cs="仿宋"/>
                <w:color w:val="000000"/>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eastAsia" w:ascii="仿宋_GB2312" w:hAnsi="仿宋" w:eastAsia="仿宋_GB2312" w:cs="仿宋"/>
                <w:color w:val="000000"/>
                <w:sz w:val="20"/>
                <w:szCs w:val="20"/>
                <w:lang w:val="en-US"/>
              </w:rPr>
            </w:pPr>
            <w:r>
              <w:rPr>
                <w:rFonts w:hint="default" w:ascii="仿宋_GB2312" w:hAnsi="宋体" w:eastAsia="仿宋_GB2312" w:cs="仿宋_GB2312"/>
                <w:i w:val="0"/>
                <w:color w:val="000000"/>
                <w:sz w:val="20"/>
                <w:szCs w:val="20"/>
              </w:rPr>
              <w:t>《房地产经纪管理办法》第十四</w:t>
            </w:r>
            <w:r>
              <w:rPr>
                <w:rFonts w:hint="eastAsia" w:ascii="仿宋_GB2312" w:hAnsi="宋体" w:eastAsia="仿宋_GB2312" w:cs="仿宋_GB2312"/>
                <w:i w:val="0"/>
                <w:color w:val="000000"/>
                <w:sz w:val="20"/>
                <w:szCs w:val="20"/>
              </w:rPr>
              <w:t>条、第十五条、第十六条、第十七条、第二十条、第二十一条、第二十二条、第二十四条、第二十五条、第二十六条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default" w:ascii="仿宋_GB2312" w:hAnsi="仿宋" w:eastAsia="仿宋_GB2312" w:cs="仿宋"/>
                <w:color w:val="0000FF"/>
                <w:kern w:val="2"/>
                <w:sz w:val="20"/>
                <w:szCs w:val="20"/>
                <w:lang w:val="en-US" w:eastAsia="zh-CN" w:bidi="ar-SA"/>
              </w:rPr>
            </w:pPr>
            <w:r>
              <w:rPr>
                <w:rFonts w:hint="eastAsia" w:ascii="仿宋_GB2312" w:hAnsi="仿宋" w:eastAsia="仿宋_GB2312" w:cs="仿宋"/>
                <w:color w:val="0000FF"/>
                <w:kern w:val="2"/>
                <w:sz w:val="20"/>
                <w:szCs w:val="20"/>
                <w:lang w:val="en-US" w:eastAsia="zh-CN" w:bidi="ar-SA"/>
              </w:rPr>
              <w:t>21</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FF"/>
                <w:sz w:val="20"/>
                <w:szCs w:val="20"/>
                <w:lang w:val="en-US" w:eastAsia="zh-CN"/>
              </w:rPr>
            </w:pPr>
            <w:r>
              <w:rPr>
                <w:rFonts w:hint="eastAsia" w:ascii="仿宋_GB2312" w:hAnsi="仿宋" w:eastAsia="仿宋_GB2312" w:cs="仿宋"/>
                <w:b w:val="0"/>
                <w:bCs w:val="0"/>
                <w:color w:val="0000FF"/>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Verdana" w:hAnsi="Verdana" w:eastAsia="宋体" w:cs="Verdana"/>
                <w:i w:val="0"/>
                <w:iCs w:val="0"/>
                <w:color w:val="0000FF"/>
                <w:kern w:val="2"/>
                <w:sz w:val="20"/>
                <w:szCs w:val="20"/>
                <w:u w:val="none"/>
                <w:lang w:val="en-US" w:eastAsia="zh-CN" w:bidi="ar-SA"/>
              </w:rPr>
            </w:pPr>
            <w:r>
              <w:rPr>
                <w:rFonts w:hint="eastAsia" w:ascii="仿宋_GB2312" w:hAnsi="仿宋_GB2312" w:eastAsia="仿宋_GB2312" w:cs="仿宋_GB2312"/>
                <w:i w:val="0"/>
                <w:iCs w:val="0"/>
                <w:color w:val="0000FF"/>
                <w:kern w:val="0"/>
                <w:sz w:val="20"/>
                <w:szCs w:val="20"/>
                <w:u w:val="none"/>
                <w:lang w:val="en-US" w:eastAsia="zh-CN" w:bidi="ar"/>
              </w:rPr>
              <w:t>对预拌混凝土质量监督检查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eastAsia" w:ascii="仿宋_GB2312" w:hAnsi="仿宋" w:eastAsia="仿宋_GB2312" w:cs="仿宋"/>
                <w:color w:val="0000FF"/>
                <w:kern w:val="2"/>
                <w:sz w:val="20"/>
                <w:szCs w:val="20"/>
                <w:lang w:val="en-US" w:eastAsia="zh-CN" w:bidi="ar-SA"/>
              </w:rPr>
            </w:pPr>
            <w:r>
              <w:rPr>
                <w:rFonts w:hint="eastAsia" w:ascii="仿宋_GB2312" w:hAnsi="仿宋" w:eastAsia="仿宋_GB2312" w:cs="仿宋"/>
                <w:color w:val="0000FF"/>
                <w:kern w:val="2"/>
                <w:sz w:val="20"/>
                <w:szCs w:val="20"/>
                <w:lang w:val="en-US" w:eastAsia="zh-CN" w:bidi="ar-SA"/>
              </w:rPr>
              <w:t>预拌混凝土企业</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eastAsia" w:ascii="仿宋_GB2312" w:hAnsi="仿宋" w:eastAsia="仿宋_GB2312" w:cs="仿宋"/>
                <w:color w:val="0000FF"/>
                <w:kern w:val="2"/>
                <w:sz w:val="20"/>
                <w:szCs w:val="20"/>
                <w:lang w:val="en-US" w:eastAsia="zh-CN" w:bidi="ar-SA"/>
              </w:rPr>
            </w:pPr>
            <w:r>
              <w:rPr>
                <w:rFonts w:hint="eastAsia" w:ascii="仿宋_GB2312" w:hAnsi="仿宋" w:eastAsia="仿宋_GB2312" w:cs="仿宋"/>
                <w:color w:val="0000FF"/>
                <w:kern w:val="2"/>
                <w:sz w:val="20"/>
                <w:szCs w:val="20"/>
                <w:lang w:val="en-US" w:eastAsia="zh-CN" w:bidi="ar-SA"/>
              </w:rPr>
              <w:t>检查预拌混凝土预拌砂浆及建筑构配件生产企业应当具备相应的技术装备，并按照国家规定配备符合质量管理要求的试验室，供应的预拌混凝土预拌砂浆及建筑构配件应当符合技术标准要求。预拌混凝土预拌砂浆及建筑构配件生产企业应当建立档案管理制度，生产过程质量控制资料和产品质量合格证明文件应当真实完整，不得弄虚作假。</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FF"/>
                <w:sz w:val="20"/>
                <w:szCs w:val="20"/>
                <w:lang w:val="en-US"/>
              </w:rPr>
            </w:pPr>
            <w:r>
              <w:rPr>
                <w:rFonts w:hint="eastAsia" w:ascii="仿宋_GB2312" w:hAnsi="仿宋" w:eastAsia="仿宋_GB2312" w:cs="仿宋"/>
                <w:color w:val="0000FF"/>
                <w:kern w:val="2"/>
                <w:sz w:val="20"/>
                <w:szCs w:val="20"/>
                <w:lang w:val="en-US" w:eastAsia="zh-CN" w:bidi="ar-SA"/>
              </w:rPr>
              <w:t>一般检查</w:t>
            </w:r>
          </w:p>
          <w:p>
            <w:pPr>
              <w:widowControl w:val="0"/>
              <w:spacing w:before="0" w:beforeAutospacing="0" w:after="0" w:afterAutospacing="0" w:line="240" w:lineRule="exact"/>
              <w:ind w:left="0" w:leftChars="0" w:right="0" w:rightChars="0"/>
              <w:jc w:val="both"/>
              <w:rPr>
                <w:rFonts w:hint="eastAsia" w:ascii="Calibri" w:hAnsi="Calibri" w:eastAsia="宋体" w:cs="黑体"/>
                <w:color w:val="0000FF"/>
                <w:kern w:val="2"/>
                <w:sz w:val="21"/>
                <w:szCs w:val="22"/>
                <w:lang w:val="en-US" w:eastAsia="zh-CN" w:bidi="ar-SA"/>
              </w:rPr>
            </w:pPr>
            <w:r>
              <w:rPr>
                <w:rFonts w:hint="eastAsia" w:ascii="仿宋_GB2312" w:hAnsi="仿宋" w:eastAsia="仿宋_GB2312" w:cs="仿宋"/>
                <w:color w:val="0000FF"/>
                <w:kern w:val="2"/>
                <w:sz w:val="20"/>
                <w:szCs w:val="20"/>
                <w:lang w:val="en-US" w:eastAsia="zh-CN" w:bidi="ar-SA"/>
              </w:rPr>
              <w:t>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rightChars="0"/>
              <w:jc w:val="both"/>
              <w:rPr>
                <w:rFonts w:hint="eastAsia" w:ascii="仿宋_GB2312" w:hAnsi="仿宋" w:eastAsia="仿宋_GB2312" w:cs="仿宋"/>
                <w:color w:val="0000FF"/>
                <w:kern w:val="2"/>
                <w:sz w:val="20"/>
                <w:szCs w:val="20"/>
                <w:lang w:val="en-US" w:eastAsia="zh-CN" w:bidi="ar-SA"/>
              </w:rPr>
            </w:pPr>
            <w:r>
              <w:rPr>
                <w:rFonts w:hint="eastAsia" w:ascii="仿宋" w:hAnsi="仿宋" w:eastAsia="仿宋" w:cs="仿宋"/>
                <w:color w:val="0000FF"/>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leftChars="0" w:right="0" w:rightChars="0"/>
              <w:jc w:val="both"/>
              <w:rPr>
                <w:rFonts w:hint="eastAsia" w:ascii="仿宋_GB2312" w:hAnsi="仿宋" w:eastAsia="仿宋_GB2312" w:cs="仿宋"/>
                <w:color w:val="0000FF"/>
                <w:kern w:val="2"/>
                <w:sz w:val="20"/>
                <w:szCs w:val="20"/>
                <w:lang w:val="en-US" w:eastAsia="zh-CN" w:bidi="ar-SA"/>
              </w:rPr>
            </w:pPr>
            <w:r>
              <w:rPr>
                <w:rFonts w:hint="eastAsia" w:ascii="仿宋_GB2312" w:hAnsi="仿宋" w:eastAsia="仿宋_GB2312" w:cs="仿宋"/>
                <w:color w:val="0000FF"/>
                <w:kern w:val="2"/>
                <w:sz w:val="20"/>
                <w:szCs w:val="20"/>
                <w:lang w:val="en-US" w:eastAsia="zh-CN" w:bidi="ar-SA"/>
              </w:rPr>
              <w:t>全年抽查比例不低于 5%，每季度抽查1次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center"/>
              <w:rPr>
                <w:rFonts w:hint="eastAsia" w:ascii="仿宋_GB2312" w:hAnsi="仿宋" w:eastAsia="仿宋_GB2312" w:cs="仿宋"/>
                <w:color w:val="0000FF"/>
                <w:kern w:val="2"/>
                <w:sz w:val="20"/>
                <w:szCs w:val="20"/>
                <w:lang w:val="en-US" w:eastAsia="zh-CN" w:bidi="ar-SA"/>
              </w:rPr>
            </w:pPr>
            <w:r>
              <w:rPr>
                <w:rFonts w:hint="eastAsia" w:ascii="仿宋_GB2312" w:hAnsi="仿宋" w:eastAsia="仿宋_GB2312" w:cs="仿宋"/>
                <w:color w:val="0000FF"/>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default" w:ascii="仿宋_GB2312" w:hAnsi="宋体" w:eastAsia="仿宋_GB2312" w:cs="仿宋_GB2312"/>
                <w:i w:val="0"/>
                <w:color w:val="0000FF"/>
                <w:sz w:val="20"/>
                <w:szCs w:val="20"/>
              </w:rPr>
            </w:pPr>
            <w:r>
              <w:rPr>
                <w:rFonts w:hint="default" w:ascii="仿宋_GB2312" w:hAnsi="宋体" w:eastAsia="仿宋_GB2312" w:cs="仿宋_GB2312"/>
                <w:i w:val="0"/>
                <w:color w:val="0000FF"/>
                <w:sz w:val="20"/>
                <w:szCs w:val="20"/>
              </w:rPr>
              <w:t>《山东省房屋建筑和市政工程质量监督管理办法》第六条</w:t>
            </w:r>
            <w:r>
              <w:rPr>
                <w:rFonts w:hint="eastAsia" w:ascii="仿宋_GB2312" w:hAnsi="宋体" w:eastAsia="仿宋_GB2312" w:cs="仿宋_GB2312"/>
                <w:i w:val="0"/>
                <w:color w:val="0000FF"/>
                <w:sz w:val="20"/>
                <w:szCs w:val="20"/>
                <w:lang w:eastAsia="zh-CN"/>
              </w:rPr>
              <w:t>、</w:t>
            </w:r>
            <w:r>
              <w:rPr>
                <w:rFonts w:hint="default" w:ascii="仿宋_GB2312" w:hAnsi="宋体" w:eastAsia="仿宋_GB2312" w:cs="仿宋_GB2312"/>
                <w:i w:val="0"/>
                <w:color w:val="0000FF"/>
                <w:sz w:val="20"/>
                <w:szCs w:val="20"/>
              </w:rPr>
              <w:t>第二十八条</w:t>
            </w:r>
            <w:r>
              <w:rPr>
                <w:rFonts w:hint="eastAsia" w:ascii="仿宋_GB2312" w:hAnsi="宋体" w:eastAsia="仿宋_GB2312" w:cs="仿宋_GB2312"/>
                <w:i w:val="0"/>
                <w:color w:val="0000FF"/>
                <w:sz w:val="20"/>
                <w:szCs w:val="20"/>
                <w:lang w:eastAsia="zh-CN"/>
              </w:rPr>
              <w:t>、</w:t>
            </w:r>
            <w:r>
              <w:rPr>
                <w:rFonts w:hint="default" w:ascii="仿宋_GB2312" w:hAnsi="宋体" w:eastAsia="仿宋_GB2312" w:cs="仿宋_GB2312"/>
                <w:i w:val="0"/>
                <w:color w:val="0000FF"/>
                <w:sz w:val="20"/>
                <w:szCs w:val="20"/>
              </w:rPr>
              <w:t>第三十一条（三）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default" w:ascii="仿宋_GB2312" w:hAnsi="仿宋" w:eastAsia="仿宋_GB2312" w:cs="仿宋"/>
                <w:color w:val="0000FF"/>
                <w:kern w:val="2"/>
                <w:sz w:val="20"/>
                <w:szCs w:val="20"/>
                <w:lang w:val="en-US" w:eastAsia="zh-CN" w:bidi="ar-SA"/>
              </w:rPr>
            </w:pPr>
            <w:r>
              <w:rPr>
                <w:rFonts w:hint="eastAsia" w:ascii="仿宋_GB2312" w:hAnsi="仿宋" w:eastAsia="仿宋_GB2312" w:cs="仿宋"/>
                <w:color w:val="0000FF"/>
                <w:kern w:val="2"/>
                <w:sz w:val="20"/>
                <w:szCs w:val="20"/>
                <w:lang w:val="en-US" w:eastAsia="zh-CN" w:bidi="ar-SA"/>
              </w:rPr>
              <w:t>22</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FF"/>
                <w:sz w:val="20"/>
                <w:szCs w:val="20"/>
                <w:lang w:val="en-US" w:eastAsia="zh-CN"/>
              </w:rPr>
            </w:pPr>
            <w:r>
              <w:rPr>
                <w:rFonts w:hint="eastAsia" w:ascii="仿宋_GB2312" w:hAnsi="仿宋" w:eastAsia="仿宋_GB2312" w:cs="仿宋"/>
                <w:b w:val="0"/>
                <w:bCs w:val="0"/>
                <w:color w:val="0000FF"/>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FF"/>
                <w:kern w:val="0"/>
                <w:sz w:val="20"/>
                <w:szCs w:val="20"/>
                <w:u w:val="none"/>
                <w:lang w:val="en-US" w:eastAsia="zh-CN" w:bidi="ar"/>
              </w:rPr>
            </w:pPr>
            <w:r>
              <w:rPr>
                <w:rFonts w:hint="default" w:ascii="仿宋_GB2312" w:hAnsi="仿宋_GB2312" w:eastAsia="仿宋_GB2312" w:cs="仿宋_GB2312"/>
                <w:i w:val="0"/>
                <w:iCs w:val="0"/>
                <w:color w:val="0000FF"/>
                <w:kern w:val="0"/>
                <w:sz w:val="20"/>
                <w:szCs w:val="20"/>
                <w:u w:val="none"/>
                <w:lang w:val="en-US" w:eastAsia="zh-CN" w:bidi="ar"/>
              </w:rPr>
              <w:t>对</w:t>
            </w:r>
            <w:r>
              <w:rPr>
                <w:rFonts w:hint="eastAsia" w:ascii="仿宋_GB2312" w:hAnsi="仿宋_GB2312" w:eastAsia="仿宋_GB2312" w:cs="仿宋_GB2312"/>
                <w:i w:val="0"/>
                <w:iCs w:val="0"/>
                <w:color w:val="0000FF"/>
                <w:kern w:val="0"/>
                <w:sz w:val="20"/>
                <w:szCs w:val="20"/>
                <w:u w:val="none"/>
                <w:lang w:val="en-US" w:eastAsia="zh-CN" w:bidi="ar"/>
              </w:rPr>
              <w:t>住房</w:t>
            </w:r>
            <w:r>
              <w:rPr>
                <w:rFonts w:hint="default" w:ascii="仿宋_GB2312" w:hAnsi="仿宋_GB2312" w:eastAsia="仿宋_GB2312" w:cs="仿宋_GB2312"/>
                <w:i w:val="0"/>
                <w:iCs w:val="0"/>
                <w:color w:val="0000FF"/>
                <w:kern w:val="0"/>
                <w:sz w:val="20"/>
                <w:szCs w:val="20"/>
                <w:u w:val="none"/>
                <w:lang w:val="en-US" w:eastAsia="zh-CN" w:bidi="ar"/>
              </w:rPr>
              <w:t>租赁</w:t>
            </w:r>
            <w:r>
              <w:rPr>
                <w:rFonts w:hint="eastAsia" w:ascii="仿宋_GB2312" w:hAnsi="仿宋_GB2312" w:eastAsia="仿宋_GB2312" w:cs="仿宋_GB2312"/>
                <w:i w:val="0"/>
                <w:iCs w:val="0"/>
                <w:color w:val="0000FF"/>
                <w:kern w:val="0"/>
                <w:sz w:val="20"/>
                <w:szCs w:val="20"/>
                <w:u w:val="none"/>
                <w:lang w:val="en-US" w:eastAsia="zh-CN" w:bidi="ar"/>
              </w:rPr>
              <w:t>机构的监督检查</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eastAsia" w:ascii="仿宋_GB2312" w:hAnsi="仿宋" w:eastAsia="仿宋_GB2312" w:cs="仿宋"/>
                <w:color w:val="0000FF"/>
                <w:kern w:val="2"/>
                <w:sz w:val="20"/>
                <w:szCs w:val="20"/>
                <w:lang w:val="en-US" w:eastAsia="zh-CN" w:bidi="ar-SA"/>
              </w:rPr>
            </w:pPr>
            <w:r>
              <w:rPr>
                <w:rFonts w:hint="eastAsia" w:ascii="仿宋_GB2312" w:hAnsi="仿宋" w:eastAsia="仿宋_GB2312" w:cs="仿宋"/>
                <w:color w:val="0000FF"/>
                <w:kern w:val="2"/>
                <w:sz w:val="20"/>
                <w:szCs w:val="20"/>
                <w:lang w:val="en-US" w:eastAsia="zh-CN" w:bidi="ar-SA"/>
              </w:rPr>
              <w:t>房屋租赁企业</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jc w:val="both"/>
              <w:rPr>
                <w:rFonts w:hint="eastAsia" w:ascii="仿宋_GB2312" w:hAnsi="仿宋" w:eastAsia="仿宋_GB2312" w:cs="仿宋"/>
                <w:color w:val="0000FF"/>
                <w:kern w:val="2"/>
                <w:sz w:val="20"/>
                <w:szCs w:val="20"/>
                <w:lang w:val="en-US" w:eastAsia="zh-CN" w:bidi="ar-SA"/>
              </w:rPr>
            </w:pPr>
            <w:r>
              <w:rPr>
                <w:rFonts w:hint="eastAsia" w:ascii="仿宋_GB2312" w:hAnsi="仿宋" w:eastAsia="仿宋_GB2312" w:cs="仿宋"/>
                <w:color w:val="0000FF"/>
                <w:kern w:val="2"/>
                <w:sz w:val="20"/>
                <w:szCs w:val="20"/>
                <w:lang w:val="en-US" w:eastAsia="zh-CN" w:bidi="ar-SA"/>
              </w:rPr>
              <w:t>检查租房租赁企业是否提交开业报告；市场行为是否符合法律规章规定的规范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0"/>
              <w:jc w:val="left"/>
              <w:rPr>
                <w:rFonts w:hint="eastAsia" w:ascii="微软雅黑" w:hAnsi="微软雅黑" w:eastAsia="微软雅黑" w:cs="微软雅黑"/>
                <w:i w:val="0"/>
                <w:iCs w:val="0"/>
                <w:caps w:val="0"/>
                <w:color w:val="0000FF"/>
                <w:spacing w:val="0"/>
                <w:sz w:val="24"/>
                <w:szCs w:val="24"/>
              </w:rPr>
            </w:pPr>
          </w:p>
          <w:p>
            <w:pPr>
              <w:widowControl w:val="0"/>
              <w:spacing w:before="0" w:beforeAutospacing="0" w:after="0" w:afterAutospacing="0" w:line="240" w:lineRule="exact"/>
              <w:ind w:left="0" w:leftChars="0" w:right="0"/>
              <w:jc w:val="both"/>
              <w:rPr>
                <w:rFonts w:hint="eastAsia" w:ascii="仿宋_GB2312" w:hAnsi="仿宋" w:eastAsia="仿宋_GB2312" w:cs="仿宋"/>
                <w:color w:val="0000FF"/>
                <w:kern w:val="2"/>
                <w:sz w:val="20"/>
                <w:szCs w:val="20"/>
                <w:lang w:val="en-US" w:eastAsia="zh-CN" w:bidi="ar-SA"/>
              </w:rPr>
            </w:pP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FF"/>
                <w:sz w:val="20"/>
                <w:szCs w:val="20"/>
                <w:lang w:val="en-US"/>
              </w:rPr>
            </w:pPr>
            <w:r>
              <w:rPr>
                <w:rFonts w:hint="eastAsia" w:ascii="仿宋_GB2312" w:hAnsi="仿宋" w:eastAsia="仿宋_GB2312" w:cs="仿宋"/>
                <w:color w:val="0000FF"/>
                <w:kern w:val="2"/>
                <w:sz w:val="20"/>
                <w:szCs w:val="20"/>
                <w:lang w:val="en-US" w:eastAsia="zh-CN" w:bidi="ar-SA"/>
              </w:rPr>
              <w:t>一般检查</w:t>
            </w:r>
          </w:p>
          <w:p>
            <w:pPr>
              <w:widowControl w:val="0"/>
              <w:spacing w:before="0" w:beforeAutospacing="0" w:after="0" w:afterAutospacing="0" w:line="240" w:lineRule="exact"/>
              <w:ind w:left="0" w:leftChars="0" w:right="0" w:rightChars="0"/>
              <w:jc w:val="both"/>
              <w:rPr>
                <w:rFonts w:hint="eastAsia" w:ascii="Calibri" w:hAnsi="Calibri" w:eastAsia="宋体" w:cs="黑体"/>
                <w:color w:val="0000FF"/>
                <w:kern w:val="2"/>
                <w:sz w:val="21"/>
                <w:szCs w:val="22"/>
                <w:lang w:val="en-US" w:eastAsia="zh-CN" w:bidi="ar-SA"/>
              </w:rPr>
            </w:pPr>
            <w:r>
              <w:rPr>
                <w:rFonts w:hint="eastAsia" w:ascii="仿宋_GB2312" w:hAnsi="仿宋" w:eastAsia="仿宋_GB2312" w:cs="仿宋"/>
                <w:color w:val="0000FF"/>
                <w:kern w:val="2"/>
                <w:sz w:val="20"/>
                <w:szCs w:val="20"/>
                <w:lang w:val="en-US" w:eastAsia="zh-CN" w:bidi="ar-SA"/>
              </w:rPr>
              <w:t>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rightChars="0"/>
              <w:jc w:val="both"/>
              <w:rPr>
                <w:rFonts w:hint="eastAsia" w:ascii="仿宋_GB2312" w:hAnsi="仿宋" w:eastAsia="仿宋_GB2312" w:cs="仿宋"/>
                <w:color w:val="0000FF"/>
                <w:kern w:val="2"/>
                <w:sz w:val="20"/>
                <w:szCs w:val="20"/>
                <w:lang w:val="en-US" w:eastAsia="zh-CN" w:bidi="ar-SA"/>
              </w:rPr>
            </w:pPr>
            <w:r>
              <w:rPr>
                <w:rFonts w:hint="eastAsia" w:ascii="仿宋" w:hAnsi="仿宋" w:eastAsia="仿宋" w:cs="仿宋"/>
                <w:color w:val="0000FF"/>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leftChars="0" w:right="0" w:rightChars="0"/>
              <w:jc w:val="both"/>
              <w:rPr>
                <w:rFonts w:hint="eastAsia" w:ascii="仿宋_GB2312" w:hAnsi="仿宋" w:eastAsia="仿宋_GB2312" w:cs="仿宋"/>
                <w:color w:val="0000FF"/>
                <w:kern w:val="2"/>
                <w:sz w:val="20"/>
                <w:szCs w:val="20"/>
                <w:lang w:val="en-US" w:eastAsia="zh-CN" w:bidi="ar-SA"/>
              </w:rPr>
            </w:pPr>
            <w:r>
              <w:rPr>
                <w:rFonts w:hint="eastAsia" w:ascii="仿宋_GB2312" w:hAnsi="仿宋" w:eastAsia="仿宋_GB2312" w:cs="仿宋"/>
                <w:color w:val="0000FF"/>
                <w:kern w:val="2"/>
                <w:sz w:val="20"/>
                <w:szCs w:val="20"/>
                <w:lang w:val="en-US" w:eastAsia="zh-CN" w:bidi="ar-SA"/>
              </w:rPr>
              <w:t>全年抽查比例不低于 5%，每季度抽查1次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leftChars="0" w:right="0" w:rightChars="0"/>
              <w:jc w:val="center"/>
              <w:rPr>
                <w:rFonts w:hint="eastAsia" w:ascii="仿宋_GB2312" w:hAnsi="仿宋" w:eastAsia="仿宋_GB2312" w:cs="仿宋"/>
                <w:color w:val="0000FF"/>
                <w:kern w:val="2"/>
                <w:sz w:val="20"/>
                <w:szCs w:val="20"/>
                <w:lang w:val="en-US" w:eastAsia="zh-CN" w:bidi="ar-SA"/>
              </w:rPr>
            </w:pPr>
            <w:r>
              <w:rPr>
                <w:rFonts w:hint="eastAsia" w:ascii="仿宋_GB2312" w:hAnsi="仿宋" w:eastAsia="仿宋_GB2312" w:cs="仿宋"/>
                <w:color w:val="0000FF"/>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right="0"/>
              <w:jc w:val="both"/>
              <w:rPr>
                <w:rFonts w:hint="default" w:ascii="仿宋_GB2312" w:hAnsi="宋体" w:eastAsia="仿宋_GB2312" w:cs="仿宋_GB2312"/>
                <w:i w:val="0"/>
                <w:color w:val="0000FF"/>
                <w:sz w:val="20"/>
                <w:szCs w:val="20"/>
              </w:rPr>
            </w:pPr>
          </w:p>
          <w:p>
            <w:pPr>
              <w:widowControl w:val="0"/>
              <w:spacing w:before="0" w:beforeAutospacing="0" w:after="0" w:afterAutospacing="0" w:line="240" w:lineRule="exact"/>
              <w:ind w:left="0" w:right="0"/>
              <w:jc w:val="both"/>
              <w:rPr>
                <w:rFonts w:hint="default" w:ascii="仿宋_GB2312" w:hAnsi="宋体" w:eastAsia="仿宋_GB2312" w:cs="仿宋_GB2312"/>
                <w:i w:val="0"/>
                <w:color w:val="0000FF"/>
                <w:sz w:val="20"/>
                <w:szCs w:val="20"/>
              </w:rPr>
            </w:pPr>
            <w:r>
              <w:rPr>
                <w:rFonts w:hint="default" w:ascii="仿宋_GB2312" w:hAnsi="宋体" w:eastAsia="仿宋_GB2312" w:cs="仿宋_GB2312"/>
                <w:i w:val="0"/>
                <w:color w:val="0000FF"/>
                <w:sz w:val="20"/>
                <w:szCs w:val="20"/>
              </w:rPr>
              <w:t>《商品房屋租赁管理办法》第四条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center"/>
              <w:rPr>
                <w:rFonts w:hint="default" w:ascii="仿宋_GB2312" w:hAnsi="仿宋" w:eastAsia="仿宋_GB2312" w:cs="仿宋"/>
                <w:color w:val="0000FF"/>
                <w:kern w:val="2"/>
                <w:sz w:val="20"/>
                <w:szCs w:val="20"/>
                <w:lang w:val="en-US" w:eastAsia="zh-CN" w:bidi="ar-SA"/>
              </w:rPr>
            </w:pPr>
            <w:r>
              <w:rPr>
                <w:rFonts w:hint="eastAsia" w:ascii="仿宋_GB2312" w:hAnsi="仿宋" w:eastAsia="仿宋_GB2312" w:cs="仿宋"/>
                <w:color w:val="0000FF"/>
                <w:kern w:val="2"/>
                <w:sz w:val="20"/>
                <w:szCs w:val="20"/>
                <w:lang w:val="en-US" w:eastAsia="zh-CN" w:bidi="ar-SA"/>
              </w:rPr>
              <w:t>23</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b w:val="0"/>
                <w:bCs w:val="0"/>
                <w:color w:val="0000FF"/>
                <w:sz w:val="20"/>
                <w:szCs w:val="20"/>
                <w:lang w:val="en-US" w:eastAsia="zh-CN"/>
              </w:rPr>
            </w:pPr>
            <w:r>
              <w:rPr>
                <w:rFonts w:hint="eastAsia" w:ascii="仿宋_GB2312" w:hAnsi="仿宋" w:eastAsia="仿宋_GB2312" w:cs="仿宋"/>
                <w:b w:val="0"/>
                <w:bCs w:val="0"/>
                <w:color w:val="0000FF"/>
                <w:sz w:val="20"/>
                <w:szCs w:val="20"/>
                <w:lang w:val="en-US" w:eastAsia="zh-CN"/>
              </w:rPr>
              <w:t>青岛西海岸新区住房和城乡建设局</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FF"/>
                <w:kern w:val="0"/>
                <w:sz w:val="20"/>
                <w:szCs w:val="20"/>
                <w:u w:val="none"/>
                <w:lang w:val="en-US" w:eastAsia="zh-CN" w:bidi="ar"/>
              </w:rPr>
            </w:pPr>
            <w:r>
              <w:rPr>
                <w:rFonts w:hint="default" w:ascii="仿宋_GB2312" w:hAnsi="宋体" w:eastAsia="仿宋_GB2312" w:cs="仿宋_GB2312"/>
                <w:color w:val="0000FF"/>
                <w:kern w:val="0"/>
                <w:sz w:val="21"/>
                <w:szCs w:val="21"/>
                <w:lang w:val="en-US" w:eastAsia="zh-CN" w:bidi="ar"/>
              </w:rPr>
              <w:t>对城乡建设</w:t>
            </w:r>
            <w:r>
              <w:rPr>
                <w:rFonts w:hint="eastAsia" w:ascii="仿宋_GB2312" w:hAnsi="宋体" w:eastAsia="仿宋_GB2312" w:cs="仿宋_GB2312"/>
                <w:color w:val="0000FF"/>
                <w:kern w:val="0"/>
                <w:sz w:val="21"/>
                <w:szCs w:val="21"/>
                <w:lang w:val="en-US" w:eastAsia="zh-CN" w:bidi="ar"/>
              </w:rPr>
              <w:t>档案和地下管线程档案管理工作的监督检查</w:t>
            </w:r>
          </w:p>
        </w:tc>
        <w:tc>
          <w:tcPr>
            <w:tcW w:w="10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0000FF"/>
              </w:rPr>
            </w:pPr>
            <w:r>
              <w:rPr>
                <w:rFonts w:hint="default" w:ascii="仿宋_GB2312" w:hAnsi="宋体" w:eastAsia="仿宋_GB2312" w:cs="仿宋_GB2312"/>
                <w:color w:val="0000FF"/>
                <w:kern w:val="0"/>
                <w:sz w:val="21"/>
                <w:szCs w:val="21"/>
                <w:lang w:val="en-US" w:eastAsia="zh-CN" w:bidi="ar"/>
              </w:rPr>
              <w:t xml:space="preserve">工程 </w:t>
            </w:r>
          </w:p>
          <w:p>
            <w:pPr>
              <w:keepNext w:val="0"/>
              <w:keepLines w:val="0"/>
              <w:widowControl/>
              <w:suppressLineNumbers w:val="0"/>
              <w:spacing w:before="0" w:beforeAutospacing="0" w:after="0" w:afterAutospacing="0"/>
              <w:ind w:left="0" w:right="0"/>
              <w:jc w:val="left"/>
              <w:rPr>
                <w:rFonts w:hint="default"/>
                <w:color w:val="0000FF"/>
              </w:rPr>
            </w:pPr>
            <w:r>
              <w:rPr>
                <w:rFonts w:hint="eastAsia" w:ascii="仿宋_GB2312" w:hAnsi="宋体" w:eastAsia="仿宋_GB2312" w:cs="仿宋_GB2312"/>
                <w:color w:val="0000FF"/>
                <w:kern w:val="0"/>
                <w:sz w:val="21"/>
                <w:szCs w:val="21"/>
                <w:lang w:val="en-US" w:eastAsia="zh-CN" w:bidi="ar"/>
              </w:rPr>
              <w:t>项目建设单位</w:t>
            </w:r>
          </w:p>
          <w:p>
            <w:pPr>
              <w:widowControl w:val="0"/>
              <w:spacing w:before="0" w:beforeAutospacing="0" w:after="0" w:afterAutospacing="0" w:line="240" w:lineRule="exact"/>
              <w:ind w:left="0" w:leftChars="0" w:right="0"/>
              <w:jc w:val="both"/>
              <w:rPr>
                <w:rFonts w:hint="eastAsia" w:ascii="仿宋_GB2312" w:hAnsi="仿宋" w:eastAsia="仿宋_GB2312" w:cs="仿宋"/>
                <w:color w:val="0000FF"/>
                <w:kern w:val="2"/>
                <w:sz w:val="20"/>
                <w:szCs w:val="20"/>
                <w:lang w:val="en-US" w:eastAsia="zh-CN" w:bidi="ar-SA"/>
              </w:rPr>
            </w:pPr>
          </w:p>
        </w:tc>
        <w:tc>
          <w:tcPr>
            <w:tcW w:w="2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0000FF"/>
              </w:rPr>
            </w:pPr>
            <w:r>
              <w:rPr>
                <w:rFonts w:hint="default" w:ascii="仿宋_GB2312" w:hAnsi="宋体" w:eastAsia="仿宋_GB2312" w:cs="仿宋_GB2312"/>
                <w:color w:val="0000FF"/>
                <w:kern w:val="0"/>
                <w:sz w:val="21"/>
                <w:szCs w:val="21"/>
                <w:lang w:val="en-US" w:eastAsia="zh-CN" w:bidi="ar"/>
              </w:rPr>
              <w:t xml:space="preserve">建设单位 </w:t>
            </w:r>
            <w:r>
              <w:rPr>
                <w:rFonts w:hint="eastAsia" w:ascii="仿宋_GB2312" w:hAnsi="宋体" w:eastAsia="仿宋_GB2312" w:cs="仿宋_GB2312"/>
                <w:color w:val="0000FF"/>
                <w:kern w:val="0"/>
                <w:sz w:val="21"/>
                <w:szCs w:val="21"/>
                <w:lang w:val="en-US" w:eastAsia="zh-CN" w:bidi="ar"/>
              </w:rPr>
              <w:t>在建设工程竣工验收后，是否按 规定向当地城建档案馆（室）移交建设项目档案；建设单位移交的建设项目档案是否规范、完 整、及时。</w:t>
            </w:r>
          </w:p>
          <w:p>
            <w:pPr>
              <w:widowControl w:val="0"/>
              <w:spacing w:before="0" w:beforeAutospacing="0" w:after="0" w:afterAutospacing="0" w:line="240" w:lineRule="exact"/>
              <w:ind w:left="0" w:leftChars="0" w:right="0"/>
              <w:jc w:val="both"/>
              <w:rPr>
                <w:rFonts w:hint="eastAsia" w:ascii="仿宋_GB2312" w:hAnsi="仿宋" w:eastAsia="仿宋_GB2312" w:cs="仿宋"/>
                <w:color w:val="0000FF"/>
                <w:kern w:val="2"/>
                <w:sz w:val="20"/>
                <w:szCs w:val="20"/>
                <w:lang w:val="en-US" w:eastAsia="zh-CN" w:bidi="ar-SA"/>
              </w:rPr>
            </w:pPr>
          </w:p>
        </w:tc>
        <w:tc>
          <w:tcPr>
            <w:tcW w:w="156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right="0"/>
              <w:jc w:val="both"/>
              <w:rPr>
                <w:rFonts w:hint="eastAsia" w:ascii="仿宋_GB2312" w:hAnsi="仿宋" w:eastAsia="仿宋_GB2312" w:cs="仿宋"/>
                <w:color w:val="0000FF"/>
                <w:sz w:val="20"/>
                <w:szCs w:val="20"/>
                <w:lang w:val="en-US"/>
              </w:rPr>
            </w:pPr>
            <w:r>
              <w:rPr>
                <w:rFonts w:hint="eastAsia" w:ascii="仿宋_GB2312" w:hAnsi="仿宋" w:eastAsia="仿宋_GB2312" w:cs="仿宋"/>
                <w:color w:val="0000FF"/>
                <w:kern w:val="2"/>
                <w:sz w:val="20"/>
                <w:szCs w:val="20"/>
                <w:lang w:val="en-US" w:eastAsia="zh-CN" w:bidi="ar-SA"/>
              </w:rPr>
              <w:t>一般检查</w:t>
            </w:r>
          </w:p>
          <w:p>
            <w:pPr>
              <w:widowControl w:val="0"/>
              <w:spacing w:before="0" w:beforeAutospacing="0" w:after="0" w:afterAutospacing="0" w:line="240" w:lineRule="exact"/>
              <w:ind w:left="0" w:leftChars="0" w:right="0" w:rightChars="0"/>
              <w:jc w:val="both"/>
              <w:rPr>
                <w:rFonts w:hint="eastAsia" w:ascii="Calibri" w:hAnsi="Calibri" w:eastAsia="宋体" w:cs="黑体"/>
                <w:color w:val="0000FF"/>
                <w:kern w:val="2"/>
                <w:sz w:val="21"/>
                <w:szCs w:val="22"/>
                <w:lang w:val="en-US" w:eastAsia="zh-CN" w:bidi="ar-SA"/>
              </w:rPr>
            </w:pPr>
            <w:r>
              <w:rPr>
                <w:rFonts w:hint="eastAsia" w:ascii="仿宋_GB2312" w:hAnsi="仿宋" w:eastAsia="仿宋_GB2312" w:cs="仿宋"/>
                <w:color w:val="0000FF"/>
                <w:kern w:val="2"/>
                <w:sz w:val="20"/>
                <w:szCs w:val="20"/>
                <w:lang w:val="en-US" w:eastAsia="zh-CN" w:bidi="ar-SA"/>
              </w:rPr>
              <w:t>事项</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40" w:lineRule="exact"/>
              <w:ind w:left="0" w:leftChars="0" w:right="0" w:rightChars="0"/>
              <w:jc w:val="both"/>
              <w:rPr>
                <w:rFonts w:hint="eastAsia" w:ascii="仿宋_GB2312" w:hAnsi="仿宋" w:eastAsia="仿宋_GB2312" w:cs="仿宋"/>
                <w:color w:val="0000FF"/>
                <w:kern w:val="2"/>
                <w:sz w:val="20"/>
                <w:szCs w:val="20"/>
                <w:lang w:val="en-US" w:eastAsia="zh-CN" w:bidi="ar-SA"/>
              </w:rPr>
            </w:pPr>
            <w:r>
              <w:rPr>
                <w:rFonts w:hint="eastAsia" w:ascii="仿宋" w:hAnsi="仿宋" w:eastAsia="仿宋" w:cs="仿宋"/>
                <w:color w:val="0000FF"/>
                <w:kern w:val="2"/>
                <w:sz w:val="21"/>
                <w:szCs w:val="24"/>
                <w:lang w:val="en-US" w:eastAsia="zh-CN" w:bidi="ar-SA"/>
              </w:rPr>
              <w:t>现场检查</w:t>
            </w:r>
          </w:p>
        </w:tc>
        <w:tc>
          <w:tcPr>
            <w:tcW w:w="1400"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leftChars="0" w:right="0" w:rightChars="0"/>
              <w:jc w:val="both"/>
              <w:rPr>
                <w:rFonts w:hint="eastAsia" w:ascii="仿宋_GB2312" w:hAnsi="仿宋" w:eastAsia="仿宋_GB2312" w:cs="仿宋"/>
                <w:color w:val="0000FF"/>
                <w:kern w:val="2"/>
                <w:sz w:val="20"/>
                <w:szCs w:val="20"/>
                <w:lang w:val="en-US" w:eastAsia="zh-CN" w:bidi="ar-SA"/>
              </w:rPr>
            </w:pPr>
            <w:r>
              <w:rPr>
                <w:rFonts w:hint="eastAsia" w:ascii="仿宋_GB2312" w:hAnsi="仿宋" w:eastAsia="仿宋_GB2312" w:cs="仿宋"/>
                <w:color w:val="0000FF"/>
                <w:kern w:val="2"/>
                <w:sz w:val="20"/>
                <w:szCs w:val="20"/>
                <w:lang w:val="en-US" w:eastAsia="zh-CN" w:bidi="ar-SA"/>
              </w:rPr>
              <w:t>全年抽查比例不低于 5%，每季度抽查1次</w:t>
            </w:r>
          </w:p>
        </w:tc>
        <w:tc>
          <w:tcPr>
            <w:tcW w:w="1239"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line="240" w:lineRule="exact"/>
              <w:ind w:left="0" w:leftChars="0" w:right="0" w:rightChars="0"/>
              <w:jc w:val="center"/>
              <w:rPr>
                <w:rFonts w:hint="eastAsia" w:ascii="仿宋_GB2312" w:hAnsi="仿宋" w:eastAsia="仿宋_GB2312" w:cs="仿宋"/>
                <w:color w:val="0000FF"/>
                <w:kern w:val="2"/>
                <w:sz w:val="20"/>
                <w:szCs w:val="20"/>
                <w:lang w:val="en-US" w:eastAsia="zh-CN" w:bidi="ar-SA"/>
              </w:rPr>
            </w:pPr>
            <w:r>
              <w:rPr>
                <w:rFonts w:hint="eastAsia" w:ascii="仿宋_GB2312" w:hAnsi="仿宋" w:eastAsia="仿宋_GB2312" w:cs="仿宋"/>
                <w:color w:val="0000FF"/>
                <w:kern w:val="2"/>
                <w:sz w:val="20"/>
                <w:szCs w:val="20"/>
                <w:lang w:val="en-US" w:eastAsia="zh-CN" w:bidi="ar-SA"/>
              </w:rPr>
              <w:t>区级</w:t>
            </w:r>
          </w:p>
        </w:tc>
        <w:tc>
          <w:tcPr>
            <w:tcW w:w="346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ind w:left="0" w:right="0"/>
              <w:jc w:val="left"/>
              <w:rPr>
                <w:rFonts w:hint="default"/>
                <w:color w:val="0000FF"/>
              </w:rPr>
            </w:pPr>
            <w:r>
              <w:rPr>
                <w:rFonts w:hint="default" w:ascii="仿宋_GB2312" w:hAnsi="宋体" w:eastAsia="仿宋_GB2312" w:cs="仿宋_GB2312"/>
                <w:color w:val="0000FF"/>
                <w:kern w:val="0"/>
                <w:sz w:val="21"/>
                <w:szCs w:val="21"/>
                <w:lang w:val="en-US" w:eastAsia="zh-CN" w:bidi="ar"/>
              </w:rPr>
              <w:t xml:space="preserve">1.《城市建设档案管理规定》第 </w:t>
            </w:r>
          </w:p>
          <w:p>
            <w:pPr>
              <w:keepNext w:val="0"/>
              <w:keepLines w:val="0"/>
              <w:widowControl/>
              <w:suppressLineNumbers w:val="0"/>
              <w:spacing w:before="0" w:beforeAutospacing="0" w:after="0" w:afterAutospacing="0"/>
              <w:ind w:left="0" w:right="0"/>
              <w:jc w:val="left"/>
              <w:rPr>
                <w:rFonts w:hint="default"/>
                <w:color w:val="0000FF"/>
              </w:rPr>
            </w:pPr>
            <w:r>
              <w:rPr>
                <w:rFonts w:hint="eastAsia" w:ascii="仿宋_GB2312" w:hAnsi="宋体" w:eastAsia="仿宋_GB2312" w:cs="仿宋_GB2312"/>
                <w:color w:val="0000FF"/>
                <w:kern w:val="0"/>
                <w:sz w:val="21"/>
                <w:szCs w:val="21"/>
                <w:lang w:val="en-US" w:eastAsia="zh-CN" w:bidi="ar"/>
              </w:rPr>
              <w:t xml:space="preserve">三条 </w:t>
            </w:r>
          </w:p>
          <w:p>
            <w:pPr>
              <w:keepNext w:val="0"/>
              <w:keepLines w:val="0"/>
              <w:widowControl/>
              <w:suppressLineNumbers w:val="0"/>
              <w:spacing w:before="0" w:beforeAutospacing="0" w:after="0" w:afterAutospacing="0"/>
              <w:ind w:left="0" w:right="0"/>
              <w:jc w:val="left"/>
              <w:rPr>
                <w:rFonts w:hint="default"/>
                <w:color w:val="0000FF"/>
              </w:rPr>
            </w:pPr>
            <w:r>
              <w:rPr>
                <w:rFonts w:hint="eastAsia" w:ascii="仿宋_GB2312" w:hAnsi="宋体" w:eastAsia="仿宋_GB2312" w:cs="仿宋_GB2312"/>
                <w:color w:val="0000FF"/>
                <w:kern w:val="0"/>
                <w:sz w:val="21"/>
                <w:szCs w:val="21"/>
                <w:lang w:val="en-US" w:eastAsia="zh-CN" w:bidi="ar"/>
              </w:rPr>
              <w:t xml:space="preserve">2.城市地下管线工程档案管理 </w:t>
            </w:r>
          </w:p>
          <w:p>
            <w:pPr>
              <w:keepNext w:val="0"/>
              <w:keepLines w:val="0"/>
              <w:widowControl/>
              <w:suppressLineNumbers w:val="0"/>
              <w:spacing w:before="0" w:beforeAutospacing="0" w:after="0" w:afterAutospacing="0"/>
              <w:ind w:left="0" w:right="0"/>
              <w:jc w:val="left"/>
              <w:rPr>
                <w:rFonts w:hint="default"/>
                <w:color w:val="0000FF"/>
              </w:rPr>
            </w:pPr>
            <w:r>
              <w:rPr>
                <w:rFonts w:hint="eastAsia" w:ascii="仿宋_GB2312" w:hAnsi="宋体" w:eastAsia="仿宋_GB2312" w:cs="仿宋_GB2312"/>
                <w:color w:val="0000FF"/>
                <w:kern w:val="0"/>
                <w:sz w:val="21"/>
                <w:szCs w:val="21"/>
                <w:lang w:val="en-US" w:eastAsia="zh-CN" w:bidi="ar"/>
              </w:rPr>
              <w:t>办法》第三条</w:t>
            </w:r>
          </w:p>
          <w:p>
            <w:pPr>
              <w:widowControl w:val="0"/>
              <w:spacing w:before="0" w:beforeAutospacing="0" w:after="0" w:afterAutospacing="0" w:line="240" w:lineRule="exact"/>
              <w:ind w:left="0" w:right="0"/>
              <w:jc w:val="both"/>
              <w:rPr>
                <w:rFonts w:hint="default" w:ascii="仿宋_GB2312" w:hAnsi="宋体" w:eastAsia="仿宋_GB2312" w:cs="仿宋_GB2312"/>
                <w:i w:val="0"/>
                <w:color w:val="0000FF"/>
                <w:sz w:val="20"/>
                <w:szCs w:val="20"/>
              </w:rPr>
            </w:pPr>
          </w:p>
        </w:tc>
      </w:tr>
    </w:tbl>
    <w:p>
      <w:pPr>
        <w:jc w:val="center"/>
        <w:rPr>
          <w:rFonts w:hint="eastAsia" w:ascii="方正小标宋简体" w:eastAsia="方正小标宋简体"/>
          <w:b/>
          <w:sz w:val="36"/>
          <w:szCs w:val="36"/>
        </w:rPr>
      </w:pPr>
    </w:p>
    <w:p>
      <w:pPr>
        <w:jc w:val="center"/>
        <w:rPr>
          <w:rFonts w:hint="eastAsia" w:ascii="方正小标宋简体" w:eastAsia="方正小标宋简体"/>
          <w:b/>
          <w:sz w:val="36"/>
          <w:szCs w:val="36"/>
        </w:rPr>
      </w:pPr>
    </w:p>
    <w:p/>
    <w:p>
      <w:pPr>
        <w:sectPr>
          <w:type w:val="continuous"/>
          <w:pgSz w:w="16840" w:h="11900"/>
          <w:pgMar w:top="1124" w:right="339" w:bottom="561" w:left="504" w:header="851" w:footer="561" w:gutter="0"/>
          <w:pgBorders>
            <w:top w:val="none" w:sz="0" w:space="0"/>
            <w:left w:val="none" w:sz="0" w:space="0"/>
            <w:bottom w:val="none" w:sz="0" w:space="0"/>
            <w:right w:val="none" w:sz="0" w:space="0"/>
          </w:pgBorders>
          <w:cols w:space="720" w:num="1"/>
        </w:sectPr>
      </w:pPr>
    </w:p>
    <w:p>
      <w:pPr>
        <w:spacing w:line="14" w:lineRule="exact"/>
        <w:jc w:val="both"/>
        <w:rPr>
          <w:lang w:val="en-US" w:eastAsia="zh-CN"/>
        </w:rPr>
      </w:pPr>
      <w:bookmarkStart w:id="1" w:name="_bookmark44"/>
      <w:bookmarkEnd w:id="1"/>
      <w:r>
        <w:rPr>
          <w:rFonts w:ascii="Calibri" w:hAnsi="Calibri" w:eastAsia="宋体" w:cs="黑体"/>
          <w:kern w:val="2"/>
          <w:sz w:val="21"/>
          <w:szCs w:val="22"/>
          <w:lang w:val="en-US" w:eastAsia="zh-CN" w:bidi="ar-SA"/>
        </w:rPr>
        <mc:AlternateContent>
          <mc:Choice Requires="wps">
            <w:drawing>
              <wp:anchor distT="0" distB="0" distL="114300" distR="114300" simplePos="0" relativeHeight="251668480" behindDoc="0" locked="0" layoutInCell="1" hidden="true" allowOverlap="1">
                <wp:simplePos x="0" y="0"/>
                <wp:positionH relativeFrom="column">
                  <wp:posOffset>0</wp:posOffset>
                </wp:positionH>
                <wp:positionV relativeFrom="paragraph">
                  <wp:posOffset>0</wp:posOffset>
                </wp:positionV>
                <wp:extent cx="635000" cy="635000"/>
                <wp:effectExtent l="0" t="0" r="0" b="0"/>
                <wp:wrapNone/>
                <wp:docPr id="10" name="polygon185" hidden="true"/>
                <wp:cNvGraphicFramePr/>
                <a:graphic xmlns:a="http://schemas.openxmlformats.org/drawingml/2006/main">
                  <a:graphicData uri="http://schemas.microsoft.com/office/word/2010/wordprocessingShape">
                    <wps:wsp>
                      <wps:cNvSpPr/>
                      <wps:spPr>
                        <a:xfrm>
                          <a:off x="0" y="0"/>
                          <a:ext cx="635000" cy="635000"/>
                        </a:xfrm>
                        <a:custGeom>
                          <a:avLst/>
                          <a:gdLst/>
                          <a:ahLst/>
                          <a:cxnLst/>
                          <a:pathLst/>
                        </a:custGeom>
                        <a:solidFill>
                          <a:srgbClr val="FFFFFF"/>
                        </a:solidFill>
                        <a:ln w="9525" cap="flat" cmpd="sng">
                          <a:solidFill>
                            <a:srgbClr val="000000"/>
                          </a:solidFill>
                          <a:prstDash val="solid"/>
                          <a:headEnd type="none" w="med" len="med"/>
                          <a:tailEnd type="none" w="med" len="med"/>
                        </a:ln>
                      </wps:spPr>
                      <wps:bodyPr upright="true"/>
                    </wps:wsp>
                  </a:graphicData>
                </a:graphic>
              </wp:anchor>
            </w:drawing>
          </mc:Choice>
          <mc:Fallback>
            <w:pict>
              <v:shape id="polygon185" o:spid="_x0000_s1026" o:spt="100" style="position:absolute;left:0pt;margin-left:0pt;margin-top:0pt;height:50pt;width:50pt;visibility:hidden;z-index:251668480;mso-width-relative:page;mso-height-relative:page;" fillcolor="#FFFFFF" filled="t" stroked="t" coordsize="635000,635000" o:gfxdata="UEsFBgAAAAAAAAAAAAAAAAAAAAAAAFBLAwQKAAAAAACHTuJAAAAAAAAAAAAAAAAABAAAAGRycy9Q&#10;SwMEFAAAAAgAh07iQPH0JCzRAAAABQEAAA8AAABkcnMvZG93bnJldi54bWxNj0FLw0AQhe+C/2EZ&#10;wZvdbdVS0mxKKXgQBG3qweM0OybB7GzIbtP6752KYC/DPN7w5nv56uQ7NdIQ28AWphMDirgKruXa&#10;wvvu6W4BKiZkh11gsvBNEVbF9VWOmQtH3tJYplpJCMcMLTQp9ZnWsWrIY5yEnli8zzB4TCKHWrsB&#10;jxLuOz0zZq49tiwfGuxp01D1VR68hfU488ZQvG/LN/fy+vz4sa3GB2tvb6ZmCSrRKf0fwxlf0KEQ&#10;pn04sIuqsyBF0u88e8aI3P8tusj1JX3xA1BLAwQUAAAACACHTuJATh5Ur98BAAD4AwAADgAAAGRy&#10;cy9lMm9Eb2MueG1srVPLbtswELwX6D8QvNeSXThIBcs51HUvRRsg7QesSUoiwBe4tGX9fZf0I3Hb&#10;QxBUB2pJLoc7M9zVw9EadlARtXctn89qzpQTXmrXt/zXz+2He84wgZNgvFMtnxTyh/X7d6sxNGrh&#10;B2+kioxAHDZjaPmQUmiqCsWgLODMB+Vos/PRQqJp7CsZYSR0a6pFXd9Vo48yRC8UIq1uTpt8XfC7&#10;Ton0o+tQJWZaTrWlMsYy7vJYrVfQ9BHCoMW5DHhDFRa0o0uvUBtIwPZR/wVltYgefZdmwtvKd50W&#10;qnAgNvP6DzZPAwRVuJA4GK4y4f+DFd8Pj5FpSd6RPA4seRS8mXrv5vdLzgYtpSJnU9yrLNYYsKEz&#10;T+ExnmdIYWZ+7KLNf+LEjkXg6SqwOiYmaPHu47Ku6R5BW+eYUKrnw2KP6avyBQgO3zCd/JGXCIZL&#10;JI7uEgZI52VCeomA3mi51cbkujD2u88msgPQU9iWLxOiIzdpxrGx5Z+WCyIvgF5kZyBRaANphK4v&#10;Lt+cuAEmepnhP4BDxLQBHE4FFIScBs2gQH5xkqUpkPiO2oTnEqySnJmsfY5KZgJtXpNJnIwjatms&#10;kz052nk5kdf7EHU/UCNcLC1p9LyKFudWyO/35byAPTfs+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x9CQs0QAAAAUBAAAPAAAAAAAAAAEAIAAAADgAAABkcnMvZG93bnJldi54bWxQSwECFAAUAAAA&#10;CACHTuJATh5Ur98BAAD4AwAADgAAAAAAAAABACAAAAA2AQAAZHJzL2Uyb0RvYy54bWxQSwUGAAAA&#10;AAYABgBZAQAAhwUAAAAA&#10;">
                <v:fill on="t" focussize="0,0"/>
                <v:stroke color="#000000" joinstyle="round"/>
                <v:imagedata o:title=""/>
                <o:lock v:ext="edit" aspectratio="f"/>
              </v:shape>
            </w:pict>
          </mc:Fallback>
        </mc:AlternateContent>
      </w:r>
    </w:p>
    <w:sectPr>
      <w:type w:val="continuous"/>
      <w:pgSz w:w="16840" w:h="11900"/>
      <w:pgMar w:top="1124" w:right="405" w:bottom="561" w:left="504" w:header="851" w:footer="561"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altName w:val="Ubuntu"/>
    <w:panose1 w:val="020B0604030504040204"/>
    <w:charset w:val="00"/>
    <w:family w:val="auto"/>
    <w:pitch w:val="default"/>
    <w:sig w:usb0="00000000" w:usb1="00000000" w:usb2="00000010" w:usb3="00000000" w:csb0="2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06ACD"/>
    <w:multiLevelType w:val="singleLevel"/>
    <w:tmpl w:val="5FD06AC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false"/>
  <w:bordersDoNotSurroundFooter w:val="false"/>
  <w:documentProtection w:enforcement="0"/>
  <w:defaultTabStop w:val="420"/>
  <w:displayHorizontalDrawingGridEvery w:val="1"/>
  <w:displayVerticalDrawingGridEvery w:val="1"/>
  <w:noPunctuationKerning w:val="true"/>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243"/>
    <w:rsid w:val="0016179E"/>
    <w:rsid w:val="001F2D92"/>
    <w:rsid w:val="005022F6"/>
    <w:rsid w:val="005D1243"/>
    <w:rsid w:val="007A155A"/>
    <w:rsid w:val="007D4825"/>
    <w:rsid w:val="00887F2F"/>
    <w:rsid w:val="00A05863"/>
    <w:rsid w:val="00A32B95"/>
    <w:rsid w:val="00C31AA3"/>
    <w:rsid w:val="09F700E2"/>
    <w:rsid w:val="0B1646E8"/>
    <w:rsid w:val="0CD92E3F"/>
    <w:rsid w:val="12926F76"/>
    <w:rsid w:val="161C6D99"/>
    <w:rsid w:val="16712491"/>
    <w:rsid w:val="183E42D5"/>
    <w:rsid w:val="30A16853"/>
    <w:rsid w:val="3558233E"/>
    <w:rsid w:val="39D86EA6"/>
    <w:rsid w:val="406D107F"/>
    <w:rsid w:val="46BD51DD"/>
    <w:rsid w:val="4F191CFE"/>
    <w:rsid w:val="4FC317BE"/>
    <w:rsid w:val="56A800D4"/>
    <w:rsid w:val="5CFE12B1"/>
    <w:rsid w:val="626746EA"/>
    <w:rsid w:val="63844FA0"/>
    <w:rsid w:val="64227888"/>
    <w:rsid w:val="6486615B"/>
    <w:rsid w:val="6ECD7EBF"/>
    <w:rsid w:val="73A957CF"/>
    <w:rsid w:val="75B220BE"/>
    <w:rsid w:val="E67FF0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pPr>
      <w:widowControl/>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sz-prst-tbody1"/>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3021</Words>
  <Characters>17225</Characters>
  <Lines>143</Lines>
  <Paragraphs>40</Paragraphs>
  <TotalTime>41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2019-12-16T11:20:00Z</dcterms:created>
  <dc:creator>Administrator</dc:creator>
  <cp:lastModifiedBy>user</cp:lastModifiedBy>
  <cp:lastPrinted>2020-12-09T11:07:00Z</cp:lastPrinted>
  <dcterms:modified xsi:type="dcterms:W3CDTF">2023-10-26T15:32:17Z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8AFD63C6067B432FBF1BA657921DC43D</vt:lpwstr>
  </property>
</Properties>
</file>