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39" w:type="dxa"/>
        <w:jc w:val="center"/>
        <w:tblBorders>
          <w:top w:val="none" w:color="auto" w:sz="0" w:space="0"/>
          <w:left w:val="none" w:color="auto" w:sz="0" w:space="0"/>
          <w:bottom w:val="thickThinLargeGap" w:color="FF0000" w:sz="24" w:space="0"/>
          <w:right w:val="none" w:color="auto" w:sz="0" w:space="0"/>
          <w:insideH w:val="thinThickLargeGap" w:color="FF0000" w:sz="24" w:space="0"/>
          <w:insideV w:val="thinThickLargeGap" w:color="FF0000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LargeGap" w:color="FF0000" w:sz="24" w:space="0"/>
            <w:right w:val="none" w:color="auto" w:sz="0" w:space="0"/>
            <w:insideH w:val="thinThickLargeGap" w:color="FF0000" w:sz="24" w:space="0"/>
            <w:insideV w:val="thinThickLargeGap" w:color="FF0000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9639" w:type="dxa"/>
            <w:tcBorders>
              <w:top w:val="nil"/>
              <w:left w:val="nil"/>
              <w:bottom w:val="thinThickMediumGap" w:color="FF0000" w:sz="24" w:space="0"/>
              <w:right w:val="nil"/>
            </w:tcBorders>
            <w:noWrap/>
            <w:vAlign w:val="top"/>
          </w:tcPr>
          <w:p>
            <w:pPr>
              <w:adjustRightInd w:val="0"/>
              <w:snapToGrid w:val="0"/>
              <w:spacing w:line="940" w:lineRule="exact"/>
              <w:jc w:val="distribute"/>
              <w:rPr>
                <w:rFonts w:ascii="方正小标宋_GBK" w:hAnsi="文星标宋" w:eastAsia="方正小标宋_GBK"/>
                <w:color w:val="FF0000"/>
                <w:spacing w:val="40"/>
                <w:w w:val="88"/>
                <w:position w:val="6"/>
                <w:sz w:val="72"/>
                <w:szCs w:val="72"/>
              </w:rPr>
            </w:pPr>
            <w:r>
              <w:rPr>
                <w:rFonts w:hint="eastAsia" w:ascii="方正小标宋_GBK" w:hAnsi="文星标宋" w:eastAsia="方正小标宋_GBK"/>
                <w:color w:val="FF0000"/>
                <w:w w:val="85"/>
                <w:position w:val="6"/>
                <w:sz w:val="72"/>
                <w:szCs w:val="72"/>
              </w:rPr>
              <w:t>青岛西海岸新区工业和信息化局</w:t>
            </w:r>
          </w:p>
        </w:tc>
      </w:tr>
    </w:tbl>
    <w:p>
      <w:pPr>
        <w:rPr>
          <w:vanish/>
        </w:rPr>
      </w:pPr>
    </w:p>
    <w:tbl>
      <w:tblPr>
        <w:tblStyle w:val="3"/>
        <w:tblpPr w:leftFromText="180" w:rightFromText="180" w:vertAnchor="text" w:horzAnchor="margin" w:tblpXSpec="center" w:tblpY="12674"/>
        <w:tblW w:w="9639" w:type="dxa"/>
        <w:tblInd w:w="0" w:type="dxa"/>
        <w:tblBorders>
          <w:top w:val="none" w:color="auto" w:sz="0" w:space="0"/>
          <w:left w:val="none" w:color="auto" w:sz="0" w:space="0"/>
          <w:bottom w:val="thickThinMediumGap" w:color="FF0000" w:sz="2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>
        <w:tblPrEx>
          <w:tblBorders>
            <w:top w:val="none" w:color="auto" w:sz="0" w:space="0"/>
            <w:left w:val="none" w:color="auto" w:sz="0" w:space="0"/>
            <w:bottom w:val="thickThinMediumGap" w:color="FF0000" w:sz="2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9639" w:type="dxa"/>
            <w:tcBorders>
              <w:top w:val="nil"/>
              <w:left w:val="nil"/>
              <w:bottom w:val="thickThinMediumGap" w:color="FF0000" w:sz="24" w:space="0"/>
              <w:right w:val="nil"/>
            </w:tcBorders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方正小标宋简体" w:eastAsia="方正小标宋简体"/>
                <w:color w:val="FF0000"/>
                <w:w w:val="90"/>
                <w:sz w:val="13"/>
                <w:szCs w:val="13"/>
              </w:rPr>
            </w:pPr>
          </w:p>
        </w:tc>
      </w:tr>
    </w:tbl>
    <w:p>
      <w:pPr>
        <w:spacing w:line="560" w:lineRule="exact"/>
        <w:ind w:left="2256" w:leftChars="760" w:hanging="660" w:hangingChars="15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对企业技术改造项目核准、备案行为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  <w:lang w:val="en-US" w:eastAsia="zh-CN" w:bidi="ar"/>
        </w:rPr>
        <w:t>的检查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2022年3月1日-2022年12月1日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检查内容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（一）检查部门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青岛西海岸新区工业和信息化局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（二）检查事项、检查内容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检查事项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：企业技术改造投资项目核准、备案以后的项目实施情况。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检查内容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：企业技术改造投资项目备案证明、企业营业执照、企业固定资产投资报表、企业购置的设备。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（三）部门联系人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区工业和信息化局，86175786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eastAsia="zh-CN"/>
        </w:rPr>
      </w:pPr>
    </w:p>
    <w:p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  <w:lang w:eastAsia="zh-CN"/>
        </w:rPr>
        <w:t>食盐专营</w:t>
      </w:r>
      <w:r>
        <w:rPr>
          <w:rFonts w:hint="eastAsia" w:ascii="方正小标宋_GBK" w:hAnsi="方正小标宋_GBK" w:eastAsia="方正小标宋_GBK" w:cs="方正小标宋_GBK"/>
          <w:spacing w:val="-1"/>
          <w:sz w:val="44"/>
          <w:szCs w:val="44"/>
        </w:rPr>
        <w:t>检查</w:t>
      </w:r>
    </w:p>
    <w:p>
      <w:pPr>
        <w:spacing w:before="101" w:line="226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一、检查时间</w:t>
      </w:r>
    </w:p>
    <w:p>
      <w:pPr>
        <w:spacing w:before="141" w:line="224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8"/>
          <w:sz w:val="31"/>
          <w:szCs w:val="31"/>
        </w:rPr>
        <w:t>2</w:t>
      </w:r>
      <w:r>
        <w:rPr>
          <w:rFonts w:ascii="仿宋" w:hAnsi="仿宋" w:eastAsia="仿宋" w:cs="仿宋"/>
          <w:spacing w:val="-19"/>
          <w:sz w:val="31"/>
          <w:szCs w:val="31"/>
        </w:rPr>
        <w:t>02</w:t>
      </w:r>
      <w:r>
        <w:rPr>
          <w:rFonts w:hint="eastAsia" w:ascii="仿宋" w:hAnsi="仿宋" w:eastAsia="仿宋" w:cs="仿宋"/>
          <w:spacing w:val="-19"/>
          <w:sz w:val="31"/>
          <w:szCs w:val="31"/>
          <w:lang w:val="en-US" w:eastAsia="zh-CN"/>
        </w:rPr>
        <w:t>2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年</w:t>
      </w:r>
      <w:r>
        <w:rPr>
          <w:rFonts w:hint="eastAsia" w:ascii="仿宋" w:hAnsi="仿宋" w:eastAsia="仿宋" w:cs="仿宋"/>
          <w:spacing w:val="-19"/>
          <w:sz w:val="31"/>
          <w:szCs w:val="31"/>
          <w:lang w:val="en-US" w:eastAsia="zh-CN"/>
        </w:rPr>
        <w:t>9</w:t>
      </w:r>
      <w:r>
        <w:rPr>
          <w:rFonts w:ascii="仿宋" w:hAnsi="仿宋" w:eastAsia="仿宋" w:cs="仿宋"/>
          <w:spacing w:val="-19"/>
          <w:sz w:val="31"/>
          <w:szCs w:val="31"/>
        </w:rPr>
        <w:t xml:space="preserve"> 月 10 日-10 月 22 日。</w:t>
      </w:r>
    </w:p>
    <w:p>
      <w:pPr>
        <w:spacing w:before="146" w:line="225" w:lineRule="auto"/>
        <w:ind w:left="6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二、检查内容</w:t>
      </w:r>
    </w:p>
    <w:p>
      <w:pPr>
        <w:spacing w:before="141" w:line="310" w:lineRule="auto"/>
        <w:ind w:left="51" w:right="22" w:firstLine="622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(一) 检查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门：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青岛西海岸新区工业和信息化局</w:t>
      </w:r>
    </w:p>
    <w:p>
      <w:pPr>
        <w:spacing w:line="222" w:lineRule="auto"/>
        <w:ind w:left="6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9"/>
          <w:sz w:val="32"/>
          <w:szCs w:val="32"/>
        </w:rPr>
        <w:t>(</w:t>
      </w:r>
      <w:r>
        <w:rPr>
          <w:rFonts w:hint="eastAsia" w:ascii="仿宋_GB2312" w:hAnsi="仿宋_GB2312" w:eastAsia="仿宋_GB2312" w:cs="仿宋_GB2312"/>
          <w:spacing w:val="32"/>
          <w:sz w:val="32"/>
          <w:szCs w:val="32"/>
        </w:rPr>
        <w:t>二)检查事项、检查内容</w:t>
      </w:r>
    </w:p>
    <w:p>
      <w:pPr>
        <w:spacing w:before="143" w:line="310" w:lineRule="auto"/>
        <w:ind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1.检查事项为：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食盐专营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检查。检</w:t>
      </w:r>
      <w:r>
        <w:rPr>
          <w:rFonts w:hint="eastAsia" w:ascii="仿宋_GB2312" w:hAnsi="仿宋_GB2312" w:eastAsia="仿宋_GB2312" w:cs="仿宋_GB2312"/>
          <w:sz w:val="32"/>
          <w:szCs w:val="32"/>
        </w:rPr>
        <w:t>查内容为：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食盐批发许可证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食盐购销台账、食盐购销发票、食盐社会责任储备（一个月消费量）。</w:t>
      </w:r>
    </w:p>
    <w:p>
      <w:pPr>
        <w:spacing w:line="319" w:lineRule="auto"/>
        <w:ind w:right="19" w:firstLine="632" w:firstLineChars="200"/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.部门联系人： 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工信局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eastAsia="zh-CN"/>
        </w:rPr>
        <w:t>韩道海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， 电话：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  <w:lang w:val="en-US" w:eastAsia="zh-CN"/>
        </w:rPr>
        <w:t>86989281。</w:t>
      </w:r>
    </w:p>
    <w:p>
      <w:pPr>
        <w:bidi w:val="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对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监控化学品生产、经营、使用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的检查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一、检查时间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2022年10月11日-2022年11月30日</w:t>
      </w: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二、检查内容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楷体_GB2312" w:eastAsia="楷体_GB2312"/>
          <w:sz w:val="32"/>
        </w:rPr>
        <w:t>（一）检查部门</w:t>
      </w:r>
      <w:r>
        <w:rPr>
          <w:rFonts w:hint="eastAsia" w:ascii="仿宋_GB2312" w:eastAsia="仿宋_GB2312"/>
          <w:sz w:val="32"/>
        </w:rPr>
        <w:t>：区工信局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（二）检查事项、检查内容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</w:t>
      </w:r>
      <w:r>
        <w:rPr>
          <w:rFonts w:ascii="仿宋_GB2312" w:eastAsia="仿宋_GB2312"/>
          <w:sz w:val="32"/>
        </w:rPr>
        <w:t>对从事监控化学品生产、经营、使用以及进出口单位的监控化学品有关情况的检查</w:t>
      </w:r>
      <w:r>
        <w:rPr>
          <w:rFonts w:hint="eastAsia" w:ascii="仿宋_GB2312" w:eastAsia="仿宋_GB2312"/>
          <w:sz w:val="32"/>
        </w:rPr>
        <w:t>。①是否存在故意漏报、误报、隐瞒、拒报有关监控化学品的资料、数据或者妨碍、阻挠化学工业主管部门依照规定履行检查监督职责的行为。②是否存在未经生产特别许可新建、扩建或改建用于生产第二类、第三类监控化学品和第四类监控化学品中含磷、硫、氟的特定有机化学品设施的行为。③是否存在违规经营监控化学品的行为。④是否存在违反规定生产监控化学品的行为。⑤是否存在违反规定使用监控化学品的行为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</w:t>
      </w:r>
      <w:r>
        <w:rPr>
          <w:rFonts w:ascii="仿宋_GB2312" w:eastAsia="仿宋_GB2312"/>
          <w:sz w:val="32"/>
        </w:rPr>
        <w:t>对民用爆炸物品生产、销售企业的现场安全检查</w:t>
      </w:r>
      <w:r>
        <w:rPr>
          <w:rFonts w:hint="eastAsia" w:ascii="仿宋_GB2312" w:eastAsia="仿宋_GB2312"/>
          <w:sz w:val="32"/>
        </w:rPr>
        <w:t>。①</w:t>
      </w:r>
      <w:r>
        <w:rPr>
          <w:rFonts w:ascii="仿宋_GB2312" w:eastAsia="仿宋_GB2312"/>
          <w:sz w:val="32"/>
        </w:rPr>
        <w:t>取得民用爆炸物品生产许可证、安全生产许可证的企业是否存在违法违规生产的行为</w:t>
      </w:r>
      <w:r>
        <w:rPr>
          <w:rFonts w:hint="eastAsia" w:ascii="仿宋_GB2312" w:eastAsia="仿宋_GB2312"/>
          <w:sz w:val="32"/>
        </w:rPr>
        <w:t>。②</w:t>
      </w:r>
      <w:r>
        <w:rPr>
          <w:rFonts w:ascii="仿宋_GB2312" w:eastAsia="仿宋_GB2312"/>
          <w:sz w:val="32"/>
        </w:rPr>
        <w:t>取得民用爆炸物品销售许可证的企业是否存在违法违规购买、销售、储藏的行为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3.部门联系人：刘凤军，联系电话85161797</w:t>
      </w:r>
    </w:p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Arial Unicode MS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87DCA"/>
    <w:multiLevelType w:val="singleLevel"/>
    <w:tmpl w:val="AC787DC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jMWIxZTA1NDM5MjM2NzUyZmI2NjFjNGJlZWE4ZjQifQ=="/>
  </w:docVars>
  <w:rsids>
    <w:rsidRoot w:val="7E81478E"/>
    <w:rsid w:val="57635458"/>
    <w:rsid w:val="7E81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next w:val="1"/>
    <w:qFormat/>
    <w:uiPriority w:val="0"/>
    <w:pPr>
      <w:widowControl w:val="0"/>
      <w:ind w:left="100" w:leftChars="100" w:right="100" w:rightChars="1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181</Characters>
  <Lines>0</Lines>
  <Paragraphs>0</Paragraphs>
  <TotalTime>1</TotalTime>
  <ScaleCrop>false</ScaleCrop>
  <LinksUpToDate>false</LinksUpToDate>
  <CharactersWithSpaces>181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2022-11-25T07:00:00Z</dcterms:created>
  <dc:creator>tsu丶莫名</dc:creator>
  <cp:lastModifiedBy>简爱</cp:lastModifiedBy>
  <dcterms:modified xsi:type="dcterms:W3CDTF">2022-11-28T02:14:54Z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42B5948FF14F461592080BEF65A6824A</vt:lpwstr>
  </property>
</Properties>
</file>