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08B" w:rsidRPr="00AF108B" w:rsidRDefault="00AF108B" w:rsidP="00AF108B">
      <w:pPr>
        <w:jc w:val="center"/>
        <w:rPr>
          <w:rFonts w:asciiTheme="majorEastAsia" w:eastAsiaTheme="majorEastAsia" w:hAnsiTheme="majorEastAsia" w:cs="仿宋_GB2312"/>
          <w:sz w:val="44"/>
          <w:szCs w:val="44"/>
        </w:rPr>
      </w:pPr>
      <w:bookmarkStart w:id="0" w:name="_GoBack"/>
      <w:r w:rsidRPr="00AF108B">
        <w:rPr>
          <w:rFonts w:asciiTheme="majorEastAsia" w:eastAsiaTheme="majorEastAsia" w:hAnsiTheme="majorEastAsia" w:cs="仿宋_GB2312" w:hint="eastAsia"/>
          <w:sz w:val="44"/>
          <w:szCs w:val="44"/>
        </w:rPr>
        <w:t>青岛</w:t>
      </w:r>
      <w:r w:rsidRPr="00AF108B">
        <w:rPr>
          <w:rFonts w:asciiTheme="majorEastAsia" w:eastAsiaTheme="majorEastAsia" w:hAnsiTheme="majorEastAsia" w:cs="仿宋_GB2312"/>
          <w:sz w:val="44"/>
          <w:szCs w:val="44"/>
        </w:rPr>
        <w:t>董家口经济区管理委员会</w:t>
      </w:r>
    </w:p>
    <w:p w:rsidR="00AF108B" w:rsidRDefault="00AF108B" w:rsidP="00AF108B">
      <w:pPr>
        <w:jc w:val="center"/>
        <w:rPr>
          <w:rFonts w:asciiTheme="majorEastAsia" w:eastAsiaTheme="majorEastAsia" w:hAnsiTheme="majorEastAsia" w:cs="仿宋_GB2312"/>
          <w:sz w:val="44"/>
          <w:szCs w:val="44"/>
        </w:rPr>
      </w:pPr>
      <w:r w:rsidRPr="00AF108B">
        <w:rPr>
          <w:rFonts w:asciiTheme="majorEastAsia" w:eastAsiaTheme="majorEastAsia" w:hAnsiTheme="majorEastAsia" w:cs="仿宋_GB2312" w:hint="eastAsia"/>
          <w:sz w:val="44"/>
          <w:szCs w:val="44"/>
        </w:rPr>
        <w:t>2021年部门</w:t>
      </w:r>
      <w:r w:rsidRPr="00AF108B">
        <w:rPr>
          <w:rFonts w:asciiTheme="majorEastAsia" w:eastAsiaTheme="majorEastAsia" w:hAnsiTheme="majorEastAsia" w:cs="仿宋_GB2312"/>
          <w:sz w:val="44"/>
          <w:szCs w:val="44"/>
        </w:rPr>
        <w:t>预算有关</w:t>
      </w:r>
      <w:r w:rsidRPr="00AF108B">
        <w:rPr>
          <w:rFonts w:asciiTheme="majorEastAsia" w:eastAsiaTheme="majorEastAsia" w:hAnsiTheme="majorEastAsia" w:cs="仿宋_GB2312" w:hint="eastAsia"/>
          <w:sz w:val="44"/>
          <w:szCs w:val="44"/>
        </w:rPr>
        <w:t>说明</w:t>
      </w:r>
    </w:p>
    <w:bookmarkEnd w:id="0"/>
    <w:p w:rsidR="005D7E44" w:rsidRPr="00AF108B" w:rsidRDefault="005D7E44" w:rsidP="00AF108B">
      <w:pPr>
        <w:jc w:val="center"/>
        <w:rPr>
          <w:rFonts w:asciiTheme="majorEastAsia" w:eastAsiaTheme="majorEastAsia" w:hAnsiTheme="majorEastAsia" w:cs="仿宋_GB2312"/>
          <w:sz w:val="48"/>
          <w:szCs w:val="48"/>
        </w:rPr>
      </w:pPr>
    </w:p>
    <w:p w:rsidR="00AF108B" w:rsidRDefault="00AF108B" w:rsidP="005D7E44">
      <w:pPr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 w:rsidRPr="00AF108B">
        <w:rPr>
          <w:rFonts w:ascii="仿宋_GB2312" w:eastAsia="仿宋_GB2312" w:hAnsi="仿宋_GB2312" w:cs="仿宋_GB2312"/>
          <w:sz w:val="32"/>
          <w:szCs w:val="32"/>
        </w:rPr>
        <w:t>2020</w:t>
      </w:r>
      <w:r w:rsidRPr="00AF108B">
        <w:rPr>
          <w:rFonts w:ascii="仿宋_GB2312" w:eastAsia="仿宋_GB2312" w:hAnsi="仿宋_GB2312" w:cs="仿宋_GB2312" w:hint="eastAsia"/>
          <w:sz w:val="32"/>
          <w:szCs w:val="32"/>
        </w:rPr>
        <w:t>年底</w:t>
      </w:r>
      <w:r w:rsidRPr="00AF108B">
        <w:rPr>
          <w:rFonts w:ascii="仿宋_GB2312" w:eastAsia="仿宋_GB2312" w:hAnsi="仿宋_GB2312" w:cs="仿宋_GB2312"/>
          <w:sz w:val="32"/>
          <w:szCs w:val="32"/>
        </w:rPr>
        <w:t>，青岛董家口经济区管理委员会进行体制机制改革，新区财政局对</w:t>
      </w:r>
      <w:proofErr w:type="gramStart"/>
      <w:r w:rsidRPr="00AF108B">
        <w:rPr>
          <w:rFonts w:ascii="仿宋_GB2312" w:eastAsia="仿宋_GB2312" w:hAnsi="仿宋_GB2312" w:cs="仿宋_GB2312"/>
          <w:sz w:val="32"/>
          <w:szCs w:val="32"/>
        </w:rPr>
        <w:t>涉改功能</w:t>
      </w:r>
      <w:proofErr w:type="gramEnd"/>
      <w:r w:rsidRPr="00AF108B">
        <w:rPr>
          <w:rFonts w:ascii="仿宋_GB2312" w:eastAsia="仿宋_GB2312" w:hAnsi="仿宋_GB2312" w:cs="仿宋_GB2312"/>
          <w:sz w:val="32"/>
          <w:szCs w:val="32"/>
        </w:rPr>
        <w:t>区</w:t>
      </w:r>
      <w:r w:rsidR="005D7E44">
        <w:rPr>
          <w:rFonts w:ascii="仿宋_GB2312" w:eastAsia="仿宋_GB2312" w:hAnsi="仿宋_GB2312" w:cs="仿宋_GB2312" w:hint="eastAsia"/>
          <w:sz w:val="32"/>
          <w:szCs w:val="32"/>
        </w:rPr>
        <w:t>2021</w:t>
      </w:r>
      <w:r w:rsidRPr="00AF108B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Pr="00AF108B">
        <w:rPr>
          <w:rFonts w:ascii="仿宋_GB2312" w:eastAsia="仿宋_GB2312" w:hAnsi="仿宋_GB2312" w:cs="仿宋_GB2312"/>
          <w:sz w:val="32"/>
          <w:szCs w:val="32"/>
        </w:rPr>
        <w:t>预算采取“人员工资+综合定额”模式安排资金，经费从财政预留资金中解决，未编制部门预算。</w:t>
      </w:r>
      <w:r w:rsidRPr="00AF108B">
        <w:rPr>
          <w:rFonts w:ascii="仿宋_GB2312" w:eastAsia="仿宋_GB2312" w:hAnsi="仿宋_GB2312" w:cs="仿宋_GB2312" w:hint="eastAsia"/>
          <w:sz w:val="32"/>
          <w:szCs w:val="32"/>
        </w:rPr>
        <w:t>其中</w:t>
      </w:r>
      <w:r w:rsidRPr="00AF108B">
        <w:rPr>
          <w:rFonts w:ascii="仿宋_GB2312" w:eastAsia="仿宋_GB2312" w:hAnsi="仿宋_GB2312" w:cs="仿宋_GB2312"/>
          <w:sz w:val="32"/>
          <w:szCs w:val="32"/>
        </w:rPr>
        <w:t>：人员工资核定薪酬</w:t>
      </w:r>
      <w:r w:rsidRPr="00AF108B">
        <w:rPr>
          <w:rFonts w:ascii="仿宋_GB2312" w:eastAsia="仿宋_GB2312" w:hAnsi="仿宋_GB2312" w:cs="仿宋_GB2312" w:hint="eastAsia"/>
          <w:sz w:val="32"/>
          <w:szCs w:val="32"/>
        </w:rPr>
        <w:t>总额</w:t>
      </w:r>
      <w:r w:rsidR="00286A54">
        <w:rPr>
          <w:rFonts w:ascii="仿宋_GB2312" w:eastAsia="仿宋_GB2312" w:hAnsi="仿宋_GB2312" w:cs="仿宋_GB2312" w:hint="eastAsia"/>
          <w:sz w:val="32"/>
          <w:szCs w:val="32"/>
        </w:rPr>
        <w:t>2219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核定</w:t>
      </w:r>
      <w:r>
        <w:rPr>
          <w:rFonts w:ascii="仿宋_GB2312" w:eastAsia="仿宋_GB2312" w:hAnsi="仿宋_GB2312" w:cs="仿宋_GB2312"/>
          <w:sz w:val="32"/>
          <w:szCs w:val="32"/>
        </w:rPr>
        <w:t>养老金、公积金和企业年金单位缴纳部分</w:t>
      </w:r>
      <w:r w:rsidR="00286A54">
        <w:rPr>
          <w:rFonts w:ascii="仿宋_GB2312" w:eastAsia="仿宋_GB2312" w:hAnsi="仿宋_GB2312" w:cs="仿宋_GB2312" w:hint="eastAsia"/>
          <w:sz w:val="32"/>
          <w:szCs w:val="32"/>
        </w:rPr>
        <w:t>1116</w:t>
      </w:r>
      <w:r>
        <w:rPr>
          <w:rFonts w:ascii="仿宋_GB2312" w:eastAsia="仿宋_GB2312" w:hAnsi="仿宋_GB2312" w:cs="仿宋_GB2312"/>
          <w:sz w:val="32"/>
          <w:szCs w:val="32"/>
        </w:rPr>
        <w:t>万元；综合定额按照不低于预算控制数的原则，核定</w:t>
      </w:r>
      <w:r>
        <w:rPr>
          <w:rFonts w:ascii="仿宋_GB2312" w:eastAsia="仿宋_GB2312" w:hAnsi="仿宋_GB2312" w:cs="仿宋_GB2312" w:hint="eastAsia"/>
          <w:sz w:val="32"/>
          <w:szCs w:val="32"/>
        </w:rPr>
        <w:t>1850万元</w:t>
      </w:r>
      <w:r>
        <w:rPr>
          <w:rFonts w:ascii="仿宋_GB2312" w:eastAsia="仿宋_GB2312" w:hAnsi="仿宋_GB2312" w:cs="仿宋_GB2312"/>
          <w:sz w:val="32"/>
          <w:szCs w:val="32"/>
        </w:rPr>
        <w:t>，共核定</w:t>
      </w:r>
      <w:r>
        <w:rPr>
          <w:rFonts w:ascii="仿宋_GB2312" w:eastAsia="仿宋_GB2312" w:hAnsi="仿宋_GB2312" w:cs="仿宋_GB2312" w:hint="eastAsia"/>
          <w:sz w:val="32"/>
          <w:szCs w:val="32"/>
        </w:rPr>
        <w:t>2021年</w:t>
      </w:r>
      <w:r>
        <w:rPr>
          <w:rFonts w:ascii="仿宋_GB2312" w:eastAsia="仿宋_GB2312" w:hAnsi="仿宋_GB2312" w:cs="仿宋_GB2312"/>
          <w:sz w:val="32"/>
          <w:szCs w:val="32"/>
        </w:rPr>
        <w:t>部门</w:t>
      </w:r>
      <w:r>
        <w:rPr>
          <w:rFonts w:ascii="仿宋_GB2312" w:eastAsia="仿宋_GB2312" w:hAnsi="仿宋_GB2312" w:cs="仿宋_GB2312" w:hint="eastAsia"/>
          <w:sz w:val="32"/>
          <w:szCs w:val="32"/>
        </w:rPr>
        <w:t>预算</w:t>
      </w:r>
      <w:r w:rsidR="00286A54" w:rsidRPr="00286A54">
        <w:rPr>
          <w:rFonts w:ascii="仿宋_GB2312" w:eastAsia="仿宋_GB2312" w:hAnsi="仿宋_GB2312" w:cs="仿宋_GB2312"/>
          <w:sz w:val="32"/>
          <w:szCs w:val="32"/>
        </w:rPr>
        <w:t>5185</w:t>
      </w:r>
      <w:r w:rsidRPr="00286A54"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/>
          <w:sz w:val="32"/>
          <w:szCs w:val="32"/>
        </w:rPr>
        <w:t>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5D7E44">
        <w:rPr>
          <w:rFonts w:ascii="仿宋_GB2312" w:eastAsia="仿宋_GB2312" w:hAnsi="仿宋_GB2312" w:cs="仿宋_GB2312"/>
          <w:sz w:val="32"/>
          <w:szCs w:val="32"/>
        </w:rPr>
        <w:t>年</w:t>
      </w:r>
      <w:r w:rsidR="005D7E44">
        <w:rPr>
          <w:rFonts w:ascii="仿宋_GB2312" w:eastAsia="仿宋_GB2312" w:hAnsi="仿宋_GB2312" w:cs="仿宋_GB2312" w:hint="eastAsia"/>
          <w:sz w:val="32"/>
          <w:szCs w:val="32"/>
        </w:rPr>
        <w:t>中</w:t>
      </w:r>
      <w:r>
        <w:rPr>
          <w:rFonts w:ascii="仿宋_GB2312" w:eastAsia="仿宋_GB2312" w:hAnsi="仿宋_GB2312" w:cs="仿宋_GB2312"/>
          <w:sz w:val="32"/>
          <w:szCs w:val="32"/>
        </w:rPr>
        <w:t>根据上级要求编制部门预算，现予以公开。</w:t>
      </w:r>
    </w:p>
    <w:p w:rsidR="00AF108B" w:rsidRDefault="00AF108B" w:rsidP="005D7E4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特此说明</w:t>
      </w:r>
      <w:r>
        <w:rPr>
          <w:rFonts w:ascii="仿宋_GB2312" w:eastAsia="仿宋_GB2312" w:hAnsi="仿宋_GB2312" w:cs="仿宋_GB2312"/>
          <w:sz w:val="32"/>
          <w:szCs w:val="32"/>
        </w:rPr>
        <w:t>。</w:t>
      </w:r>
    </w:p>
    <w:p w:rsidR="005D7E44" w:rsidRDefault="005D7E44">
      <w:pPr>
        <w:rPr>
          <w:rFonts w:ascii="仿宋_GB2312" w:eastAsia="仿宋_GB2312" w:hAnsi="仿宋_GB2312" w:cs="仿宋_GB2312"/>
          <w:sz w:val="32"/>
          <w:szCs w:val="32"/>
        </w:rPr>
      </w:pPr>
    </w:p>
    <w:p w:rsidR="005D7E44" w:rsidRDefault="005D7E44">
      <w:pPr>
        <w:rPr>
          <w:rFonts w:ascii="仿宋_GB2312" w:eastAsia="仿宋_GB2312" w:hAnsi="仿宋_GB2312" w:cs="仿宋_GB2312"/>
          <w:sz w:val="32"/>
          <w:szCs w:val="32"/>
        </w:rPr>
      </w:pPr>
    </w:p>
    <w:p w:rsidR="005D7E44" w:rsidRDefault="005D7E44">
      <w:pPr>
        <w:rPr>
          <w:rFonts w:ascii="仿宋_GB2312" w:eastAsia="仿宋_GB2312" w:hAnsi="仿宋_GB2312" w:cs="仿宋_GB2312"/>
          <w:sz w:val="32"/>
          <w:szCs w:val="32"/>
        </w:rPr>
      </w:pPr>
    </w:p>
    <w:p w:rsidR="005D7E44" w:rsidRDefault="005D7E44">
      <w:pPr>
        <w:rPr>
          <w:rFonts w:ascii="仿宋_GB2312" w:eastAsia="仿宋_GB2312" w:hAnsi="仿宋_GB2312" w:cs="仿宋_GB2312"/>
          <w:sz w:val="32"/>
          <w:szCs w:val="32"/>
        </w:rPr>
      </w:pPr>
    </w:p>
    <w:p w:rsidR="005D7E44" w:rsidRDefault="005D7E44">
      <w:pPr>
        <w:rPr>
          <w:rFonts w:ascii="仿宋_GB2312" w:eastAsia="仿宋_GB2312" w:hAnsi="仿宋_GB2312" w:cs="仿宋_GB2312"/>
          <w:sz w:val="32"/>
          <w:szCs w:val="32"/>
        </w:rPr>
      </w:pPr>
    </w:p>
    <w:p w:rsidR="00AF108B" w:rsidRDefault="00AF108B" w:rsidP="005D7E44">
      <w:pPr>
        <w:ind w:firstLineChars="1100" w:firstLine="35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青岛董家口经济区管理委员会</w:t>
      </w:r>
    </w:p>
    <w:p w:rsidR="00AF108B" w:rsidRPr="00AF108B" w:rsidRDefault="00AF108B">
      <w:r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="005D7E44">
        <w:rPr>
          <w:rFonts w:ascii="仿宋_GB2312" w:eastAsia="仿宋_GB2312" w:hAnsi="仿宋_GB2312" w:cs="仿宋_GB2312"/>
          <w:sz w:val="32"/>
          <w:szCs w:val="32"/>
        </w:rPr>
        <w:t xml:space="preserve">                             </w:t>
      </w:r>
      <w:r>
        <w:rPr>
          <w:rFonts w:ascii="仿宋_GB2312" w:eastAsia="仿宋_GB2312" w:hAnsi="仿宋_GB2312" w:cs="仿宋_GB2312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年9月30日</w:t>
      </w:r>
    </w:p>
    <w:sectPr w:rsidR="00AF108B" w:rsidRPr="00AF10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08B"/>
    <w:rsid w:val="00286A54"/>
    <w:rsid w:val="005D7E44"/>
    <w:rsid w:val="008322B2"/>
    <w:rsid w:val="009913BF"/>
    <w:rsid w:val="00AF108B"/>
    <w:rsid w:val="00B50504"/>
    <w:rsid w:val="00BB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94EE56-1EE6-46BC-B39D-87CC1DC51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>Sky123.Org</Company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l</cp:lastModifiedBy>
  <cp:revision>2</cp:revision>
  <dcterms:created xsi:type="dcterms:W3CDTF">2022-04-15T02:45:00Z</dcterms:created>
  <dcterms:modified xsi:type="dcterms:W3CDTF">2022-04-15T02:45:00Z</dcterms:modified>
</cp:coreProperties>
</file>