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Cs w:val="32"/>
          <w:lang w:val="en-US" w:eastAsia="zh-CN"/>
        </w:rPr>
      </w:pPr>
      <w:r>
        <w:rPr>
          <w:rFonts w:hint="eastAsia" w:ascii="黑体" w:hAnsi="黑体" w:eastAsia="黑体"/>
          <w:szCs w:val="32"/>
          <w:lang w:val="en-US" w:eastAsia="zh-CN"/>
        </w:rPr>
        <w:t xml:space="preserve"> </w:t>
      </w:r>
    </w:p>
    <w:p>
      <w:pPr>
        <w:jc w:val="center"/>
        <w:rPr>
          <w:rFonts w:hint="eastAsia" w:ascii="黑体" w:hAnsi="黑体" w:eastAsia="黑体"/>
          <w:szCs w:val="32"/>
          <w:lang w:val="en-US" w:eastAsia="zh-CN"/>
        </w:rPr>
      </w:pPr>
    </w:p>
    <w:p>
      <w:pPr>
        <w:jc w:val="center"/>
        <w:rPr>
          <w:rFonts w:hint="eastAsia" w:ascii="仿宋_GB2312" w:eastAsia="仿宋_GB2312"/>
        </w:rPr>
      </w:pPr>
    </w:p>
    <w:p>
      <w:pPr>
        <w:jc w:val="center"/>
        <w:rPr>
          <w:rFonts w:hint="eastAsia"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val="en-US" w:eastAsia="zh-CN"/>
        </w:rPr>
      </w:pPr>
      <w:r>
        <w:rPr>
          <w:rFonts w:hint="eastAsia" w:ascii="方正小标宋简体" w:eastAsia="方正小标宋简体"/>
          <w:spacing w:val="60"/>
          <w:sz w:val="74"/>
          <w:lang w:val="en-US" w:eastAsia="zh-CN"/>
        </w:rPr>
        <w:t>青岛市黄岛区行</w:t>
      </w:r>
    </w:p>
    <w:p>
      <w:pPr>
        <w:jc w:val="center"/>
        <w:rPr>
          <w:rFonts w:hint="eastAsia" w:ascii="方正小标宋简体" w:eastAsia="方正小标宋简体"/>
          <w:spacing w:val="60"/>
          <w:sz w:val="74"/>
          <w:lang w:val="en-US" w:eastAsia="zh-CN"/>
        </w:rPr>
      </w:pPr>
      <w:r>
        <w:rPr>
          <w:rFonts w:hint="eastAsia" w:ascii="方正小标宋简体" w:eastAsia="方正小标宋简体"/>
          <w:spacing w:val="60"/>
          <w:sz w:val="74"/>
          <w:lang w:val="en-US" w:eastAsia="zh-CN"/>
        </w:rPr>
        <w:t>政审批服务局</w:t>
      </w:r>
    </w:p>
    <w:p>
      <w:pPr>
        <w:jc w:val="center"/>
        <w:rPr>
          <w:rFonts w:hint="eastAsia" w:ascii="方正小标宋简体" w:eastAsia="方正小标宋简体"/>
          <w:spacing w:val="60"/>
          <w:sz w:val="74"/>
        </w:rPr>
      </w:pPr>
      <w:r>
        <w:rPr>
          <w:rFonts w:hint="eastAsia" w:ascii="方正小标宋简体" w:eastAsia="方正小标宋简体"/>
          <w:spacing w:val="60"/>
          <w:sz w:val="74"/>
          <w:lang w:val="en-US" w:eastAsia="zh-CN"/>
        </w:rPr>
        <w:t>单位</w:t>
      </w:r>
      <w:r>
        <w:rPr>
          <w:rFonts w:hint="eastAsia" w:ascii="方正小标宋简体" w:eastAsia="方正小标宋简体"/>
          <w:spacing w:val="60"/>
          <w:sz w:val="74"/>
        </w:rPr>
        <w:t>决算</w:t>
      </w:r>
    </w:p>
    <w:p>
      <w:pPr>
        <w:jc w:val="center"/>
        <w:rPr>
          <w:rFonts w:hint="eastAsia" w:ascii="楷体_GB2312" w:eastAsia="楷体_GB2312"/>
          <w:b/>
          <w:sz w:val="42"/>
        </w:rPr>
      </w:pPr>
    </w:p>
    <w:p>
      <w:pPr>
        <w:jc w:val="center"/>
        <w:rPr>
          <w:rFonts w:hint="eastAsia" w:ascii="楷体_GB2312" w:eastAsia="楷体_GB2312"/>
          <w:b/>
          <w:sz w:val="42"/>
        </w:rPr>
      </w:pPr>
    </w:p>
    <w:p>
      <w:pPr>
        <w:rPr>
          <w:rFonts w:hint="eastAsia" w:ascii="仿宋_GB2312" w:eastAsia="仿宋_GB2312"/>
          <w:lang w:eastAsia="zh-CN"/>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hint="eastAsia" w:ascii="黑体" w:hAnsi="黑体" w:eastAsia="黑体"/>
        </w:rPr>
      </w:pPr>
      <w:r>
        <w:rPr>
          <w:rFonts w:hint="eastAsia" w:ascii="黑体" w:hAnsi="黑体" w:eastAsia="黑体"/>
        </w:rPr>
        <w:t xml:space="preserve">第一部分 </w:t>
      </w:r>
      <w:r>
        <w:rPr>
          <w:rFonts w:hint="eastAsia" w:ascii="黑体" w:hAnsi="黑体" w:eastAsia="黑体"/>
          <w:lang w:val="en-US" w:eastAsia="zh-CN"/>
        </w:rPr>
        <w:t>单位</w:t>
      </w:r>
      <w:r>
        <w:rPr>
          <w:rFonts w:hint="eastAsia" w:ascii="黑体" w:hAnsi="黑体" w:eastAsia="黑体"/>
        </w:rPr>
        <w:t>概况</w:t>
      </w:r>
    </w:p>
    <w:p>
      <w:pPr>
        <w:spacing w:line="580" w:lineRule="exact"/>
        <w:ind w:firstLine="632" w:firstLineChars="200"/>
        <w:rPr>
          <w:rFonts w:hint="eastAsia" w:ascii="仿宋_GB2312" w:eastAsia="仿宋_GB2312"/>
        </w:rPr>
      </w:pPr>
      <w:r>
        <w:rPr>
          <w:rFonts w:hint="eastAsia" w:ascii="仿宋_GB2312" w:eastAsia="仿宋_GB2312"/>
        </w:rPr>
        <w:t>一、</w:t>
      </w:r>
      <w:r>
        <w:rPr>
          <w:rFonts w:hint="eastAsia" w:ascii="仿宋_GB2312" w:eastAsia="仿宋_GB2312"/>
          <w:lang w:val="en-US" w:eastAsia="zh-CN"/>
        </w:rPr>
        <w:t>单位</w:t>
      </w:r>
      <w:r>
        <w:rPr>
          <w:rFonts w:hint="eastAsia" w:ascii="仿宋_GB2312" w:eastAsia="仿宋_GB2312"/>
        </w:rPr>
        <w:t>职责</w:t>
      </w:r>
    </w:p>
    <w:p>
      <w:pPr>
        <w:spacing w:line="580" w:lineRule="exact"/>
        <w:ind w:firstLine="632" w:firstLineChars="200"/>
        <w:rPr>
          <w:rFonts w:hint="eastAsia" w:ascii="仿宋_GB2312" w:eastAsia="仿宋_GB2312"/>
        </w:rPr>
      </w:pPr>
      <w:r>
        <w:rPr>
          <w:rFonts w:hint="eastAsia" w:ascii="仿宋_GB2312" w:eastAsia="仿宋_GB2312"/>
        </w:rPr>
        <w:t>二、机构设置</w:t>
      </w:r>
    </w:p>
    <w:p>
      <w:pPr>
        <w:spacing w:line="580" w:lineRule="exact"/>
        <w:ind w:firstLine="316" w:firstLineChars="100"/>
        <w:rPr>
          <w:rFonts w:hint="eastAsia" w:ascii="黑体" w:hAnsi="黑体" w:eastAsia="黑体"/>
        </w:rPr>
      </w:pPr>
      <w:r>
        <w:rPr>
          <w:rFonts w:hint="eastAsia" w:ascii="黑体" w:hAnsi="黑体" w:eastAsia="黑体"/>
        </w:rPr>
        <w:t>第二部分  2020年度</w:t>
      </w:r>
      <w:r>
        <w:rPr>
          <w:rFonts w:hint="eastAsia" w:ascii="黑体" w:hAnsi="黑体" w:eastAsia="黑体"/>
          <w:lang w:val="en-US" w:eastAsia="zh-CN"/>
        </w:rPr>
        <w:t>单位</w:t>
      </w:r>
      <w:r>
        <w:rPr>
          <w:rFonts w:hint="eastAsia" w:ascii="黑体" w:hAnsi="黑体" w:eastAsia="黑体"/>
        </w:rPr>
        <w:t>决算表</w:t>
      </w:r>
    </w:p>
    <w:p>
      <w:pPr>
        <w:spacing w:line="580" w:lineRule="exact"/>
        <w:ind w:firstLine="632" w:firstLineChars="200"/>
        <w:rPr>
          <w:rFonts w:hint="eastAsia" w:ascii="仿宋_GB2312" w:eastAsia="仿宋_GB2312"/>
        </w:rPr>
      </w:pPr>
      <w:r>
        <w:rPr>
          <w:rFonts w:hint="eastAsia" w:ascii="仿宋_GB2312" w:eastAsia="仿宋_GB2312"/>
        </w:rPr>
        <w:t>一、收入支出决算总表</w:t>
      </w:r>
    </w:p>
    <w:p>
      <w:pPr>
        <w:spacing w:line="580" w:lineRule="exact"/>
        <w:ind w:firstLine="632" w:firstLineChars="200"/>
        <w:rPr>
          <w:rFonts w:hint="eastAsia" w:ascii="仿宋_GB2312" w:eastAsia="仿宋_GB2312"/>
        </w:rPr>
      </w:pPr>
      <w:r>
        <w:rPr>
          <w:rFonts w:hint="eastAsia" w:ascii="仿宋_GB2312" w:eastAsia="仿宋_GB2312"/>
        </w:rPr>
        <w:t>二、收入决算表</w:t>
      </w:r>
    </w:p>
    <w:p>
      <w:pPr>
        <w:spacing w:line="580" w:lineRule="exact"/>
        <w:ind w:firstLine="632" w:firstLineChars="200"/>
        <w:rPr>
          <w:rFonts w:hint="eastAsia" w:ascii="仿宋_GB2312" w:eastAsia="仿宋_GB2312"/>
        </w:rPr>
      </w:pPr>
      <w:r>
        <w:rPr>
          <w:rFonts w:hint="eastAsia" w:ascii="仿宋_GB2312" w:eastAsia="仿宋_GB2312"/>
        </w:rPr>
        <w:t>三、支出决算表</w:t>
      </w:r>
    </w:p>
    <w:p>
      <w:pPr>
        <w:spacing w:line="580" w:lineRule="exact"/>
        <w:ind w:firstLine="632" w:firstLineChars="200"/>
        <w:rPr>
          <w:rFonts w:hint="eastAsia" w:ascii="仿宋_GB2312" w:eastAsia="仿宋_GB2312"/>
        </w:rPr>
      </w:pPr>
      <w:r>
        <w:rPr>
          <w:rFonts w:hint="eastAsia" w:ascii="仿宋_GB2312" w:eastAsia="仿宋_GB2312"/>
        </w:rPr>
        <w:t>四、财政拨款收入支出决算总表</w:t>
      </w:r>
    </w:p>
    <w:p>
      <w:pPr>
        <w:spacing w:line="580" w:lineRule="exact"/>
        <w:ind w:firstLine="632" w:firstLineChars="200"/>
        <w:rPr>
          <w:rFonts w:hint="eastAsia" w:ascii="仿宋_GB2312" w:eastAsia="仿宋_GB2312"/>
        </w:rPr>
      </w:pPr>
      <w:r>
        <w:rPr>
          <w:rFonts w:hint="eastAsia" w:ascii="仿宋_GB2312" w:eastAsia="仿宋_GB2312"/>
        </w:rPr>
        <w:t>五、一般公共预算财政拨款支出决算表</w:t>
      </w:r>
    </w:p>
    <w:p>
      <w:pPr>
        <w:spacing w:line="580" w:lineRule="exact"/>
        <w:ind w:firstLine="632" w:firstLineChars="200"/>
        <w:rPr>
          <w:rFonts w:hint="eastAsia" w:ascii="仿宋_GB2312" w:eastAsia="仿宋_GB2312"/>
        </w:rPr>
      </w:pPr>
      <w:r>
        <w:rPr>
          <w:rFonts w:hint="eastAsia" w:ascii="仿宋_GB2312" w:eastAsia="仿宋_GB2312"/>
        </w:rPr>
        <w:t>六、一般公共预算财政拨款基本支出决算表</w:t>
      </w:r>
    </w:p>
    <w:p>
      <w:pPr>
        <w:spacing w:line="580" w:lineRule="exact"/>
        <w:ind w:firstLine="632" w:firstLineChars="200"/>
        <w:rPr>
          <w:rFonts w:hint="eastAsia" w:ascii="仿宋_GB2312" w:eastAsia="仿宋_GB2312"/>
        </w:rPr>
      </w:pPr>
      <w:r>
        <w:rPr>
          <w:rFonts w:hint="eastAsia" w:ascii="仿宋_GB2312" w:eastAsia="仿宋_GB2312"/>
        </w:rPr>
        <w:t>七、一般公共预算财政拨款“三公”经费支出决算表</w:t>
      </w:r>
    </w:p>
    <w:p>
      <w:pPr>
        <w:spacing w:line="580" w:lineRule="exact"/>
        <w:ind w:firstLine="632" w:firstLineChars="200"/>
        <w:rPr>
          <w:rFonts w:hint="eastAsia" w:ascii="仿宋_GB2312" w:eastAsia="仿宋_GB2312"/>
        </w:rPr>
      </w:pPr>
      <w:r>
        <w:rPr>
          <w:rFonts w:hint="eastAsia" w:ascii="仿宋_GB2312" w:eastAsia="仿宋_GB2312"/>
        </w:rPr>
        <w:t>八、政府性基金预算财政拨款收入支出决算表</w:t>
      </w:r>
    </w:p>
    <w:p>
      <w:pPr>
        <w:spacing w:line="580" w:lineRule="exact"/>
        <w:ind w:firstLine="632" w:firstLineChars="200"/>
        <w:rPr>
          <w:rFonts w:hint="eastAsia" w:ascii="仿宋_GB2312" w:eastAsia="仿宋_GB2312"/>
        </w:rPr>
      </w:pPr>
      <w:r>
        <w:rPr>
          <w:rFonts w:hint="eastAsia" w:ascii="仿宋_GB2312" w:eastAsia="仿宋_GB2312"/>
        </w:rPr>
        <w:t>九、国有资本经营预算财政拨款支出决算表</w:t>
      </w:r>
    </w:p>
    <w:p>
      <w:pPr>
        <w:spacing w:line="580" w:lineRule="exact"/>
        <w:ind w:firstLine="316" w:firstLineChars="100"/>
        <w:rPr>
          <w:rFonts w:hint="eastAsia" w:ascii="黑体" w:hAnsi="黑体" w:eastAsia="黑体"/>
        </w:rPr>
      </w:pPr>
      <w:r>
        <w:rPr>
          <w:rFonts w:hint="eastAsia" w:ascii="黑体" w:hAnsi="黑体" w:eastAsia="黑体"/>
        </w:rPr>
        <w:t>第三部分  2020年度</w:t>
      </w:r>
      <w:r>
        <w:rPr>
          <w:rFonts w:hint="eastAsia" w:ascii="黑体" w:hAnsi="黑体" w:eastAsia="黑体"/>
          <w:lang w:val="en-US" w:eastAsia="zh-CN"/>
        </w:rPr>
        <w:t>单位</w:t>
      </w:r>
      <w:r>
        <w:rPr>
          <w:rFonts w:hint="eastAsia" w:ascii="黑体" w:hAnsi="黑体" w:eastAsia="黑体"/>
        </w:rPr>
        <w:t>决算情况说明</w:t>
      </w:r>
    </w:p>
    <w:p>
      <w:pPr>
        <w:spacing w:line="580" w:lineRule="exact"/>
        <w:ind w:firstLine="632" w:firstLineChars="200"/>
        <w:rPr>
          <w:rFonts w:hint="eastAsia" w:ascii="仿宋_GB2312" w:eastAsia="仿宋_GB2312"/>
        </w:rPr>
      </w:pPr>
      <w:r>
        <w:rPr>
          <w:rFonts w:hint="eastAsia" w:ascii="仿宋_GB2312" w:eastAsia="仿宋_GB2312"/>
        </w:rPr>
        <w:t>一、收入支出决算总体情况说明</w:t>
      </w:r>
    </w:p>
    <w:p>
      <w:pPr>
        <w:spacing w:line="580" w:lineRule="exact"/>
        <w:ind w:firstLine="632" w:firstLineChars="200"/>
        <w:rPr>
          <w:rFonts w:hint="eastAsia" w:ascii="仿宋_GB2312" w:eastAsia="仿宋_GB2312"/>
        </w:rPr>
      </w:pPr>
      <w:r>
        <w:rPr>
          <w:rFonts w:hint="eastAsia" w:ascii="仿宋_GB2312" w:eastAsia="仿宋_GB2312"/>
        </w:rPr>
        <w:t>二、收入决算情况说明</w:t>
      </w:r>
    </w:p>
    <w:p>
      <w:pPr>
        <w:spacing w:line="580" w:lineRule="exact"/>
        <w:ind w:firstLine="632" w:firstLineChars="200"/>
        <w:rPr>
          <w:rFonts w:hint="eastAsia" w:ascii="仿宋_GB2312" w:eastAsia="仿宋_GB2312"/>
        </w:rPr>
      </w:pPr>
      <w:r>
        <w:rPr>
          <w:rFonts w:hint="eastAsia" w:ascii="仿宋_GB2312" w:eastAsia="仿宋_GB2312"/>
        </w:rPr>
        <w:t>三、支出决算情况说明</w:t>
      </w:r>
    </w:p>
    <w:p>
      <w:pPr>
        <w:spacing w:line="580" w:lineRule="exact"/>
        <w:ind w:firstLine="632" w:firstLineChars="200"/>
        <w:rPr>
          <w:rFonts w:hint="eastAsia" w:ascii="仿宋_GB2312" w:eastAsia="仿宋_GB2312"/>
        </w:rPr>
      </w:pPr>
      <w:r>
        <w:rPr>
          <w:rFonts w:hint="eastAsia" w:ascii="仿宋_GB2312" w:eastAsia="仿宋_GB2312"/>
        </w:rPr>
        <w:t>四、财政拨款收入支出决算总体情况说明</w:t>
      </w:r>
    </w:p>
    <w:p>
      <w:pPr>
        <w:spacing w:line="580" w:lineRule="exact"/>
        <w:ind w:firstLine="632" w:firstLineChars="200"/>
        <w:rPr>
          <w:rFonts w:hint="eastAsia" w:ascii="仿宋_GB2312" w:eastAsia="仿宋_GB2312"/>
        </w:rPr>
      </w:pPr>
      <w:r>
        <w:rPr>
          <w:rFonts w:hint="eastAsia" w:ascii="仿宋_GB2312" w:eastAsia="仿宋_GB2312"/>
        </w:rPr>
        <w:t>五、一般公共预算财政拨款支出决算情况说明</w:t>
      </w:r>
    </w:p>
    <w:p>
      <w:pPr>
        <w:spacing w:line="580" w:lineRule="exact"/>
        <w:ind w:firstLine="632" w:firstLineChars="200"/>
        <w:rPr>
          <w:rFonts w:hint="eastAsia" w:ascii="仿宋_GB2312" w:eastAsia="仿宋_GB2312"/>
        </w:rPr>
      </w:pPr>
      <w:r>
        <w:rPr>
          <w:rFonts w:hint="eastAsia" w:ascii="仿宋_GB2312" w:eastAsia="仿宋_GB2312"/>
        </w:rPr>
        <w:t>六、一般公共预算财政拨款基本支出决算情况说明</w:t>
      </w:r>
    </w:p>
    <w:p>
      <w:pPr>
        <w:spacing w:line="580" w:lineRule="exact"/>
        <w:ind w:firstLine="632" w:firstLineChars="200"/>
        <w:rPr>
          <w:rFonts w:hint="eastAsia" w:ascii="仿宋_GB2312" w:eastAsia="仿宋_GB2312"/>
        </w:rPr>
      </w:pPr>
      <w:r>
        <w:rPr>
          <w:rFonts w:hint="eastAsia" w:ascii="仿宋_GB2312" w:eastAsia="仿宋_GB2312"/>
        </w:rPr>
        <w:t>七、一般公共预算财政拨款“三公”经费支出决算情况说明</w:t>
      </w:r>
    </w:p>
    <w:p>
      <w:pPr>
        <w:spacing w:line="580" w:lineRule="exact"/>
        <w:ind w:firstLine="632" w:firstLineChars="200"/>
        <w:rPr>
          <w:rFonts w:hint="eastAsia" w:ascii="仿宋_GB2312" w:eastAsia="仿宋_GB2312"/>
        </w:rPr>
      </w:pPr>
      <w:r>
        <w:rPr>
          <w:rFonts w:hint="eastAsia" w:ascii="仿宋_GB2312" w:eastAsia="仿宋_GB2312"/>
        </w:rPr>
        <w:t>八、政府性基金预算财政拨款收入支出决算情况说明</w:t>
      </w:r>
    </w:p>
    <w:p>
      <w:pPr>
        <w:spacing w:line="580" w:lineRule="exact"/>
        <w:ind w:firstLine="632" w:firstLineChars="200"/>
        <w:rPr>
          <w:rFonts w:hint="eastAsia" w:ascii="仿宋_GB2312" w:eastAsia="仿宋_GB2312"/>
        </w:rPr>
      </w:pPr>
      <w:r>
        <w:rPr>
          <w:rFonts w:hint="eastAsia" w:ascii="仿宋_GB2312" w:eastAsia="仿宋_GB2312"/>
        </w:rPr>
        <w:t>九、国有资本经营预算财政拨款支出决算情况说明</w:t>
      </w:r>
    </w:p>
    <w:p>
      <w:pPr>
        <w:spacing w:line="580" w:lineRule="exact"/>
        <w:ind w:firstLine="632" w:firstLineChars="200"/>
        <w:rPr>
          <w:rFonts w:hint="eastAsia" w:ascii="仿宋_GB2312" w:eastAsia="仿宋_GB2312"/>
        </w:rPr>
      </w:pPr>
      <w:r>
        <w:rPr>
          <w:rFonts w:hint="eastAsia" w:ascii="仿宋_GB2312" w:eastAsia="仿宋_GB2312"/>
        </w:rPr>
        <w:t>十、其他重要事项情况说明</w:t>
      </w:r>
    </w:p>
    <w:p>
      <w:pPr>
        <w:spacing w:line="580" w:lineRule="exact"/>
        <w:ind w:firstLine="632" w:firstLineChars="200"/>
        <w:rPr>
          <w:rFonts w:hint="eastAsia" w:ascii="仿宋_GB2312" w:eastAsia="仿宋_GB2312"/>
        </w:rPr>
      </w:pPr>
      <w:r>
        <w:rPr>
          <w:rFonts w:hint="eastAsia" w:ascii="仿宋_GB2312" w:eastAsia="仿宋_GB2312"/>
        </w:rPr>
        <w:t>十一、预算绩效情况说明</w:t>
      </w:r>
    </w:p>
    <w:p>
      <w:pPr>
        <w:spacing w:line="580" w:lineRule="exact"/>
        <w:ind w:firstLine="316" w:firstLineChars="100"/>
        <w:rPr>
          <w:rFonts w:hint="eastAsia" w:ascii="黑体" w:hAnsi="黑体" w:eastAsia="黑体"/>
        </w:rPr>
      </w:pPr>
      <w:r>
        <w:rPr>
          <w:rFonts w:hint="eastAsia" w:ascii="黑体" w:hAnsi="黑体" w:eastAsia="黑体"/>
        </w:rPr>
        <w:t>第四部分  名词解释</w:t>
      </w:r>
    </w:p>
    <w:p>
      <w:pPr>
        <w:spacing w:line="580" w:lineRule="exact"/>
        <w:ind w:firstLine="316" w:firstLineChars="100"/>
        <w:rPr>
          <w:rFonts w:hint="default" w:ascii="黑体" w:hAnsi="黑体" w:eastAsia="黑体"/>
          <w:lang w:val="en-US" w:eastAsia="zh-CN"/>
        </w:rPr>
      </w:pPr>
      <w:r>
        <w:rPr>
          <w:rFonts w:hint="eastAsia" w:ascii="黑体" w:hAnsi="黑体" w:eastAsia="黑体"/>
          <w:lang w:val="en-US" w:eastAsia="zh-CN"/>
        </w:rPr>
        <w:t>第五部分  附件</w:t>
      </w: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lang w:eastAsia="zh-CN"/>
        </w:rPr>
      </w:pPr>
    </w:p>
    <w:p>
      <w:pPr>
        <w:spacing w:line="580" w:lineRule="exact"/>
        <w:ind w:firstLine="316" w:firstLineChars="100"/>
        <w:rPr>
          <w:rFonts w:hint="eastAsia" w:ascii="黑体" w:hAnsi="黑体" w:eastAsia="黑体"/>
        </w:rPr>
      </w:pPr>
    </w:p>
    <w:p>
      <w:pPr>
        <w:spacing w:line="580" w:lineRule="exact"/>
        <w:ind w:firstLine="316" w:firstLineChars="100"/>
        <w:rPr>
          <w:rFonts w:hint="eastAsia" w:ascii="黑体" w:hAnsi="黑体" w:eastAsia="黑体"/>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rPr>
          <w:rFonts w:hint="eastAsia" w:ascii="方正小标宋简体" w:eastAsia="方正小标宋简体"/>
          <w:sz w:val="42"/>
        </w:rPr>
      </w:pPr>
    </w:p>
    <w:p>
      <w:pP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第一部分</w:t>
      </w: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r>
        <w:rPr>
          <w:rFonts w:hint="eastAsia" w:ascii="方正小标宋简体" w:eastAsia="方正小标宋简体"/>
          <w:spacing w:val="60"/>
          <w:sz w:val="48"/>
          <w:lang w:val="en-US" w:eastAsia="zh-CN"/>
        </w:rPr>
        <w:t>单位</w:t>
      </w:r>
      <w:r>
        <w:rPr>
          <w:rFonts w:hint="eastAsia" w:ascii="方正小标宋简体" w:eastAsia="方正小标宋简体"/>
          <w:spacing w:val="60"/>
          <w:sz w:val="48"/>
        </w:rPr>
        <w:t>概况</w:t>
      </w:r>
    </w:p>
    <w:p>
      <w:pPr>
        <w:jc w:val="center"/>
        <w:rPr>
          <w:rFonts w:hint="eastAsia" w:ascii="仿宋_GB2312" w:eastAsia="仿宋_GB2312"/>
        </w:rPr>
        <w:sectPr>
          <w:headerReference r:id="rId3" w:type="default"/>
          <w:footerReference r:id="rId4" w:type="default"/>
          <w:footerReference r:id="rId5" w:type="even"/>
          <w:pgSz w:w="11906" w:h="16838"/>
          <w:pgMar w:top="1701" w:right="1531" w:bottom="1701" w:left="1531" w:header="0" w:footer="1418" w:gutter="0"/>
          <w:cols w:space="720" w:num="1"/>
          <w:docGrid w:type="linesAndChars" w:linePitch="610" w:charSpace="-849"/>
        </w:sectPr>
      </w:pPr>
    </w:p>
    <w:p>
      <w:pPr>
        <w:numPr>
          <w:ilvl w:val="0"/>
          <w:numId w:val="1"/>
        </w:numPr>
        <w:spacing w:line="580" w:lineRule="exact"/>
        <w:rPr>
          <w:rFonts w:hint="eastAsia" w:ascii="黑体" w:eastAsia="黑体"/>
          <w:sz w:val="32"/>
          <w:szCs w:val="32"/>
        </w:rPr>
      </w:pPr>
      <w:r>
        <w:rPr>
          <w:rFonts w:hint="eastAsia" w:ascii="黑体" w:eastAsia="黑体"/>
          <w:sz w:val="32"/>
          <w:szCs w:val="32"/>
          <w:lang w:val="en-US" w:eastAsia="zh-CN"/>
        </w:rPr>
        <w:t>单位</w:t>
      </w:r>
      <w:r>
        <w:rPr>
          <w:rFonts w:hint="eastAsia" w:ascii="黑体" w:eastAsia="黑体"/>
          <w:sz w:val="32"/>
          <w:szCs w:val="32"/>
        </w:rPr>
        <w:t>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（一）贯彻执行行政审批以及有关政务服务、公共资源交易工作法律法规和方针政策，起草相关政府规范性文件，拟订发展规划和政策措施并组织实施。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（二）负责统筹、组织、协调、指导、监督全区行政审批服务工作，建立行政审批服务标准规范，编制划转及进驻政务服务大厅审批服务事项目录、办事指南并向社会公开。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（三）负责权限内行政审批以及有关政务服务事项的办理，并承担相应法律责任。对依法需要现场踏勘、审图和验收的事项，会同有关职能部门根据法律法规规章和相关行业标准制定实施办法并组织实施。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对进驻区政务服务大厅的行政审批以及有关政务服务事务进行管理。优化审批服务事项流程，规划调整入驻大厅的部门（单位）、审批服务事项和工作布局。对进驻大厅部门的审批服务工作进行指导，对进驻人员进行管理考核。协调、督促重大项目和联合审批事项的办理。负责中介超市建设和日常管理工作。推进落实商事制度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立并实施政务服务工作考核评价机制，指导各功能区政务服务大厅、相关部门分大厅、各镇（街道）便民服务大厅建设，对其运行情况进行监督考核。建立涵盖新区、功能区、镇（街道）、社区的行政审批服务代办帮办网络；统筹推进镇（街道）便民服务平台建设工作，实行“一站式”便民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建立行政审批以及有关政务服务工作协调机制。承担区行政服务工作委员会日常工作，负责拟订行政审批以及有关政务服务工作计划并组织实施，协调与其他审批部门、监管部门、执法机构之间的关系。研究解决工作中的重点难点问题，建立业务协同、审管互动、责任追究等工作机制。拟订规范划转行政许可事项、提高审批服务集中办理质量和效率等政策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权限内公共资源交易行政监督管理工作。拟订公共资源交易制度、交易目录、服务流程和标准规范并组织实施。负责确认招标相关文书、文件，对不符合相关法律、法规和规章规定的提出整改意见建议；对交易过程实行监督管理；受理和查处交易过程中的投诉、举报。建设、管理公共资源交易平台。承担区公共资源交易管理联席会议日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加强审批服务和公共资源交易信息化建设。负责推进审批服务和公共资源交易网络便捷办理，会同有关部门推进与国家、省、市级政务服务系统和电子交易公共服务系统的互联互通工作。推动建立审批服务和公共资源交易工作的信用体系，健全完善信息公开、信息安全、资源共享、社会评价等制度。</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完成工委（区委）、管委（区政府）交办的其他任务。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（十）职能转变。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按照党中央、国务院关于转变政府职能、深化放管服改革，深入推进审批服务便民化的决策部署，认真落实深化“一次办好”和推进相对集中行政许可权改革的要求，组织推进本系统转变职能。创新审批服务方式，着眼于为企业和群众提供规范、便捷、透明、优质、高效的审批服务，整合优化审批服务机构和职责，实行“一枚印章管审批”；创新政务服务模式，实行政务大厅“一窗受理”、关联事项“一链办理”、政务服务“一网通办”、贴心帮办“一次办结”，全面推行审批服务“马上办、网上办、就近办、一次办”，提高行政审批效率；深入推进审批服务标准化，编制公开审批服务事项目录指南，增强行政审批透明度，不断优化干事创业和营商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深化公共资源交易平台整合共享，坚持应进必进、统一规范、公开透明、高效服务原则，加快推进平台交易全覆盖，完善分类统一的交易制度规则、技术标准、数据规范，推动公共资源阳光交易，着力提高公共资源交易效率和公平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74" w:firstLineChars="150"/>
        <w:jc w:val="both"/>
        <w:textAlignment w:val="auto"/>
        <w:rPr>
          <w:rFonts w:hint="eastAsia" w:ascii="黑体" w:eastAsia="黑体"/>
          <w:b/>
          <w:sz w:val="30"/>
          <w:szCs w:val="30"/>
          <w:lang w:eastAsia="zh-CN"/>
        </w:rPr>
      </w:pPr>
      <w:r>
        <w:rPr>
          <w:rFonts w:hint="eastAsia" w:ascii="仿宋_GB2312" w:hAnsi="仿宋_GB2312" w:eastAsia="仿宋_GB2312" w:cs="仿宋_GB2312"/>
          <w:color w:val="000000"/>
          <w:sz w:val="32"/>
          <w:szCs w:val="32"/>
        </w:rPr>
        <w:t>（十一）有关职责分工。区行政审批局和审批服务事项划出部门、执法机构应当坚持“谁审批谁负责、谁主管谁监管”的原则，按照《青岛西海岸新区管委青岛市黄岛区人民政府关于印发&lt;关于推进相对集中行政许可权改革组建行政审批服务局的实施意见&gt;的通知》文件执行。区行政审批局对划转的行政许可和相关政务服务事项，依法履行职责，并对行政审批行为承担相应的法律责任；履行区行政服务工作委员会办公室职责，牵头建立完善与其他审批部门、监管部门、执法机构的协调机制。审批服务事项划出部门应当全方位做好监管工作，突出加强事中事后监管，依法对区行政审批局实施的审批行为和行政相对人行使行政许可权利进行监督，依法确定和调整行政审批实施所需的审批条件、技术标准等审批规范，明确行政相对人行使许可权利的要求、规则和限制性规定等，及时调整和完善权责清单，严格落实监管责任。执法机构依法对违法违规行为实施行政处罚，执法信息作为审批服务和监管的重要参考。各部门应当加强衔接配合，决不允许推卸责任、决不允许出现监管空白。</w:t>
      </w:r>
    </w:p>
    <w:p>
      <w:pPr>
        <w:numPr>
          <w:ilvl w:val="0"/>
          <w:numId w:val="1"/>
        </w:numPr>
        <w:spacing w:line="580" w:lineRule="exact"/>
        <w:rPr>
          <w:rFonts w:hint="eastAsia" w:ascii="黑体" w:eastAsia="黑体"/>
          <w:sz w:val="32"/>
          <w:szCs w:val="32"/>
        </w:rPr>
      </w:pPr>
      <w:r>
        <w:rPr>
          <w:rFonts w:hint="eastAsia" w:ascii="黑体" w:eastAsia="黑体"/>
          <w:sz w:val="32"/>
          <w:szCs w:val="32"/>
        </w:rPr>
        <w:t>机构设置</w:t>
      </w:r>
    </w:p>
    <w:p>
      <w:pPr>
        <w:spacing w:line="580" w:lineRule="exact"/>
        <w:ind w:firstLine="632" w:firstLineChars="200"/>
        <w:rPr>
          <w:rFonts w:hint="eastAsia" w:ascii="仿宋_GB2312" w:eastAsia="仿宋_GB2312"/>
          <w:sz w:val="30"/>
          <w:szCs w:val="30"/>
        </w:rPr>
      </w:pPr>
      <w:r>
        <w:rPr>
          <w:rFonts w:hint="eastAsia" w:ascii="仿宋_GB2312" w:hAnsi="仿宋_GB2312" w:eastAsia="仿宋_GB2312" w:cs="仿宋_GB2312"/>
          <w:color w:val="000000"/>
          <w:sz w:val="32"/>
          <w:szCs w:val="32"/>
          <w:lang w:eastAsia="zh-CN"/>
        </w:rPr>
        <w:t>区行政审批局</w:t>
      </w:r>
      <w:r>
        <w:rPr>
          <w:rFonts w:hint="eastAsia" w:ascii="仿宋_GB2312" w:hAnsi="仿宋_GB2312" w:eastAsia="仿宋_GB2312" w:cs="仿宋_GB2312"/>
          <w:color w:val="000000"/>
          <w:sz w:val="32"/>
          <w:szCs w:val="32"/>
        </w:rPr>
        <w:t>共设有</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个职能科室，分别为：</w:t>
      </w:r>
      <w:r>
        <w:rPr>
          <w:rFonts w:hint="eastAsia" w:ascii="仿宋_GB2312" w:hAnsi="仿宋_GB2312" w:eastAsia="仿宋_GB2312" w:cs="仿宋_GB2312"/>
          <w:color w:val="000000"/>
          <w:sz w:val="32"/>
          <w:szCs w:val="32"/>
          <w:lang w:eastAsia="zh-CN"/>
        </w:rPr>
        <w:t>办公室、政务服务和公共资源交易指导科、商事经贸科、投资建设科、社会事务科、涉农事务科、卫教文体科、基层审批一至四科。</w:t>
      </w:r>
      <w:r>
        <w:rPr>
          <w:rFonts w:hint="eastAsia" w:ascii="仿宋_GB2312" w:eastAsia="仿宋_GB2312"/>
          <w:sz w:val="30"/>
          <w:szCs w:val="30"/>
          <w:lang w:val="en-US" w:eastAsia="zh-CN"/>
        </w:rPr>
        <w:t xml:space="preserve"> </w:t>
      </w:r>
    </w:p>
    <w:p>
      <w:pPr>
        <w:keepNext w:val="0"/>
        <w:keepLines w:val="0"/>
        <w:pageBreakBefore w:val="0"/>
        <w:kinsoku/>
        <w:wordWrap/>
        <w:overflowPunct/>
        <w:topLinePunct w:val="0"/>
        <w:autoSpaceDE/>
        <w:autoSpaceDN/>
        <w:bidi w:val="0"/>
        <w:adjustRightInd/>
        <w:spacing w:beforeAutospacing="0" w:afterAutospacing="0" w:line="560" w:lineRule="exact"/>
        <w:ind w:left="0" w:firstLine="474"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纳</w:t>
      </w:r>
      <w:r>
        <w:rPr>
          <w:rFonts w:hint="eastAsia" w:ascii="仿宋_GB2312" w:hAnsi="仿宋_GB2312" w:eastAsia="仿宋_GB2312" w:cs="仿宋_GB2312"/>
          <w:sz w:val="32"/>
          <w:szCs w:val="32"/>
          <w:lang w:eastAsia="zh-CN"/>
        </w:rPr>
        <w:t>入区行政审批局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算编制范围的预算单位</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区行政审批局、区政务服务中心、区公共资源交易服务中心。其中区政务服务中心和区公共资源交易服务中心作为区行政审批局的下设事业单位，不作为独立核算</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第二部分</w:t>
      </w: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2"/>
        </w:rPr>
      </w:pPr>
      <w:r>
        <w:rPr>
          <w:rFonts w:hint="eastAsia" w:ascii="方正小标宋简体" w:eastAsia="方正小标宋简体"/>
          <w:spacing w:val="60"/>
          <w:sz w:val="48"/>
        </w:rPr>
        <w:t>2020年度</w:t>
      </w:r>
      <w:r>
        <w:rPr>
          <w:rFonts w:hint="eastAsia" w:ascii="方正小标宋简体" w:eastAsia="方正小标宋简体"/>
          <w:spacing w:val="60"/>
          <w:sz w:val="48"/>
          <w:lang w:val="en-US" w:eastAsia="zh-CN"/>
        </w:rPr>
        <w:t>单位</w:t>
      </w:r>
      <w:r>
        <w:rPr>
          <w:rFonts w:hint="eastAsia" w:ascii="方正小标宋简体" w:eastAsia="方正小标宋简体"/>
          <w:spacing w:val="60"/>
          <w:sz w:val="48"/>
        </w:rPr>
        <w:t>决算表</w:t>
      </w:r>
    </w:p>
    <w:p>
      <w:pPr>
        <w:spacing w:line="520" w:lineRule="exact"/>
        <w:rPr>
          <w:rFonts w:hint="eastAsia" w:ascii="仿宋_GB2312" w:eastAsia="仿宋_GB2312"/>
          <w:b/>
          <w:sz w:val="28"/>
          <w:szCs w:val="28"/>
          <w:highlight w:val="yellow"/>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both"/>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hint="eastAsia"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部门：                                            金额单位：万元</w:t>
      </w:r>
    </w:p>
    <w:tbl>
      <w:tblPr>
        <w:tblStyle w:val="5"/>
        <w:tblW w:w="0" w:type="auto"/>
        <w:tblInd w:w="0" w:type="dxa"/>
        <w:tblLayout w:type="fixed"/>
        <w:tblCellMar>
          <w:top w:w="0" w:type="dxa"/>
          <w:left w:w="108" w:type="dxa"/>
          <w:bottom w:w="0" w:type="dxa"/>
          <w:right w:w="108" w:type="dxa"/>
        </w:tblCellMar>
      </w:tblPr>
      <w:tblGrid>
        <w:gridCol w:w="3045"/>
        <w:gridCol w:w="667"/>
        <w:gridCol w:w="1022"/>
        <w:gridCol w:w="2287"/>
        <w:gridCol w:w="732"/>
        <w:gridCol w:w="1302"/>
      </w:tblGrid>
      <w:tr>
        <w:tblPrEx>
          <w:tblCellMar>
            <w:top w:w="0" w:type="dxa"/>
            <w:left w:w="108" w:type="dxa"/>
            <w:bottom w:w="0" w:type="dxa"/>
            <w:right w:w="108" w:type="dxa"/>
          </w:tblCellMar>
        </w:tblPrEx>
        <w:trPr>
          <w:trHeight w:val="329" w:hRule="exact"/>
        </w:trPr>
        <w:tc>
          <w:tcPr>
            <w:tcW w:w="473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收 入</w:t>
            </w:r>
          </w:p>
        </w:tc>
        <w:tc>
          <w:tcPr>
            <w:tcW w:w="4321"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支 出</w:t>
            </w:r>
          </w:p>
        </w:tc>
      </w:tr>
      <w:tr>
        <w:tblPrEx>
          <w:tblCellMar>
            <w:top w:w="0" w:type="dxa"/>
            <w:left w:w="108" w:type="dxa"/>
            <w:bottom w:w="0" w:type="dxa"/>
            <w:right w:w="108" w:type="dxa"/>
          </w:tblCellMar>
        </w:tblPrEx>
        <w:trPr>
          <w:trHeight w:val="37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项  目</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行次</w:t>
            </w:r>
          </w:p>
        </w:tc>
        <w:tc>
          <w:tcPr>
            <w:tcW w:w="102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决算数</w:t>
            </w:r>
          </w:p>
        </w:tc>
        <w:tc>
          <w:tcPr>
            <w:tcW w:w="228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项  目</w:t>
            </w:r>
          </w:p>
        </w:tc>
        <w:tc>
          <w:tcPr>
            <w:tcW w:w="732" w:type="dxa"/>
            <w:tcBorders>
              <w:top w:val="nil"/>
              <w:left w:val="single" w:color="auto" w:sz="4" w:space="0"/>
              <w:bottom w:val="single" w:color="auto" w:sz="4" w:space="0"/>
              <w:right w:val="nil"/>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行次</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决算数</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栏  次</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p>
        </w:tc>
        <w:tc>
          <w:tcPr>
            <w:tcW w:w="102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1</w:t>
            </w:r>
          </w:p>
        </w:tc>
        <w:tc>
          <w:tcPr>
            <w:tcW w:w="228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栏  次</w:t>
            </w:r>
          </w:p>
        </w:tc>
        <w:tc>
          <w:tcPr>
            <w:tcW w:w="7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p>
        </w:tc>
        <w:tc>
          <w:tcPr>
            <w:tcW w:w="130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2</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一、一般公共预算财政拨款收入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4923.02</w:t>
            </w:r>
          </w:p>
          <w:p>
            <w:pPr>
              <w:spacing w:line="240" w:lineRule="exact"/>
              <w:rPr>
                <w:rFonts w:hint="default" w:ascii="仿宋_GB2312" w:eastAsia="仿宋_GB2312"/>
                <w:sz w:val="18"/>
                <w:szCs w:val="18"/>
                <w:lang w:val="en-US" w:eastAsia="zh-CN"/>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一、一般公共服务支出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31</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4,217.20</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二、政府性基金预算财政拨款收入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w:t>
            </w:r>
          </w:p>
        </w:tc>
        <w:tc>
          <w:tcPr>
            <w:tcW w:w="102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4.43</w:t>
            </w: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二、外交支出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32</w:t>
            </w:r>
          </w:p>
          <w:p>
            <w:pPr>
              <w:spacing w:line="240" w:lineRule="exact"/>
              <w:rPr>
                <w:rFonts w:hint="default" w:ascii="仿宋_GB2312" w:eastAsia="仿宋_GB2312"/>
                <w:sz w:val="18"/>
                <w:szCs w:val="18"/>
                <w:lang w:val="en-US" w:eastAsia="zh-CN"/>
              </w:rPr>
            </w:pP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34"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三、国有资本经营预算财政拨款收入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3</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三、国防支出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33</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02"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四、上级补助收入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4</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四、公共安全支出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34</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五、事业收入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5</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五、教育支出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35</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六、经营收入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6</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六、科学技术支出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36</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七、附属单位上缴收入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7</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七、文化旅游体育与传媒支出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37</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八、其他收入</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8</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八、社会保障和就业支出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38</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317.89</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9</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九、卫生健康支出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39</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10</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十、节能环保支出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40</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11</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十一、城乡社区支出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41</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4.43</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12</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十二、农林水支出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42</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13</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十三、交通运输支出</w:t>
            </w:r>
          </w:p>
        </w:tc>
        <w:tc>
          <w:tcPr>
            <w:tcW w:w="732" w:type="dxa"/>
            <w:tcBorders>
              <w:top w:val="nil"/>
              <w:left w:val="single" w:color="auto" w:sz="4" w:space="0"/>
              <w:bottom w:val="single" w:color="auto" w:sz="4" w:space="0"/>
              <w:right w:val="nil"/>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43</w:t>
            </w:r>
          </w:p>
        </w:tc>
        <w:tc>
          <w:tcPr>
            <w:tcW w:w="1302"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14</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十四、资源勘探工业信息等支出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44</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15</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十五、商业服务业等支出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45</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16</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十六、金融支出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46</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17</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十七、援助其他地区支出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47</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18</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十八、自然资源海洋气象等支出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48</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19</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十九、住房保障支出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49</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387.93</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20</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二十、粮油物资储备支出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50</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21</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二十一、国有资本经营预算支出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51</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22</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二十二、灾害防治及应急管理支出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52</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23</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二十三、其他支出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53</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ascii="仿宋_GB2312" w:eastAsia="仿宋_GB2312"/>
                <w:sz w:val="18"/>
                <w:szCs w:val="18"/>
              </w:rPr>
              <w:t>24</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二十四、债务还本支出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54</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二十五、债务付息支出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55</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二十六、抗疫特别国债安排的支出</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56</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b/>
                <w:bCs/>
                <w:sz w:val="18"/>
                <w:szCs w:val="18"/>
              </w:rPr>
            </w:pPr>
            <w:r>
              <w:rPr>
                <w:rFonts w:hint="eastAsia" w:ascii="仿宋_GB2312" w:eastAsia="仿宋_GB2312"/>
                <w:b/>
                <w:bCs/>
                <w:sz w:val="18"/>
                <w:szCs w:val="18"/>
              </w:rPr>
              <w:t>本年收入合计</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b/>
                <w:bCs/>
                <w:sz w:val="18"/>
                <w:szCs w:val="18"/>
              </w:rPr>
            </w:pPr>
            <w:r>
              <w:rPr>
                <w:rFonts w:hint="eastAsia" w:ascii="仿宋_GB2312" w:eastAsia="仿宋_GB2312"/>
                <w:sz w:val="18"/>
                <w:szCs w:val="18"/>
              </w:rPr>
              <w:t>27</w:t>
            </w:r>
          </w:p>
        </w:tc>
        <w:tc>
          <w:tcPr>
            <w:tcW w:w="102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eastAsia="仿宋_GB2312"/>
                <w:b/>
                <w:bCs/>
                <w:sz w:val="18"/>
                <w:szCs w:val="18"/>
                <w:lang w:val="en-US" w:eastAsia="zh-CN"/>
              </w:rPr>
            </w:pPr>
            <w:r>
              <w:rPr>
                <w:rFonts w:hint="eastAsia" w:ascii="仿宋_GB2312" w:eastAsia="仿宋_GB2312"/>
                <w:b/>
                <w:bCs/>
                <w:sz w:val="18"/>
                <w:szCs w:val="18"/>
                <w:lang w:val="en-US" w:eastAsia="zh-CN"/>
              </w:rPr>
              <w:t>4927.45</w:t>
            </w:r>
          </w:p>
        </w:tc>
        <w:tc>
          <w:tcPr>
            <w:tcW w:w="228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b/>
                <w:bCs/>
                <w:sz w:val="18"/>
                <w:szCs w:val="18"/>
                <w:lang w:val="en-US" w:eastAsia="zh-CN"/>
              </w:rPr>
              <w:t>本年支出合计</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b/>
                <w:bCs/>
                <w:sz w:val="18"/>
                <w:szCs w:val="18"/>
                <w:lang w:val="en-US" w:eastAsia="zh-CN"/>
              </w:rPr>
            </w:pPr>
            <w:r>
              <w:rPr>
                <w:rFonts w:hint="eastAsia" w:ascii="仿宋_GB2312" w:eastAsia="仿宋_GB2312"/>
                <w:sz w:val="18"/>
                <w:szCs w:val="18"/>
                <w:lang w:val="en-US" w:eastAsia="zh-CN"/>
              </w:rPr>
              <w:t>57</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b/>
                <w:bCs/>
                <w:sz w:val="18"/>
                <w:szCs w:val="18"/>
                <w:lang w:val="en-US" w:eastAsia="zh-CN"/>
              </w:rPr>
            </w:pPr>
            <w:r>
              <w:rPr>
                <w:rFonts w:hint="eastAsia" w:ascii="仿宋_GB2312" w:eastAsia="仿宋_GB2312"/>
                <w:b/>
                <w:bCs/>
                <w:sz w:val="18"/>
                <w:szCs w:val="18"/>
                <w:lang w:val="en-US" w:eastAsia="zh-CN"/>
              </w:rPr>
              <w:t>4,927.45</w:t>
            </w: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使用非财政拨款结余</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lang w:val="en-US" w:eastAsia="zh-CN"/>
              </w:rPr>
              <w:t>结余分配</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58</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年初结转和结余</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2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年末结转和结余</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59</w:t>
            </w:r>
          </w:p>
        </w:tc>
        <w:tc>
          <w:tcPr>
            <w:tcW w:w="1302"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rPr>
            </w:pPr>
          </w:p>
        </w:tc>
      </w:tr>
      <w:tr>
        <w:tblPrEx>
          <w:tblCellMar>
            <w:top w:w="0" w:type="dxa"/>
            <w:left w:w="108" w:type="dxa"/>
            <w:bottom w:w="0" w:type="dxa"/>
            <w:right w:w="108" w:type="dxa"/>
          </w:tblCellMar>
        </w:tblPrEx>
        <w:trPr>
          <w:trHeight w:val="329" w:hRule="exact"/>
        </w:trPr>
        <w:tc>
          <w:tcPr>
            <w:tcW w:w="3045"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b/>
                <w:bCs/>
                <w:sz w:val="18"/>
                <w:szCs w:val="18"/>
              </w:rPr>
              <w:t>总计</w:t>
            </w:r>
          </w:p>
        </w:tc>
        <w:tc>
          <w:tcPr>
            <w:tcW w:w="66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02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4927.45</w:t>
            </w:r>
          </w:p>
        </w:tc>
        <w:tc>
          <w:tcPr>
            <w:tcW w:w="2287" w:type="dxa"/>
            <w:tcBorders>
              <w:top w:val="nil"/>
              <w:left w:val="nil"/>
              <w:bottom w:val="single" w:color="auto" w:sz="4" w:space="0"/>
              <w:right w:val="single" w:color="auto" w:sz="4" w:space="0"/>
            </w:tcBorders>
            <w:noWrap w:val="0"/>
            <w:vAlign w:val="center"/>
          </w:tcPr>
          <w:p>
            <w:pPr>
              <w:spacing w:line="240" w:lineRule="exact"/>
              <w:rPr>
                <w:rFonts w:hint="eastAsia" w:ascii="仿宋_GB2312" w:eastAsia="仿宋_GB2312"/>
                <w:sz w:val="18"/>
                <w:szCs w:val="18"/>
                <w:lang w:val="en-US" w:eastAsia="zh-CN"/>
              </w:rPr>
            </w:pPr>
            <w:r>
              <w:rPr>
                <w:rFonts w:hint="eastAsia" w:ascii="仿宋_GB2312" w:eastAsia="仿宋_GB2312"/>
                <w:b/>
                <w:bCs/>
                <w:sz w:val="18"/>
                <w:szCs w:val="18"/>
                <w:lang w:val="en-US" w:eastAsia="zh-CN"/>
              </w:rPr>
              <w:t>总计</w:t>
            </w:r>
          </w:p>
        </w:tc>
        <w:tc>
          <w:tcPr>
            <w:tcW w:w="73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rPr>
            </w:pPr>
            <w:r>
              <w:rPr>
                <w:rFonts w:hint="eastAsia" w:ascii="仿宋_GB2312" w:eastAsia="仿宋_GB2312"/>
                <w:sz w:val="18"/>
                <w:szCs w:val="18"/>
                <w:lang w:val="en-US" w:eastAsia="zh-CN"/>
              </w:rPr>
              <w:t>60</w:t>
            </w:r>
          </w:p>
        </w:tc>
        <w:tc>
          <w:tcPr>
            <w:tcW w:w="1302" w:type="dxa"/>
            <w:tcBorders>
              <w:top w:val="nil"/>
              <w:left w:val="nil"/>
              <w:bottom w:val="single" w:color="auto" w:sz="4" w:space="0"/>
              <w:right w:val="single" w:color="auto" w:sz="4" w:space="0"/>
            </w:tcBorders>
            <w:noWrap w:val="0"/>
            <w:vAlign w:val="center"/>
          </w:tcPr>
          <w:p>
            <w:pPr>
              <w:spacing w:line="240" w:lineRule="exact"/>
              <w:rPr>
                <w:rFonts w:hint="default" w:ascii="仿宋_GB2312" w:eastAsia="仿宋_GB2312"/>
                <w:sz w:val="18"/>
                <w:szCs w:val="18"/>
                <w:lang w:val="en-US" w:eastAsia="zh-CN"/>
              </w:rPr>
            </w:pPr>
            <w:r>
              <w:rPr>
                <w:rFonts w:hint="eastAsia" w:ascii="仿宋_GB2312" w:eastAsia="仿宋_GB2312"/>
                <w:b/>
                <w:bCs/>
                <w:sz w:val="18"/>
                <w:szCs w:val="18"/>
                <w:lang w:val="en-US" w:eastAsia="zh-CN"/>
              </w:rPr>
              <w:t>4927.45</w:t>
            </w:r>
          </w:p>
        </w:tc>
      </w:tr>
    </w:tbl>
    <w:p>
      <w:pPr>
        <w:ind w:firstLine="88" w:firstLineChars="50"/>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r>
        <w:rPr>
          <w:rFonts w:hint="eastAsia" w:ascii="仿宋_GB2312" w:hAnsi="宋体" w:eastAsia="仿宋_GB2312"/>
          <w:sz w:val="18"/>
          <w:szCs w:val="18"/>
        </w:rPr>
        <w:t>注：1.本表反映部门本年度的总收支和年末结转结余情况。2.本套报表金额单位转换时可能存在尾数误差。</w:t>
      </w:r>
    </w:p>
    <w:p>
      <w:pPr>
        <w:jc w:val="center"/>
        <w:rPr>
          <w:rFonts w:hint="eastAsia"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hint="eastAsia"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hint="eastAsia"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金额单位：万元</w:t>
      </w:r>
    </w:p>
    <w:tbl>
      <w:tblPr>
        <w:tblStyle w:val="5"/>
        <w:tblW w:w="0" w:type="auto"/>
        <w:jc w:val="center"/>
        <w:tblLayout w:type="fixed"/>
        <w:tblCellMar>
          <w:top w:w="0" w:type="dxa"/>
          <w:left w:w="108" w:type="dxa"/>
          <w:bottom w:w="0" w:type="dxa"/>
          <w:right w:w="108" w:type="dxa"/>
        </w:tblCellMar>
      </w:tblPr>
      <w:tblGrid>
        <w:gridCol w:w="1296"/>
        <w:gridCol w:w="110"/>
        <w:gridCol w:w="4597"/>
        <w:gridCol w:w="1069"/>
        <w:gridCol w:w="1387"/>
        <w:gridCol w:w="1144"/>
        <w:gridCol w:w="919"/>
        <w:gridCol w:w="750"/>
        <w:gridCol w:w="1143"/>
        <w:gridCol w:w="715"/>
      </w:tblGrid>
      <w:tr>
        <w:tblPrEx>
          <w:tblCellMar>
            <w:top w:w="0" w:type="dxa"/>
            <w:left w:w="108" w:type="dxa"/>
            <w:bottom w:w="0" w:type="dxa"/>
            <w:right w:w="108" w:type="dxa"/>
          </w:tblCellMar>
        </w:tblPrEx>
        <w:trPr>
          <w:trHeight w:val="458" w:hRule="atLeast"/>
          <w:jc w:val="center"/>
        </w:trPr>
        <w:tc>
          <w:tcPr>
            <w:tcW w:w="600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069"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本年收入合计</w:t>
            </w:r>
          </w:p>
        </w:tc>
        <w:tc>
          <w:tcPr>
            <w:tcW w:w="1387"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财政拨款收入</w:t>
            </w:r>
          </w:p>
        </w:tc>
        <w:tc>
          <w:tcPr>
            <w:tcW w:w="1144"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上级补助收入</w:t>
            </w:r>
          </w:p>
        </w:tc>
        <w:tc>
          <w:tcPr>
            <w:tcW w:w="919" w:type="dxa"/>
            <w:vMerge w:val="restart"/>
            <w:tcBorders>
              <w:top w:val="single" w:color="auto" w:sz="4" w:space="0"/>
              <w:left w:val="single" w:color="auto" w:sz="4" w:space="0"/>
              <w:right w:val="single" w:color="auto" w:sz="4" w:space="0"/>
            </w:tcBorders>
            <w:noWrap w:val="0"/>
            <w:vAlign w:val="center"/>
          </w:tcPr>
          <w:p>
            <w:pPr>
              <w:widowControl/>
              <w:spacing w:line="300" w:lineRule="exact"/>
              <w:ind w:firstLine="216" w:firstLineChars="100"/>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事业收入</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经营收入</w:t>
            </w:r>
          </w:p>
        </w:tc>
        <w:tc>
          <w:tcPr>
            <w:tcW w:w="1143" w:type="dxa"/>
            <w:vMerge w:val="restart"/>
            <w:tcBorders>
              <w:top w:val="single" w:color="auto" w:sz="4" w:space="0"/>
              <w:left w:val="single" w:color="auto" w:sz="4" w:space="0"/>
              <w:right w:val="single" w:color="auto" w:sz="4" w:space="0"/>
            </w:tcBorders>
            <w:noWrap w:val="0"/>
            <w:vAlign w:val="center"/>
          </w:tcPr>
          <w:p>
            <w:pPr>
              <w:widowControl/>
              <w:spacing w:line="300" w:lineRule="exact"/>
              <w:ind w:left="648" w:hanging="648" w:hangingChars="300"/>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附属单位    </w:t>
            </w:r>
          </w:p>
          <w:p>
            <w:pPr>
              <w:widowControl/>
              <w:spacing w:line="300" w:lineRule="exact"/>
              <w:ind w:left="648" w:hanging="648" w:hangingChars="300"/>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上缴收入</w:t>
            </w:r>
          </w:p>
        </w:tc>
        <w:tc>
          <w:tcPr>
            <w:tcW w:w="715"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4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069" w:type="dxa"/>
            <w:vMerge w:val="continue"/>
            <w:tcBorders>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387" w:type="dxa"/>
            <w:vMerge w:val="continue"/>
            <w:tcBorders>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144" w:type="dxa"/>
            <w:vMerge w:val="continue"/>
            <w:tcBorders>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919" w:type="dxa"/>
            <w:vMerge w:val="continue"/>
            <w:tcBorders>
              <w:left w:val="single" w:color="auto" w:sz="4" w:space="0"/>
              <w:right w:val="single" w:color="auto" w:sz="4" w:space="0"/>
            </w:tcBorders>
            <w:noWrap w:val="0"/>
            <w:vAlign w:val="center"/>
          </w:tcPr>
          <w:p>
            <w:pPr>
              <w:widowControl/>
              <w:spacing w:line="300" w:lineRule="exact"/>
              <w:ind w:firstLine="216" w:firstLineChars="100"/>
              <w:rPr>
                <w:rFonts w:hint="eastAsia" w:ascii="仿宋_GB2312" w:hAnsi="宋体" w:eastAsia="仿宋_GB2312" w:cs="宋体"/>
                <w:kern w:val="0"/>
                <w:sz w:val="22"/>
                <w:szCs w:val="22"/>
              </w:rPr>
            </w:pPr>
          </w:p>
        </w:tc>
        <w:tc>
          <w:tcPr>
            <w:tcW w:w="750" w:type="dxa"/>
            <w:vMerge w:val="continue"/>
            <w:tcBorders>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143" w:type="dxa"/>
            <w:vMerge w:val="continue"/>
            <w:tcBorders>
              <w:left w:val="single" w:color="auto" w:sz="4" w:space="0"/>
              <w:right w:val="single" w:color="auto" w:sz="4" w:space="0"/>
            </w:tcBorders>
            <w:noWrap w:val="0"/>
            <w:vAlign w:val="center"/>
          </w:tcPr>
          <w:p>
            <w:pPr>
              <w:widowControl/>
              <w:spacing w:line="300" w:lineRule="exact"/>
              <w:ind w:left="648" w:hanging="648" w:hangingChars="300"/>
              <w:jc w:val="center"/>
              <w:rPr>
                <w:rFonts w:hint="eastAsia" w:ascii="仿宋_GB2312" w:hAnsi="宋体" w:eastAsia="仿宋_GB2312" w:cs="宋体"/>
                <w:kern w:val="0"/>
                <w:sz w:val="22"/>
                <w:szCs w:val="22"/>
              </w:rPr>
            </w:pPr>
          </w:p>
        </w:tc>
        <w:tc>
          <w:tcPr>
            <w:tcW w:w="715" w:type="dxa"/>
            <w:vMerge w:val="continue"/>
            <w:tcBorders>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atLeast"/>
          <w:jc w:val="center"/>
        </w:trPr>
        <w:tc>
          <w:tcPr>
            <w:tcW w:w="600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9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w:t>
            </w:r>
          </w:p>
        </w:tc>
      </w:tr>
      <w:tr>
        <w:tblPrEx>
          <w:tblCellMar>
            <w:top w:w="0" w:type="dxa"/>
            <w:left w:w="108" w:type="dxa"/>
            <w:bottom w:w="0" w:type="dxa"/>
            <w:right w:w="108" w:type="dxa"/>
          </w:tblCellMar>
        </w:tblPrEx>
        <w:trPr>
          <w:trHeight w:val="397" w:hRule="atLeast"/>
          <w:jc w:val="center"/>
        </w:trPr>
        <w:tc>
          <w:tcPr>
            <w:tcW w:w="600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4,927.45</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4,927.45</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宋体" w:eastAsia="仿宋_GB2312" w:cs="宋体"/>
                <w:kern w:val="0"/>
                <w:sz w:val="22"/>
                <w:szCs w:val="22"/>
              </w:rPr>
            </w:pPr>
          </w:p>
        </w:tc>
        <w:tc>
          <w:tcPr>
            <w:tcW w:w="9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宋体" w:eastAsia="仿宋_GB2312" w:cs="宋体"/>
                <w:kern w:val="0"/>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宋体" w:eastAsia="仿宋_GB2312" w:cs="宋体"/>
                <w:kern w:val="0"/>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cantSplit/>
          <w:trHeight w:val="454" w:hRule="exac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w:t>
            </w:r>
          </w:p>
        </w:tc>
        <w:tc>
          <w:tcPr>
            <w:tcW w:w="47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一般公共服务支出</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20103</w:t>
            </w:r>
          </w:p>
        </w:tc>
        <w:tc>
          <w:tcPr>
            <w:tcW w:w="4707" w:type="dxa"/>
            <w:gridSpan w:val="2"/>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91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7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14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2010306</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政务公开审批</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2010350</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事业运行</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3,003.40</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3,003.40</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社会保障和就业支出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20805</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行政事业单位养老支出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2080506</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105.96</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105.96</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212</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城乡社区支出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cantSplit/>
          <w:trHeight w:val="454" w:hRule="exact"/>
          <w:jc w:val="center"/>
        </w:trPr>
        <w:tc>
          <w:tcPr>
            <w:tcW w:w="12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21208</w:t>
            </w:r>
          </w:p>
        </w:tc>
        <w:tc>
          <w:tcPr>
            <w:tcW w:w="470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10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9"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50"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3"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71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ind w:firstLine="108" w:firstLineChars="50"/>
        <w:rPr>
          <w:rFonts w:ascii="仿宋_GB2312" w:hAnsi="宋体" w:eastAsia="仿宋_GB2312"/>
          <w:sz w:val="22"/>
          <w:szCs w:val="22"/>
        </w:rPr>
      </w:pPr>
      <w:r>
        <w:rPr>
          <w:rFonts w:hint="eastAsia" w:ascii="仿宋_GB2312" w:hAnsi="宋体" w:eastAsia="仿宋_GB2312"/>
          <w:sz w:val="22"/>
          <w:szCs w:val="22"/>
        </w:rPr>
        <w:t>注：本表反映部门本年度取得的各项收入情况。</w:t>
      </w:r>
    </w:p>
    <w:p>
      <w:pPr>
        <w:jc w:val="center"/>
        <w:rPr>
          <w:rFonts w:hint="eastAsia"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 部门：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5"/>
        <w:tblW w:w="0" w:type="auto"/>
        <w:jc w:val="center"/>
        <w:tblLayout w:type="fixed"/>
        <w:tblCellMar>
          <w:top w:w="0" w:type="dxa"/>
          <w:left w:w="108" w:type="dxa"/>
          <w:bottom w:w="0" w:type="dxa"/>
          <w:right w:w="108" w:type="dxa"/>
        </w:tblCellMar>
      </w:tblPr>
      <w:tblGrid>
        <w:gridCol w:w="1344"/>
        <w:gridCol w:w="57"/>
        <w:gridCol w:w="4416"/>
        <w:gridCol w:w="1781"/>
        <w:gridCol w:w="1519"/>
        <w:gridCol w:w="1369"/>
        <w:gridCol w:w="1012"/>
        <w:gridCol w:w="825"/>
        <w:gridCol w:w="1055"/>
      </w:tblGrid>
      <w:tr>
        <w:tblPrEx>
          <w:tblCellMar>
            <w:top w:w="0" w:type="dxa"/>
            <w:left w:w="108" w:type="dxa"/>
            <w:bottom w:w="0" w:type="dxa"/>
            <w:right w:w="108" w:type="dxa"/>
          </w:tblCellMar>
        </w:tblPrEx>
        <w:trPr>
          <w:trHeight w:val="374" w:hRule="exact"/>
          <w:jc w:val="center"/>
        </w:trPr>
        <w:tc>
          <w:tcPr>
            <w:tcW w:w="581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81"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本年支出合计</w:t>
            </w:r>
          </w:p>
        </w:tc>
        <w:tc>
          <w:tcPr>
            <w:tcW w:w="1519"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369"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012"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上缴上级支出</w:t>
            </w:r>
          </w:p>
        </w:tc>
        <w:tc>
          <w:tcPr>
            <w:tcW w:w="825"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xml:space="preserve">经营支出    </w:t>
            </w:r>
          </w:p>
        </w:tc>
        <w:tc>
          <w:tcPr>
            <w:tcW w:w="1055"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对附属单位</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补助支出</w:t>
            </w:r>
          </w:p>
        </w:tc>
      </w:tr>
      <w:tr>
        <w:tblPrEx>
          <w:tblCellMar>
            <w:top w:w="0" w:type="dxa"/>
            <w:left w:w="108" w:type="dxa"/>
            <w:bottom w:w="0" w:type="dxa"/>
            <w:right w:w="108" w:type="dxa"/>
          </w:tblCellMar>
        </w:tblPrEx>
        <w:trPr>
          <w:trHeight w:val="374" w:hRule="exac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44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81"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519"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369"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01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82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05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581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8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5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36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01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82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CellMar>
            <w:top w:w="0" w:type="dxa"/>
            <w:left w:w="108" w:type="dxa"/>
            <w:bottom w:w="0" w:type="dxa"/>
            <w:right w:w="108" w:type="dxa"/>
          </w:tblCellMar>
        </w:tblPrEx>
        <w:trPr>
          <w:trHeight w:val="374" w:hRule="exact"/>
          <w:jc w:val="center"/>
        </w:trPr>
        <w:tc>
          <w:tcPr>
            <w:tcW w:w="581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4927.45</w:t>
            </w:r>
          </w:p>
        </w:tc>
        <w:tc>
          <w:tcPr>
            <w:tcW w:w="151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3709.23</w:t>
            </w:r>
          </w:p>
        </w:tc>
        <w:tc>
          <w:tcPr>
            <w:tcW w:w="136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1218.23</w:t>
            </w:r>
          </w:p>
        </w:tc>
        <w:tc>
          <w:tcPr>
            <w:tcW w:w="101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82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05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一般公共服务支出</w:t>
            </w:r>
          </w:p>
        </w:tc>
        <w:tc>
          <w:tcPr>
            <w:tcW w:w="1781" w:type="dxa"/>
            <w:tcBorders>
              <w:top w:val="single" w:color="auto" w:sz="4" w:space="0"/>
              <w:left w:val="nil"/>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519"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3,003.40</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1,213.80</w:t>
            </w:r>
          </w:p>
        </w:tc>
        <w:tc>
          <w:tcPr>
            <w:tcW w:w="1012" w:type="dxa"/>
            <w:tcBorders>
              <w:top w:val="single" w:color="auto" w:sz="4" w:space="0"/>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single" w:color="auto" w:sz="4" w:space="0"/>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20103</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1519"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3,003.40</w:t>
            </w:r>
          </w:p>
        </w:tc>
        <w:tc>
          <w:tcPr>
            <w:tcW w:w="136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1,213.80</w:t>
            </w: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2010306</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政务公开审批</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c>
          <w:tcPr>
            <w:tcW w:w="1519" w:type="dxa"/>
            <w:tcBorders>
              <w:top w:val="nil"/>
              <w:left w:val="single" w:color="auto" w:sz="4" w:space="0"/>
              <w:bottom w:val="single" w:color="auto" w:sz="4" w:space="0"/>
              <w:right w:val="nil"/>
            </w:tcBorders>
            <w:noWrap w:val="0"/>
            <w:vAlign w:val="center"/>
          </w:tcPr>
          <w:p>
            <w:pPr>
              <w:jc w:val="right"/>
              <w:rPr>
                <w:rFonts w:hint="eastAsia" w:ascii="仿宋_GB2312" w:hAnsi="宋体" w:eastAsia="仿宋_GB2312" w:cs="宋体"/>
                <w:kern w:val="0"/>
                <w:sz w:val="22"/>
                <w:szCs w:val="22"/>
              </w:rPr>
            </w:pPr>
          </w:p>
        </w:tc>
        <w:tc>
          <w:tcPr>
            <w:tcW w:w="136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2010350</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 xml:space="preserve">  事业运行</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3,003.40</w:t>
            </w:r>
          </w:p>
        </w:tc>
        <w:tc>
          <w:tcPr>
            <w:tcW w:w="1519"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3,003.40</w:t>
            </w:r>
          </w:p>
        </w:tc>
        <w:tc>
          <w:tcPr>
            <w:tcW w:w="1369" w:type="dxa"/>
            <w:tcBorders>
              <w:top w:val="nil"/>
              <w:left w:val="single" w:color="auto" w:sz="4" w:space="0"/>
              <w:bottom w:val="single" w:color="auto" w:sz="4" w:space="0"/>
              <w:right w:val="single" w:color="auto" w:sz="4" w:space="0"/>
            </w:tcBorders>
            <w:noWrap w:val="0"/>
            <w:vAlign w:val="center"/>
          </w:tcPr>
          <w:p>
            <w:pPr>
              <w:jc w:val="right"/>
              <w:rPr>
                <w:rFonts w:hint="default" w:ascii="仿宋_GB2312" w:hAnsi="宋体" w:eastAsia="仿宋_GB2312" w:cs="宋体"/>
                <w:kern w:val="0"/>
                <w:sz w:val="22"/>
                <w:szCs w:val="22"/>
                <w:lang w:val="en-US"/>
              </w:rPr>
            </w:pP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社会保障和就业支出</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519"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1369" w:type="dxa"/>
            <w:tcBorders>
              <w:top w:val="nil"/>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20805</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行政事业单位养老支出</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317.89</w:t>
            </w:r>
          </w:p>
        </w:tc>
        <w:tc>
          <w:tcPr>
            <w:tcW w:w="1519"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317.89</w:t>
            </w:r>
          </w:p>
        </w:tc>
        <w:tc>
          <w:tcPr>
            <w:tcW w:w="1369" w:type="dxa"/>
            <w:tcBorders>
              <w:top w:val="nil"/>
              <w:left w:val="single" w:color="auto" w:sz="4" w:space="0"/>
              <w:bottom w:val="single" w:color="auto" w:sz="4" w:space="0"/>
              <w:right w:val="single" w:color="auto" w:sz="4" w:space="0"/>
            </w:tcBorders>
            <w:noWrap w:val="0"/>
            <w:vAlign w:val="center"/>
          </w:tcPr>
          <w:p>
            <w:pPr>
              <w:jc w:val="right"/>
              <w:rPr>
                <w:rFonts w:hint="default" w:ascii="仿宋_GB2312" w:hAnsi="宋体" w:eastAsia="仿宋_GB2312" w:cs="宋体"/>
                <w:kern w:val="0"/>
                <w:sz w:val="22"/>
                <w:szCs w:val="22"/>
                <w:lang w:val="en-US"/>
              </w:rPr>
            </w:pP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nil"/>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447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781" w:type="dxa"/>
            <w:tcBorders>
              <w:top w:val="nil"/>
              <w:left w:val="nil"/>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1519"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1369" w:type="dxa"/>
            <w:tcBorders>
              <w:top w:val="nil"/>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012"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2080506</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105.96</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i w:val="0"/>
                <w:color w:val="000000"/>
                <w:kern w:val="0"/>
                <w:sz w:val="20"/>
                <w:szCs w:val="20"/>
                <w:u w:val="none"/>
                <w:lang w:val="en-US" w:eastAsia="zh-CN" w:bidi="ar"/>
              </w:rPr>
              <w:t>105.96</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仿宋_GB2312" w:hAnsi="宋体" w:eastAsia="仿宋_GB2312" w:cs="宋体"/>
                <w:kern w:val="0"/>
                <w:sz w:val="22"/>
                <w:szCs w:val="22"/>
                <w:lang w:val="en-US"/>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212</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城乡社区支出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4.43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仿宋_GB2312" w:hAnsi="宋体" w:eastAsia="仿宋_GB2312" w:cs="宋体"/>
                <w:kern w:val="0"/>
                <w:sz w:val="22"/>
                <w:szCs w:val="22"/>
                <w:lang w:val="en-US"/>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仿宋_GB2312" w:hAnsi="宋体" w:eastAsia="仿宋_GB2312" w:cs="宋体"/>
                <w:kern w:val="0"/>
                <w:sz w:val="22"/>
                <w:szCs w:val="22"/>
                <w:lang w:val="en-US"/>
              </w:rPr>
            </w:pPr>
            <w:r>
              <w:rPr>
                <w:rFonts w:hint="eastAsia" w:ascii="宋体" w:hAnsi="宋体" w:eastAsia="宋体" w:cs="宋体"/>
                <w:b/>
                <w:i w:val="0"/>
                <w:color w:val="000000"/>
                <w:kern w:val="0"/>
                <w:sz w:val="20"/>
                <w:szCs w:val="20"/>
                <w:u w:val="none"/>
                <w:lang w:val="en-US" w:eastAsia="zh-CN" w:bidi="ar"/>
              </w:rPr>
              <w:t>4.43</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default" w:ascii="仿宋_GB2312" w:hAnsi="宋体" w:eastAsia="仿宋_GB2312" w:cs="宋体"/>
                <w:kern w:val="0"/>
                <w:sz w:val="22"/>
                <w:szCs w:val="22"/>
                <w:lang w:val="en-US"/>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21208</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4.43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仿宋_GB2312" w:hAnsi="宋体" w:eastAsia="仿宋_GB2312" w:cs="宋体"/>
                <w:kern w:val="0"/>
                <w:sz w:val="22"/>
                <w:szCs w:val="22"/>
                <w:lang w:val="en-US"/>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4.43</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2120803</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城市建设支出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4.43</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住房保障支出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387.93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
                <w:i w:val="0"/>
                <w:color w:val="000000"/>
                <w:kern w:val="0"/>
                <w:sz w:val="20"/>
                <w:szCs w:val="20"/>
                <w:u w:val="none"/>
                <w:lang w:val="en-US" w:eastAsia="zh-CN" w:bidi="ar"/>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22102</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住房改革支出</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387.93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
                <w:i w:val="0"/>
                <w:color w:val="000000"/>
                <w:kern w:val="0"/>
                <w:sz w:val="20"/>
                <w:szCs w:val="20"/>
                <w:u w:val="none"/>
                <w:lang w:val="en-US" w:eastAsia="zh-CN" w:bidi="ar"/>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74" w:hRule="exac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2210201</w:t>
            </w:r>
          </w:p>
        </w:tc>
        <w:tc>
          <w:tcPr>
            <w:tcW w:w="44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387.93</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387.93</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
                <w:i w:val="0"/>
                <w:color w:val="000000"/>
                <w:kern w:val="0"/>
                <w:sz w:val="20"/>
                <w:szCs w:val="20"/>
                <w:u w:val="none"/>
                <w:lang w:val="en-US" w:eastAsia="zh-CN" w:bidi="ar"/>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r>
    </w:tbl>
    <w:p>
      <w:pPr>
        <w:ind w:firstLine="108" w:firstLineChars="50"/>
        <w:rPr>
          <w:rFonts w:hint="eastAsia" w:ascii="仿宋_GB2312" w:hAnsi="宋体" w:eastAsia="仿宋_GB2312"/>
          <w:sz w:val="22"/>
          <w:szCs w:val="22"/>
        </w:rPr>
      </w:pPr>
      <w:r>
        <w:rPr>
          <w:rFonts w:hint="eastAsia" w:ascii="仿宋_GB2312" w:hAnsi="宋体" w:eastAsia="仿宋_GB2312"/>
          <w:sz w:val="22"/>
          <w:szCs w:val="22"/>
        </w:rPr>
        <w:t>注：本表反映部门本年度各项支出情况。</w:t>
      </w: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hint="eastAsia"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hint="eastAsia" w:ascii="楷体_GB2312" w:eastAsia="楷体_GB2312"/>
          <w:sz w:val="28"/>
          <w:szCs w:val="28"/>
        </w:rPr>
      </w:pPr>
      <w:r>
        <w:rPr>
          <w:rFonts w:hint="eastAsia" w:ascii="楷体_GB2312" w:eastAsia="楷体_GB2312"/>
          <w:sz w:val="28"/>
          <w:szCs w:val="28"/>
        </w:rPr>
        <w:t xml:space="preserve">     公开04表</w:t>
      </w:r>
    </w:p>
    <w:p>
      <w:pPr>
        <w:spacing w:line="400" w:lineRule="exact"/>
        <w:jc w:val="right"/>
        <w:rPr>
          <w:rFonts w:hint="eastAsia" w:ascii="楷体_GB2312" w:eastAsia="楷体_GB2312"/>
          <w:sz w:val="28"/>
          <w:szCs w:val="28"/>
        </w:rPr>
      </w:pPr>
      <w:r>
        <w:rPr>
          <w:rFonts w:hint="eastAsia" w:ascii="楷体_GB2312" w:eastAsia="楷体_GB2312"/>
          <w:sz w:val="28"/>
          <w:szCs w:val="28"/>
        </w:rPr>
        <w:t>部门：                                                                            金额单位：万元</w:t>
      </w:r>
    </w:p>
    <w:tbl>
      <w:tblPr>
        <w:tblStyle w:val="5"/>
        <w:tblW w:w="150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收 入</w:t>
            </w:r>
          </w:p>
        </w:tc>
        <w:tc>
          <w:tcPr>
            <w:tcW w:w="9967" w:type="dxa"/>
            <w:gridSpan w:val="6"/>
            <w:tcBorders>
              <w:top w:val="single" w:color="auto" w:sz="4" w:space="0"/>
              <w:left w:val="nil"/>
              <w:bottom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金额</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一般公共预算</w:t>
            </w:r>
          </w:p>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财政拨款</w:t>
            </w:r>
          </w:p>
        </w:tc>
        <w:tc>
          <w:tcPr>
            <w:tcW w:w="1700" w:type="dxa"/>
            <w:tcBorders>
              <w:top w:val="single" w:color="auto" w:sz="4" w:space="0"/>
              <w:left w:val="single" w:color="auto" w:sz="4" w:space="0"/>
              <w:bottom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政府性基金</w:t>
            </w:r>
          </w:p>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预算财政拨款</w:t>
            </w:r>
          </w:p>
        </w:tc>
        <w:tc>
          <w:tcPr>
            <w:tcW w:w="1700" w:type="dxa"/>
            <w:tcBorders>
              <w:top w:val="single" w:color="auto" w:sz="4" w:space="0"/>
              <w:left w:val="single" w:color="auto" w:sz="4" w:space="0"/>
              <w:bottom w:val="single" w:color="auto" w:sz="4" w:space="0"/>
            </w:tcBorders>
            <w:shd w:val="clear" w:color="auto" w:fill="FFFFFF"/>
            <w:noWrap w:val="0"/>
            <w:vAlign w:val="top"/>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国有资本经营预算财政拨款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ind w:firstLine="1176" w:firstLineChars="600"/>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4923.02</w:t>
            </w: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4217.20</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4217.20</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4.43</w:t>
            </w: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八、社会保障和就业支出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317.89</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317.89</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三、国有资本经营预算财政拨款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numPr>
                <w:ilvl w:val="0"/>
                <w:numId w:val="3"/>
              </w:numPr>
              <w:spacing w:line="300" w:lineRule="exact"/>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城乡社区支出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4.43</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4.43</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十九、住房保障支出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387.93</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387.93</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 xml:space="preserve">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 xml:space="preserve">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default" w:ascii="仿宋_GB2312" w:hAnsi="宋体" w:eastAsia="仿宋_GB2312" w:cs="宋体"/>
                <w:kern w:val="0"/>
                <w:sz w:val="20"/>
                <w:szCs w:val="20"/>
                <w:lang w:val="en-US"/>
              </w:rPr>
            </w:pP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 xml:space="preserve">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default" w:ascii="仿宋_GB2312" w:hAnsi="宋体" w:eastAsia="仿宋_GB2312" w:cs="宋体"/>
                <w:kern w:val="0"/>
                <w:sz w:val="20"/>
                <w:szCs w:val="20"/>
                <w:lang w:val="en-US" w:eastAsia="zh-CN"/>
              </w:rPr>
            </w:pP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righ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center"/>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bCs/>
                <w:kern w:val="0"/>
                <w:sz w:val="20"/>
                <w:szCs w:val="20"/>
              </w:rPr>
            </w:pPr>
            <w:r>
              <w:rPr>
                <w:rFonts w:hint="eastAsia" w:ascii="仿宋_GB2312" w:hAnsi="宋体" w:eastAsia="仿宋_GB2312" w:cs="宋体"/>
                <w:b/>
                <w:kern w:val="0"/>
                <w:sz w:val="20"/>
                <w:szCs w:val="20"/>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9</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bCs/>
                <w:kern w:val="0"/>
                <w:sz w:val="20"/>
                <w:szCs w:val="20"/>
              </w:rPr>
            </w:pPr>
            <w:r>
              <w:rPr>
                <w:rFonts w:hint="eastAsia" w:ascii="仿宋_GB2312" w:hAnsi="宋体" w:eastAsia="仿宋_GB2312" w:cs="宋体"/>
                <w:b/>
                <w:kern w:val="0"/>
                <w:sz w:val="20"/>
                <w:szCs w:val="20"/>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4927.45</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4923.02</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ind w:firstLine="196" w:firstLineChars="100"/>
              <w:jc w:val="left"/>
              <w:rPr>
                <w:rFonts w:hint="default" w:ascii="仿宋_GB2312" w:hAnsi="宋体" w:eastAsia="仿宋_GB2312" w:cs="宋体"/>
                <w:b/>
                <w:bCs/>
                <w:kern w:val="0"/>
                <w:sz w:val="20"/>
                <w:szCs w:val="20"/>
                <w:lang w:val="en-US" w:eastAsia="zh-CN"/>
              </w:rPr>
            </w:pPr>
            <w:r>
              <w:rPr>
                <w:rFonts w:hint="eastAsia" w:ascii="仿宋_GB2312" w:hAnsi="宋体" w:eastAsia="仿宋_GB2312" w:cs="宋体"/>
                <w:b/>
                <w:bCs/>
                <w:kern w:val="0"/>
                <w:sz w:val="20"/>
                <w:szCs w:val="20"/>
              </w:rPr>
              <w:t>　</w:t>
            </w:r>
            <w:r>
              <w:rPr>
                <w:rFonts w:hint="eastAsia" w:ascii="仿宋_GB2312" w:hAnsi="宋体" w:eastAsia="仿宋_GB2312" w:cs="宋体"/>
                <w:kern w:val="0"/>
                <w:sz w:val="20"/>
                <w:szCs w:val="20"/>
                <w:lang w:val="en-US" w:eastAsia="zh-CN"/>
              </w:rPr>
              <w:t>4.43</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b/>
                <w:bCs/>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10</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ind w:firstLine="392" w:firstLineChars="200"/>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11</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  国有资本经营预算财政拨款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bCs/>
                <w:kern w:val="0"/>
                <w:sz w:val="20"/>
                <w:szCs w:val="20"/>
              </w:rPr>
            </w:pPr>
            <w:r>
              <w:rPr>
                <w:rFonts w:hint="eastAsia" w:ascii="仿宋_GB2312" w:hAnsi="宋体" w:eastAsia="仿宋_GB2312" w:cs="宋体"/>
                <w:b/>
                <w:kern w:val="0"/>
                <w:sz w:val="20"/>
                <w:szCs w:val="20"/>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15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4927.45</w:t>
            </w:r>
            <w:r>
              <w:rPr>
                <w:rFonts w:hint="eastAsia" w:ascii="仿宋_GB2312" w:hAnsi="宋体" w:eastAsia="仿宋_GB2312" w:cs="宋体"/>
                <w:kern w:val="0"/>
                <w:sz w:val="20"/>
                <w:szCs w:val="20"/>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bCs/>
                <w:kern w:val="0"/>
                <w:sz w:val="20"/>
                <w:szCs w:val="20"/>
              </w:rPr>
            </w:pPr>
            <w:r>
              <w:rPr>
                <w:rFonts w:hint="eastAsia" w:ascii="仿宋_GB2312" w:hAnsi="宋体" w:eastAsia="仿宋_GB2312" w:cs="宋体"/>
                <w:b/>
                <w:kern w:val="0"/>
                <w:sz w:val="20"/>
                <w:szCs w:val="20"/>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4927.45</w:t>
            </w:r>
          </w:p>
        </w:tc>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4923.02</w:t>
            </w:r>
            <w:r>
              <w:rPr>
                <w:rFonts w:hint="eastAsia" w:ascii="仿宋_GB2312" w:hAnsi="宋体" w:eastAsia="仿宋_GB2312" w:cs="宋体"/>
                <w:kern w:val="0"/>
                <w:sz w:val="20"/>
                <w:szCs w:val="20"/>
              </w:rPr>
              <w:t>　</w:t>
            </w:r>
          </w:p>
        </w:tc>
        <w:tc>
          <w:tcPr>
            <w:tcW w:w="1700" w:type="dxa"/>
            <w:tcBorders>
              <w:top w:val="single" w:color="auto" w:sz="4" w:space="0"/>
              <w:left w:val="single" w:color="auto" w:sz="4" w:space="0"/>
              <w:bottom w:val="single" w:color="auto" w:sz="4" w:space="0"/>
            </w:tcBorders>
            <w:noWrap w:val="0"/>
            <w:vAlign w:val="center"/>
          </w:tcPr>
          <w:p>
            <w:pPr>
              <w:widowControl/>
              <w:spacing w:line="300" w:lineRule="exact"/>
              <w:jc w:val="left"/>
              <w:rPr>
                <w:rFonts w:hint="default" w:ascii="仿宋_GB2312" w:hAnsi="宋体" w:eastAsia="仿宋_GB2312" w:cs="宋体"/>
                <w:b/>
                <w:bCs/>
                <w:kern w:val="0"/>
                <w:sz w:val="20"/>
                <w:szCs w:val="20"/>
                <w:lang w:val="en-US" w:eastAsia="zh-CN"/>
              </w:rPr>
            </w:pPr>
            <w:r>
              <w:rPr>
                <w:rFonts w:hint="eastAsia" w:ascii="仿宋_GB2312" w:hAnsi="宋体" w:eastAsia="仿宋_GB2312" w:cs="宋体"/>
                <w:b/>
                <w:bCs/>
                <w:kern w:val="0"/>
                <w:sz w:val="20"/>
                <w:szCs w:val="20"/>
              </w:rPr>
              <w:t>　</w:t>
            </w:r>
            <w:r>
              <w:rPr>
                <w:rFonts w:hint="eastAsia" w:ascii="仿宋_GB2312" w:hAnsi="宋体" w:eastAsia="仿宋_GB2312" w:cs="宋体"/>
                <w:kern w:val="0"/>
                <w:sz w:val="20"/>
                <w:szCs w:val="20"/>
                <w:lang w:val="en-US" w:eastAsia="zh-CN"/>
              </w:rPr>
              <w:t>4.43</w:t>
            </w:r>
          </w:p>
        </w:tc>
        <w:tc>
          <w:tcPr>
            <w:tcW w:w="1700" w:type="dxa"/>
            <w:tcBorders>
              <w:top w:val="single" w:color="auto" w:sz="4" w:space="0"/>
              <w:left w:val="single" w:color="auto" w:sz="4" w:space="0"/>
              <w:bottom w:val="single" w:color="auto" w:sz="4" w:space="0"/>
            </w:tcBorders>
            <w:noWrap w:val="0"/>
            <w:vAlign w:val="top"/>
          </w:tcPr>
          <w:p>
            <w:pPr>
              <w:widowControl/>
              <w:spacing w:line="300" w:lineRule="exact"/>
              <w:jc w:val="left"/>
              <w:rPr>
                <w:rFonts w:hint="eastAsia" w:ascii="仿宋_GB2312" w:hAnsi="宋体" w:eastAsia="仿宋_GB2312" w:cs="宋体"/>
                <w:b/>
                <w:bCs/>
                <w:kern w:val="0"/>
                <w:sz w:val="20"/>
                <w:szCs w:val="20"/>
              </w:rPr>
            </w:pPr>
          </w:p>
        </w:tc>
      </w:tr>
    </w:tbl>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rPr>
        <w:t>注：本表反映部门本年度一般公共预算财政拨款、政府性基金预算财政拨款和国有资本经营预算财政拨款的总收支和年末结转结余情况。</w:t>
      </w:r>
    </w:p>
    <w:p>
      <w:pPr>
        <w:jc w:val="center"/>
        <w:rPr>
          <w:rFonts w:hint="eastAsia"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5"/>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CellMar>
            <w:top w:w="0" w:type="dxa"/>
            <w:left w:w="108" w:type="dxa"/>
            <w:bottom w:w="0" w:type="dxa"/>
            <w:right w:w="108" w:type="dxa"/>
          </w:tblCellMar>
        </w:tblPrEx>
        <w:trPr>
          <w:trHeight w:val="397"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CellMar>
            <w:top w:w="0" w:type="dxa"/>
            <w:left w:w="108" w:type="dxa"/>
            <w:bottom w:w="0" w:type="dxa"/>
            <w:right w:w="108" w:type="dxa"/>
          </w:tblCellMar>
        </w:tblPrEx>
        <w:trPr>
          <w:trHeight w:val="397"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4,923.02</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3,709.23</w:t>
            </w:r>
          </w:p>
        </w:tc>
        <w:tc>
          <w:tcPr>
            <w:tcW w:w="25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1,213.80</w:t>
            </w: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一般公共服务支出</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3,003.40</w:t>
            </w:r>
          </w:p>
        </w:tc>
        <w:tc>
          <w:tcPr>
            <w:tcW w:w="25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1,213.80</w:t>
            </w: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20103</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4,217.20</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3,003.40</w:t>
            </w:r>
          </w:p>
        </w:tc>
        <w:tc>
          <w:tcPr>
            <w:tcW w:w="25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1,213.80</w:t>
            </w: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2010306</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政务公开审批</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c>
          <w:tcPr>
            <w:tcW w:w="2978" w:type="dxa"/>
            <w:tcBorders>
              <w:top w:val="single" w:color="auto" w:sz="4" w:space="0"/>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1,213.80</w:t>
            </w: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2010350</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事业运行</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3,003.40</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3,003.40</w:t>
            </w:r>
          </w:p>
        </w:tc>
        <w:tc>
          <w:tcPr>
            <w:tcW w:w="2520"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208</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16"/>
                <w:szCs w:val="16"/>
                <w:u w:val="none"/>
                <w:lang w:val="en-US" w:eastAsia="zh-CN" w:bidi="ar"/>
              </w:rPr>
              <w:t>社会保障和就业支出</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2520"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20805</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16"/>
                <w:szCs w:val="16"/>
                <w:u w:val="none"/>
                <w:lang w:val="en-US" w:eastAsia="zh-CN" w:bidi="ar"/>
              </w:rPr>
              <w:t>行政事业单位养老支出</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317.89</w:t>
            </w:r>
          </w:p>
        </w:tc>
        <w:tc>
          <w:tcPr>
            <w:tcW w:w="2520"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2080505</w:t>
            </w:r>
          </w:p>
        </w:tc>
        <w:tc>
          <w:tcPr>
            <w:tcW w:w="31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278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297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211.93</w:t>
            </w:r>
          </w:p>
        </w:tc>
        <w:tc>
          <w:tcPr>
            <w:tcW w:w="2520"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2080506</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105.96</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105.96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221</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住房保障支出</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22102</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住房改革支出</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387.93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97"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2210201</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387.93</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387.93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r>
    </w:tbl>
    <w:p>
      <w:pPr>
        <w:spacing w:line="400" w:lineRule="exact"/>
        <w:ind w:firstLine="108" w:firstLineChars="50"/>
        <w:jc w:val="left"/>
        <w:rPr>
          <w:rFonts w:hint="eastAsia" w:ascii="仿宋_GB2312" w:hAnsi="宋体" w:eastAsia="仿宋_GB2312"/>
          <w:sz w:val="22"/>
          <w:szCs w:val="22"/>
        </w:rPr>
      </w:pPr>
      <w:r>
        <w:rPr>
          <w:rFonts w:hint="eastAsia" w:ascii="仿宋_GB2312" w:hAnsi="宋体" w:eastAsia="仿宋_GB2312"/>
          <w:sz w:val="22"/>
          <w:szCs w:val="22"/>
        </w:rPr>
        <w:t>注：本表反映部门本年度一般公共预算财政拨款支出情况。</w:t>
      </w:r>
    </w:p>
    <w:p>
      <w:pPr>
        <w:spacing w:line="400" w:lineRule="exact"/>
        <w:jc w:val="left"/>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hint="eastAsia"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5"/>
        <w:tblW w:w="0" w:type="auto"/>
        <w:jc w:val="center"/>
        <w:tblLayout w:type="fixed"/>
        <w:tblCellMar>
          <w:top w:w="0" w:type="dxa"/>
          <w:left w:w="108" w:type="dxa"/>
          <w:bottom w:w="0" w:type="dxa"/>
          <w:right w:w="108" w:type="dxa"/>
        </w:tblCellMar>
      </w:tblPr>
      <w:tblGrid>
        <w:gridCol w:w="1008"/>
        <w:gridCol w:w="2752"/>
        <w:gridCol w:w="1087"/>
        <w:gridCol w:w="1163"/>
        <w:gridCol w:w="2456"/>
        <w:gridCol w:w="919"/>
        <w:gridCol w:w="956"/>
        <w:gridCol w:w="2025"/>
        <w:gridCol w:w="909"/>
      </w:tblGrid>
      <w:tr>
        <w:tblPrEx>
          <w:tblCellMar>
            <w:top w:w="0" w:type="dxa"/>
            <w:left w:w="108" w:type="dxa"/>
            <w:bottom w:w="0" w:type="dxa"/>
            <w:right w:w="108" w:type="dxa"/>
          </w:tblCellMar>
        </w:tblPrEx>
        <w:trPr>
          <w:trHeight w:val="369" w:hRule="atLeast"/>
          <w:tblHeader/>
          <w:jc w:val="center"/>
        </w:trPr>
        <w:tc>
          <w:tcPr>
            <w:tcW w:w="4847" w:type="dxa"/>
            <w:gridSpan w:val="3"/>
            <w:tcBorders>
              <w:top w:val="single" w:color="auto" w:sz="8" w:space="0"/>
              <w:left w:val="single" w:color="auto" w:sz="8"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428" w:type="dxa"/>
            <w:gridSpan w:val="6"/>
            <w:tcBorders>
              <w:top w:val="single" w:color="auto" w:sz="8" w:space="0"/>
              <w:left w:val="nil"/>
              <w:bottom w:val="single" w:color="auto" w:sz="4" w:space="0"/>
              <w:right w:val="single" w:color="000000" w:sz="8"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97" w:hRule="exact"/>
          <w:tblHeader/>
          <w:jc w:val="center"/>
        </w:trPr>
        <w:tc>
          <w:tcPr>
            <w:tcW w:w="1008" w:type="dxa"/>
            <w:vMerge w:val="restart"/>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275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8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6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4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9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02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09" w:type="dxa"/>
            <w:vMerge w:val="restart"/>
            <w:tcBorders>
              <w:top w:val="nil"/>
              <w:left w:val="single" w:color="auto" w:sz="4" w:space="0"/>
              <w:bottom w:val="single" w:color="auto" w:sz="4" w:space="0"/>
              <w:right w:val="single" w:color="auto" w:sz="8" w:space="0"/>
            </w:tcBorders>
            <w:noWrap w:val="0"/>
            <w:vAlign w:val="center"/>
          </w:tcPr>
          <w:p>
            <w:pPr>
              <w:widowControl/>
              <w:spacing w:line="300" w:lineRule="exact"/>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55" w:hRule="atLeast"/>
          <w:tblHeader/>
          <w:jc w:val="center"/>
        </w:trPr>
        <w:tc>
          <w:tcPr>
            <w:tcW w:w="1008" w:type="dxa"/>
            <w:vMerge w:val="continue"/>
            <w:tcBorders>
              <w:top w:val="nil"/>
              <w:left w:val="single" w:color="auto" w:sz="8"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275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108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116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24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9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9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202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c>
          <w:tcPr>
            <w:tcW w:w="909" w:type="dxa"/>
            <w:vMerge w:val="continue"/>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工资福利支出</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3,531.08</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商品和服务支出</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160.14</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债务利息及费用支出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30101</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基本工资</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746.43</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30201</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办公费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22.07</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30701</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国内债务付息</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30102</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津贴补贴</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252.70</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30202</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印刷费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30702</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国外债务付息</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30103</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奖金</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1,119.70</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30203</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咨询费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3.00</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30703</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30106</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伙食补助费</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60.40</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30204</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手续费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30704</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30107</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绩效工资</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330.78</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30205</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水费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资本性支出</w:t>
            </w:r>
          </w:p>
        </w:tc>
        <w:tc>
          <w:tcPr>
            <w:tcW w:w="909"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30108</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211.93</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30206</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电费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31001</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30109</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职业年金缴费</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105.96</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30207</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邮电费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5.50</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31002</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办公设备购置</w:t>
            </w:r>
          </w:p>
        </w:tc>
        <w:tc>
          <w:tcPr>
            <w:tcW w:w="909"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30110</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30208</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取暖费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31003</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专用设备购置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30111</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30209</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物业管理费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31005</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基础设施建设</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30112</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307.43</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30211</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差旅费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8.09</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31006</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大型修缮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30113</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387.93</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30212</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31007</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30114</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医疗费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30213</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维修（护）费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17.92</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31008</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物资储备</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30199</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7.82</w:t>
            </w: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30214</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租赁费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31009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土地补偿</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对个人和家庭的补助</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30215</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会议费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31010</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安置补助</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30301</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离休费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30216</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培训费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1.36</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31011</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30302</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退休费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30217</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公务接待费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0.91</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31012</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拆迁补偿</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30303</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退职（役）费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30218</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专用材料费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31013</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公务用车购置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30304</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抚恤金</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30224</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被装购置费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31019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30305</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生活补助</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30225</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专用燃料费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31021</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30306</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救济费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30226</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劳务费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31022</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无形资产购置</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30307</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医疗费补助</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30227</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委托业务费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31099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30308</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助学金</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30228</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工会经费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20.97</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对企业补助</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30309</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奖励金</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30229</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福利费</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31201</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资本金注入</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30310</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30231</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1.39</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31203</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30311</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30239</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其他交通费用</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60.32</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31204</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费用补贴</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30399</w:t>
            </w:r>
          </w:p>
        </w:tc>
        <w:tc>
          <w:tcPr>
            <w:tcW w:w="275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30240</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919"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31205</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利息补贴</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30299</w:t>
            </w:r>
          </w:p>
        </w:tc>
        <w:tc>
          <w:tcPr>
            <w:tcW w:w="24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91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18.62</w:t>
            </w: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31299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456"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919"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399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其他支出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456"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919"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39906</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赠与</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456"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919"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39907</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456"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919"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39908</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1008" w:type="dxa"/>
            <w:tcBorders>
              <w:top w:val="nil"/>
              <w:left w:val="single" w:color="auto" w:sz="8" w:space="0"/>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2752"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1087"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color w:val="000000"/>
                <w:kern w:val="0"/>
                <w:sz w:val="18"/>
                <w:szCs w:val="18"/>
              </w:rPr>
            </w:pPr>
          </w:p>
        </w:tc>
        <w:tc>
          <w:tcPr>
            <w:tcW w:w="1163"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2456" w:type="dxa"/>
            <w:tcBorders>
              <w:top w:val="nil"/>
              <w:left w:val="nil"/>
              <w:bottom w:val="single" w:color="auto" w:sz="4" w:space="0"/>
              <w:right w:val="single" w:color="auto" w:sz="4" w:space="0"/>
            </w:tcBorders>
            <w:noWrap w:val="0"/>
            <w:vAlign w:val="center"/>
          </w:tcPr>
          <w:p>
            <w:pPr>
              <w:jc w:val="left"/>
              <w:rPr>
                <w:rFonts w:ascii="仿宋_GB2312" w:hAnsi="宋体" w:eastAsia="仿宋_GB2312" w:cs="宋体"/>
                <w:color w:val="000000"/>
                <w:kern w:val="0"/>
                <w:sz w:val="18"/>
                <w:szCs w:val="18"/>
              </w:rPr>
            </w:pPr>
          </w:p>
        </w:tc>
        <w:tc>
          <w:tcPr>
            <w:tcW w:w="919" w:type="dxa"/>
            <w:tcBorders>
              <w:top w:val="nil"/>
              <w:left w:val="nil"/>
              <w:bottom w:val="single" w:color="auto" w:sz="4" w:space="0"/>
              <w:right w:val="single" w:color="auto" w:sz="4" w:space="0"/>
            </w:tcBorders>
            <w:noWrap w:val="0"/>
            <w:vAlign w:val="center"/>
          </w:tcPr>
          <w:p>
            <w:pPr>
              <w:jc w:val="left"/>
              <w:rPr>
                <w:rFonts w:hint="eastAsia" w:ascii="仿宋_GB2312" w:hAnsi="宋体" w:eastAsia="仿宋_GB2312" w:cs="宋体"/>
                <w:color w:val="000000"/>
                <w:kern w:val="0"/>
                <w:sz w:val="18"/>
                <w:szCs w:val="18"/>
              </w:rPr>
            </w:pPr>
          </w:p>
        </w:tc>
        <w:tc>
          <w:tcPr>
            <w:tcW w:w="95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39999</w:t>
            </w:r>
          </w:p>
        </w:tc>
        <w:tc>
          <w:tcPr>
            <w:tcW w:w="202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其他支出</w:t>
            </w:r>
          </w:p>
        </w:tc>
        <w:tc>
          <w:tcPr>
            <w:tcW w:w="909" w:type="dxa"/>
            <w:tcBorders>
              <w:top w:val="nil"/>
              <w:left w:val="nil"/>
              <w:bottom w:val="single" w:color="auto" w:sz="4" w:space="0"/>
              <w:right w:val="single" w:color="auto" w:sz="8" w:space="0"/>
            </w:tcBorders>
            <w:noWrap w:val="0"/>
            <w:vAlign w:val="center"/>
          </w:tcPr>
          <w:p>
            <w:pPr>
              <w:jc w:val="right"/>
              <w:rPr>
                <w:rFonts w:hint="eastAsia"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374" w:hRule="exact"/>
          <w:jc w:val="center"/>
        </w:trPr>
        <w:tc>
          <w:tcPr>
            <w:tcW w:w="3760" w:type="dxa"/>
            <w:gridSpan w:val="2"/>
            <w:tcBorders>
              <w:top w:val="single" w:color="auto" w:sz="4"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人员经费合计</w:t>
            </w:r>
          </w:p>
        </w:tc>
        <w:tc>
          <w:tcPr>
            <w:tcW w:w="1087"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3,531.08</w:t>
            </w:r>
          </w:p>
        </w:tc>
        <w:tc>
          <w:tcPr>
            <w:tcW w:w="7519" w:type="dxa"/>
            <w:gridSpan w:val="5"/>
            <w:tcBorders>
              <w:top w:val="single" w:color="auto" w:sz="4" w:space="0"/>
              <w:left w:val="nil"/>
              <w:bottom w:val="single" w:color="auto" w:sz="8"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公用经费合计</w:t>
            </w:r>
          </w:p>
        </w:tc>
        <w:tc>
          <w:tcPr>
            <w:tcW w:w="909"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178.14</w:t>
            </w:r>
          </w:p>
        </w:tc>
      </w:tr>
    </w:tbl>
    <w:p>
      <w:pPr>
        <w:spacing w:line="400" w:lineRule="exact"/>
        <w:ind w:firstLine="108" w:firstLineChars="50"/>
        <w:jc w:val="left"/>
        <w:rPr>
          <w:rFonts w:hint="eastAsia" w:ascii="仿宋_GB2312" w:hAnsi="宋体" w:eastAsia="仿宋_GB2312"/>
          <w:sz w:val="22"/>
          <w:szCs w:val="22"/>
          <w:highlight w:val="none"/>
          <w:lang w:eastAsia="zh-CN"/>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rPr>
        <w:t>注:本表反映部门本年度一般公共预算财政拨款基本支出明细情况</w:t>
      </w:r>
      <w:r>
        <w:rPr>
          <w:rFonts w:hint="eastAsia" w:ascii="仿宋_GB2312" w:hAnsi="宋体" w:eastAsia="仿宋_GB2312"/>
          <w:sz w:val="22"/>
          <w:szCs w:val="22"/>
          <w:lang w:eastAsia="zh-CN"/>
        </w:rPr>
        <w:t>，</w:t>
      </w:r>
      <w:r>
        <w:rPr>
          <w:rFonts w:hint="eastAsia" w:ascii="仿宋_GB2312" w:hAnsi="宋体" w:eastAsia="仿宋_GB2312"/>
          <w:sz w:val="22"/>
          <w:szCs w:val="22"/>
        </w:rPr>
        <w:t>本套报表金额单位转换时可能存在尾数误差</w:t>
      </w:r>
      <w:r>
        <w:rPr>
          <w:rFonts w:hint="eastAsia" w:ascii="仿宋_GB2312" w:hAnsi="宋体" w:eastAsia="仿宋_GB2312"/>
          <w:sz w:val="22"/>
          <w:szCs w:val="22"/>
          <w:lang w:eastAsia="zh-CN"/>
        </w:rPr>
        <w:t>。</w:t>
      </w:r>
    </w:p>
    <w:p>
      <w:pPr>
        <w:jc w:val="center"/>
        <w:rPr>
          <w:rFonts w:hint="eastAsia"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hint="eastAsia"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5"/>
        <w:tblW w:w="0" w:type="auto"/>
        <w:jc w:val="center"/>
        <w:tblLayout w:type="fixed"/>
        <w:tblCellMar>
          <w:top w:w="0" w:type="dxa"/>
          <w:left w:w="108" w:type="dxa"/>
          <w:bottom w:w="0" w:type="dxa"/>
          <w:right w:w="108" w:type="dxa"/>
        </w:tblCellMar>
      </w:tblPr>
      <w:tblGrid>
        <w:gridCol w:w="1179"/>
        <w:gridCol w:w="1195"/>
        <w:gridCol w:w="1180"/>
        <w:gridCol w:w="1180"/>
        <w:gridCol w:w="1272"/>
        <w:gridCol w:w="878"/>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632"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878" w:type="dxa"/>
            <w:vMerge w:val="restart"/>
            <w:tcBorders>
              <w:top w:val="nil"/>
              <w:left w:val="single" w:color="auto" w:sz="4" w:space="0"/>
              <w:bottom w:val="single" w:color="auto" w:sz="4" w:space="0"/>
              <w:right w:val="single" w:color="000000" w:sz="8"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984"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2"/>
                <w:szCs w:val="22"/>
              </w:rPr>
            </w:pPr>
          </w:p>
        </w:tc>
        <w:tc>
          <w:tcPr>
            <w:tcW w:w="11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2"/>
                <w:szCs w:val="22"/>
              </w:rPr>
            </w:pPr>
          </w:p>
        </w:tc>
        <w:tc>
          <w:tcPr>
            <w:tcW w:w="118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8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272"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878" w:type="dxa"/>
            <w:vMerge w:val="continue"/>
            <w:tcBorders>
              <w:top w:val="nil"/>
              <w:left w:val="single" w:color="auto" w:sz="4" w:space="0"/>
              <w:bottom w:val="single" w:color="auto" w:sz="4" w:space="0"/>
              <w:right w:val="single" w:color="000000" w:sz="8" w:space="0"/>
            </w:tcBorders>
            <w:shd w:val="clear" w:color="auto" w:fill="auto"/>
            <w:noWrap w:val="0"/>
            <w:vAlign w:val="center"/>
          </w:tcPr>
          <w:p>
            <w:pPr>
              <w:widowControl/>
              <w:spacing w:line="300" w:lineRule="exact"/>
              <w:jc w:val="left"/>
              <w:rPr>
                <w:rFonts w:hint="eastAsia" w:ascii="仿宋_GB2312" w:hAnsi="宋体" w:eastAsia="仿宋_GB2312" w:cs="宋体"/>
                <w:kern w:val="0"/>
                <w:sz w:val="22"/>
                <w:szCs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left"/>
              <w:rPr>
                <w:rFonts w:hint="eastAsia" w:ascii="仿宋_GB2312" w:hAnsi="宋体" w:eastAsia="仿宋_GB2312" w:cs="宋体"/>
                <w:kern w:val="0"/>
                <w:sz w:val="22"/>
                <w:szCs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left"/>
              <w:rPr>
                <w:rFonts w:hint="eastAsia" w:ascii="仿宋_GB2312" w:hAnsi="宋体" w:eastAsia="仿宋_GB2312" w:cs="宋体"/>
                <w:kern w:val="0"/>
                <w:sz w:val="22"/>
                <w:szCs w:val="22"/>
              </w:rPr>
            </w:pPr>
          </w:p>
        </w:tc>
        <w:tc>
          <w:tcPr>
            <w:tcW w:w="85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3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984"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195"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80"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180"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272"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878" w:type="dxa"/>
            <w:tcBorders>
              <w:top w:val="nil"/>
              <w:left w:val="nil"/>
              <w:bottom w:val="single" w:color="auto" w:sz="8" w:space="0"/>
              <w:right w:val="single" w:color="000000" w:sz="8" w:space="0"/>
            </w:tcBorders>
            <w:shd w:val="clear" w:color="auto" w:fill="auto"/>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w:t>
            </w:r>
          </w:p>
        </w:tc>
        <w:tc>
          <w:tcPr>
            <w:tcW w:w="85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9</w:t>
            </w:r>
          </w:p>
        </w:tc>
        <w:tc>
          <w:tcPr>
            <w:tcW w:w="113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11</w:t>
            </w:r>
          </w:p>
        </w:tc>
        <w:tc>
          <w:tcPr>
            <w:tcW w:w="98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14.22</w:t>
            </w:r>
          </w:p>
        </w:tc>
        <w:tc>
          <w:tcPr>
            <w:tcW w:w="1195"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4.5</w:t>
            </w:r>
          </w:p>
        </w:tc>
        <w:tc>
          <w:tcPr>
            <w:tcW w:w="1180"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9.72</w:t>
            </w:r>
          </w:p>
        </w:tc>
        <w:tc>
          <w:tcPr>
            <w:tcW w:w="1180"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2" w:type="dxa"/>
            <w:tcBorders>
              <w:top w:val="nil"/>
              <w:left w:val="nil"/>
              <w:bottom w:val="single" w:color="auto" w:sz="8" w:space="0"/>
              <w:right w:val="single" w:color="auto" w:sz="4" w:space="0"/>
            </w:tcBorders>
            <w:shd w:val="clear" w:color="auto" w:fill="auto"/>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9.72</w:t>
            </w:r>
          </w:p>
        </w:tc>
        <w:tc>
          <w:tcPr>
            <w:tcW w:w="878" w:type="dxa"/>
            <w:tcBorders>
              <w:top w:val="nil"/>
              <w:left w:val="nil"/>
              <w:bottom w:val="single" w:color="auto" w:sz="8" w:space="0"/>
              <w:right w:val="single" w:color="000000" w:sz="8" w:space="0"/>
            </w:tcBorders>
            <w:shd w:val="clear" w:color="auto" w:fill="auto"/>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3.52</w:t>
            </w:r>
          </w:p>
        </w:tc>
        <w:tc>
          <w:tcPr>
            <w:tcW w:w="11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left"/>
              <w:rPr>
                <w:rFonts w:hint="eastAsia" w:ascii="仿宋_GB2312" w:hAnsi="宋体" w:eastAsia="仿宋_GB2312" w:cs="宋体"/>
                <w:kern w:val="0"/>
                <w:sz w:val="22"/>
                <w:szCs w:val="22"/>
              </w:rPr>
            </w:pPr>
          </w:p>
        </w:tc>
        <w:tc>
          <w:tcPr>
            <w:tcW w:w="85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2.61</w:t>
            </w:r>
          </w:p>
        </w:tc>
        <w:tc>
          <w:tcPr>
            <w:tcW w:w="113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2.61</w:t>
            </w:r>
          </w:p>
        </w:tc>
        <w:tc>
          <w:tcPr>
            <w:tcW w:w="98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0.91</w:t>
            </w:r>
          </w:p>
        </w:tc>
      </w:tr>
    </w:tbl>
    <w:p>
      <w:pPr>
        <w:spacing w:line="360" w:lineRule="exact"/>
        <w:ind w:firstLine="108" w:firstLineChars="50"/>
        <w:rPr>
          <w:rFonts w:hint="eastAsia" w:ascii="仿宋_GB2312" w:hAnsi="宋体" w:eastAsia="仿宋_GB2312"/>
          <w:sz w:val="22"/>
          <w:szCs w:val="22"/>
        </w:rPr>
      </w:pPr>
      <w:r>
        <w:rPr>
          <w:rFonts w:hint="eastAsia" w:ascii="仿宋_GB2312" w:hAnsi="宋体" w:eastAsia="仿宋_GB2312"/>
          <w:sz w:val="22"/>
          <w:szCs w:val="22"/>
        </w:rPr>
        <w:t>注：本表反映部门本年度“三公”经费支出预决算情况。其中，预算数为“三公”经费年初预算数；决算数是包括当年一般公共预算财政拨款和以前年度结转资金安排的实际支出。</w:t>
      </w:r>
    </w:p>
    <w:p>
      <w:pPr>
        <w:spacing w:line="440" w:lineRule="exact"/>
        <w:ind w:firstLine="108" w:firstLineChars="50"/>
        <w:rPr>
          <w:rFonts w:hint="eastAsia" w:ascii="仿宋_GB2312" w:hAnsi="宋体" w:eastAsia="仿宋_GB2312"/>
          <w:sz w:val="22"/>
          <w:szCs w:val="22"/>
          <w:highlight w:val="yellow"/>
        </w:rPr>
      </w:pPr>
    </w:p>
    <w:p>
      <w:pPr>
        <w:ind w:firstLine="108" w:firstLineChars="50"/>
        <w:rPr>
          <w:rFonts w:ascii="仿宋_GB2312" w:hAnsi="宋体" w:eastAsia="仿宋_GB2312"/>
          <w:sz w:val="22"/>
          <w:szCs w:val="22"/>
        </w:rPr>
      </w:pPr>
    </w:p>
    <w:p>
      <w:pPr>
        <w:ind w:firstLine="108" w:firstLineChars="50"/>
        <w:rPr>
          <w:rFonts w:hint="eastAsia" w:ascii="仿宋_GB2312" w:hAnsi="宋体" w:eastAsia="仿宋_GB2312"/>
          <w:sz w:val="22"/>
          <w:szCs w:val="22"/>
        </w:rPr>
      </w:pPr>
    </w:p>
    <w:p>
      <w:pPr>
        <w:jc w:val="center"/>
        <w:rPr>
          <w:rFonts w:hint="eastAsia"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部门：                                                                            金额单位：万元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372"/>
        <w:gridCol w:w="56"/>
        <w:gridCol w:w="4286"/>
        <w:gridCol w:w="1482"/>
        <w:gridCol w:w="1218"/>
        <w:gridCol w:w="1144"/>
        <w:gridCol w:w="1181"/>
        <w:gridCol w:w="1275"/>
        <w:gridCol w:w="1196"/>
      </w:tblGrid>
      <w:tr>
        <w:tblPrEx>
          <w:tblCellMar>
            <w:top w:w="0" w:type="dxa"/>
            <w:left w:w="108" w:type="dxa"/>
            <w:bottom w:w="0" w:type="dxa"/>
            <w:right w:w="108" w:type="dxa"/>
          </w:tblCellMar>
        </w:tblPrEx>
        <w:trPr>
          <w:trHeight w:val="453" w:hRule="atLeast"/>
          <w:jc w:val="center"/>
        </w:trPr>
        <w:tc>
          <w:tcPr>
            <w:tcW w:w="571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482"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年初结转和结余</w:t>
            </w:r>
          </w:p>
        </w:tc>
        <w:tc>
          <w:tcPr>
            <w:tcW w:w="1218" w:type="dxa"/>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本年收入</w:t>
            </w:r>
          </w:p>
        </w:tc>
        <w:tc>
          <w:tcPr>
            <w:tcW w:w="360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w:t>
            </w:r>
          </w:p>
        </w:tc>
        <w:tc>
          <w:tcPr>
            <w:tcW w:w="1196" w:type="dxa"/>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年末结转和结余</w:t>
            </w:r>
          </w:p>
        </w:tc>
      </w:tr>
      <w:tr>
        <w:tblPrEx>
          <w:tblCellMar>
            <w:top w:w="0" w:type="dxa"/>
            <w:left w:w="108" w:type="dxa"/>
            <w:bottom w:w="0" w:type="dxa"/>
            <w:right w:w="108" w:type="dxa"/>
          </w:tblCellMar>
        </w:tblPrEx>
        <w:trPr>
          <w:trHeight w:val="599" w:hRule="atLeast"/>
          <w:jc w:val="center"/>
        </w:trPr>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42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48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218" w:type="dxa"/>
            <w:vMerge w:val="continue"/>
            <w:tcBorders>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p>
        </w:tc>
        <w:tc>
          <w:tcPr>
            <w:tcW w:w="11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8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27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196" w:type="dxa"/>
            <w:vMerge w:val="continue"/>
            <w:tcBorders>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atLeast"/>
          <w:jc w:val="center"/>
        </w:trPr>
        <w:tc>
          <w:tcPr>
            <w:tcW w:w="571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21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18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27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19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CellMar>
            <w:top w:w="0" w:type="dxa"/>
            <w:left w:w="108" w:type="dxa"/>
            <w:bottom w:w="0" w:type="dxa"/>
            <w:right w:w="108" w:type="dxa"/>
          </w:tblCellMar>
        </w:tblPrEx>
        <w:trPr>
          <w:trHeight w:val="454" w:hRule="atLeast"/>
          <w:jc w:val="center"/>
        </w:trPr>
        <w:tc>
          <w:tcPr>
            <w:tcW w:w="571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81"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9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212</w:t>
            </w:r>
          </w:p>
        </w:tc>
        <w:tc>
          <w:tcPr>
            <w:tcW w:w="434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城乡社区支出</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81"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21208</w:t>
            </w:r>
          </w:p>
        </w:tc>
        <w:tc>
          <w:tcPr>
            <w:tcW w:w="434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81" w:type="dxa"/>
            <w:tcBorders>
              <w:top w:val="nil"/>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b/>
                <w:i w:val="0"/>
                <w:color w:val="000000"/>
                <w:kern w:val="0"/>
                <w:sz w:val="20"/>
                <w:szCs w:val="20"/>
                <w:u w:val="none"/>
                <w:lang w:val="en-US" w:eastAsia="zh-CN" w:bidi="ar"/>
              </w:rPr>
              <w:t>4.43</w:t>
            </w: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2120803</w:t>
            </w:r>
          </w:p>
        </w:tc>
        <w:tc>
          <w:tcPr>
            <w:tcW w:w="434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 xml:space="preserve">  城市建设支出</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4.43</w:t>
            </w:r>
          </w:p>
        </w:tc>
        <w:tc>
          <w:tcPr>
            <w:tcW w:w="11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4.43</w:t>
            </w:r>
          </w:p>
        </w:tc>
        <w:tc>
          <w:tcPr>
            <w:tcW w:w="1181" w:type="dxa"/>
            <w:tcBorders>
              <w:top w:val="single" w:color="auto" w:sz="4" w:space="0"/>
              <w:left w:val="nil"/>
              <w:bottom w:val="single" w:color="auto" w:sz="4" w:space="0"/>
              <w:right w:val="single" w:color="auto" w:sz="4" w:space="0"/>
            </w:tcBorders>
            <w:noWrap w:val="0"/>
            <w:vAlign w:val="center"/>
          </w:tcPr>
          <w:p>
            <w:pPr>
              <w:jc w:val="right"/>
              <w:rPr>
                <w:rFonts w:hint="eastAsia" w:ascii="仿宋_GB2312" w:hAnsi="宋体" w:eastAsia="仿宋_GB2312" w:cs="宋体"/>
                <w:kern w:val="0"/>
                <w:sz w:val="22"/>
                <w:szCs w:val="22"/>
              </w:rPr>
            </w:pP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_GB2312" w:hAnsi="宋体" w:eastAsia="仿宋_GB2312" w:cs="宋体"/>
                <w:kern w:val="0"/>
                <w:sz w:val="22"/>
                <w:szCs w:val="22"/>
              </w:rPr>
            </w:pPr>
            <w:r>
              <w:rPr>
                <w:rFonts w:hint="eastAsia" w:ascii="宋体" w:hAnsi="宋体" w:eastAsia="宋体" w:cs="宋体"/>
                <w:i w:val="0"/>
                <w:color w:val="000000"/>
                <w:kern w:val="0"/>
                <w:sz w:val="20"/>
                <w:szCs w:val="20"/>
                <w:u w:val="none"/>
                <w:lang w:val="en-US" w:eastAsia="zh-CN" w:bidi="ar"/>
              </w:rPr>
              <w:t>4.43</w:t>
            </w: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4342"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44"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1"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4342"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44"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1"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372"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4342"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2"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1218"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44"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1"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300" w:lineRule="exact"/>
              <w:jc w:val="right"/>
              <w:rPr>
                <w:rFonts w:hint="eastAsia" w:ascii="仿宋_GB2312" w:hAnsi="宋体" w:eastAsia="仿宋_GB2312" w:cs="宋体"/>
                <w:kern w:val="0"/>
                <w:sz w:val="22"/>
                <w:szCs w:val="22"/>
              </w:rPr>
            </w:pPr>
          </w:p>
        </w:tc>
        <w:tc>
          <w:tcPr>
            <w:tcW w:w="1196" w:type="dxa"/>
            <w:tcBorders>
              <w:top w:val="nil"/>
              <w:left w:val="nil"/>
              <w:bottom w:val="single" w:color="auto" w:sz="4" w:space="0"/>
              <w:right w:val="single" w:color="auto" w:sz="4" w:space="0"/>
            </w:tcBorders>
            <w:noWrap w:val="0"/>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ind w:firstLine="108" w:firstLineChars="50"/>
        <w:rPr>
          <w:rFonts w:hint="eastAsia" w:ascii="仿宋_GB2312" w:hAnsi="宋体" w:eastAsia="仿宋_GB2312"/>
          <w:sz w:val="22"/>
          <w:szCs w:val="22"/>
        </w:rPr>
      </w:pPr>
      <w:r>
        <w:rPr>
          <w:rFonts w:hint="eastAsia" w:ascii="仿宋_GB2312" w:hAnsi="宋体" w:eastAsia="仿宋_GB2312"/>
          <w:sz w:val="22"/>
          <w:szCs w:val="22"/>
        </w:rPr>
        <w:t>注：本表反映部门本年度政府性基金预算财政拨款收入、支出及结转和结余情况。</w:t>
      </w:r>
    </w:p>
    <w:p>
      <w:pPr>
        <w:rPr>
          <w:rFonts w:hint="eastAsia"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hint="eastAsia" w:ascii="方正小标宋简体" w:eastAsia="方正小标宋简体"/>
          <w:sz w:val="44"/>
          <w:szCs w:val="44"/>
        </w:rPr>
      </w:pPr>
      <w:r>
        <w:rPr>
          <w:rFonts w:hint="eastAsia" w:ascii="方正小标宋简体" w:eastAsia="方正小标宋简体"/>
          <w:sz w:val="44"/>
          <w:szCs w:val="44"/>
        </w:rPr>
        <w:t>国有资本经营预算财政拨款支出决算表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公开09表</w:t>
      </w:r>
    </w:p>
    <w:p>
      <w:pPr>
        <w:wordWrap w:val="0"/>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5"/>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spacing w:line="400" w:lineRule="exact"/>
        <w:ind w:firstLine="108" w:firstLineChars="50"/>
        <w:jc w:val="left"/>
        <w:rPr>
          <w:rFonts w:hint="eastAsia" w:ascii="仿宋_GB2312" w:hAnsi="宋体" w:eastAsia="仿宋_GB2312"/>
          <w:sz w:val="22"/>
          <w:szCs w:val="22"/>
          <w:lang w:eastAsia="zh-CN"/>
        </w:rPr>
      </w:pPr>
      <w:r>
        <w:rPr>
          <w:rFonts w:hint="eastAsia" w:ascii="仿宋_GB2312" w:hAnsi="宋体" w:eastAsia="仿宋_GB2312"/>
          <w:sz w:val="22"/>
          <w:szCs w:val="22"/>
        </w:rPr>
        <w:t>注：本表反映部门本年度国有资本经营预算财政拨款支出情况。本部门没有使用国有资本经营预算安排的支出，故本表无数据</w:t>
      </w:r>
      <w:r>
        <w:rPr>
          <w:rFonts w:hint="eastAsia" w:ascii="仿宋_GB2312" w:hAnsi="宋体" w:eastAsia="仿宋_GB2312"/>
          <w:sz w:val="22"/>
          <w:szCs w:val="22"/>
          <w:lang w:eastAsia="zh-CN"/>
        </w:rPr>
        <w:t>。</w:t>
      </w:r>
    </w:p>
    <w:p>
      <w:pPr>
        <w:spacing w:line="400" w:lineRule="exact"/>
        <w:jc w:val="left"/>
        <w:rPr>
          <w:rFonts w:hint="eastAsia" w:ascii="仿宋_GB2312" w:hAnsi="宋体" w:eastAsia="仿宋_GB2312"/>
          <w:sz w:val="22"/>
          <w:szCs w:val="22"/>
          <w:lang w:eastAsia="zh-CN"/>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lang w:eastAsia="zh-CN"/>
        </w:rPr>
        <w:t>。</w:t>
      </w: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第三部分</w:t>
      </w:r>
    </w:p>
    <w:p>
      <w:pPr>
        <w:spacing w:line="800" w:lineRule="exact"/>
        <w:jc w:val="center"/>
        <w:rPr>
          <w:rFonts w:hint="eastAsia" w:ascii="方正小标宋简体" w:eastAsia="方正小标宋简体"/>
          <w:spacing w:val="60"/>
          <w:sz w:val="48"/>
        </w:rPr>
      </w:pPr>
    </w:p>
    <w:p>
      <w:pPr>
        <w:spacing w:line="800" w:lineRule="exact"/>
        <w:jc w:val="center"/>
        <w:rPr>
          <w:rFonts w:hint="eastAsia" w:ascii="方正小标宋简体" w:eastAsia="方正小标宋简体"/>
          <w:spacing w:val="60"/>
          <w:sz w:val="48"/>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w:t>
      </w:r>
      <w:r>
        <w:rPr>
          <w:rFonts w:hint="eastAsia" w:ascii="方正小标宋简体" w:eastAsia="方正小标宋简体"/>
          <w:spacing w:val="60"/>
          <w:sz w:val="48"/>
          <w:lang w:val="en-US" w:eastAsia="zh-CN"/>
        </w:rPr>
        <w:t>单位</w:t>
      </w:r>
      <w:r>
        <w:rPr>
          <w:rFonts w:hint="eastAsia" w:ascii="方正小标宋简体" w:eastAsia="方正小标宋简体"/>
          <w:spacing w:val="60"/>
          <w:sz w:val="48"/>
        </w:rPr>
        <w:t>决算情况说明</w:t>
      </w:r>
    </w:p>
    <w:p>
      <w:pPr>
        <w:spacing w:line="580" w:lineRule="exact"/>
        <w:ind w:firstLine="640" w:firstLineChars="200"/>
        <w:rPr>
          <w:rFonts w:hint="eastAsia" w:ascii="黑体" w:hAnsi="黑体" w:eastAsia="黑体"/>
          <w:szCs w:val="32"/>
        </w:rPr>
      </w:pPr>
      <w:r>
        <w:rPr>
          <w:rFonts w:hint="eastAsia" w:ascii="黑体" w:hAnsi="黑体" w:eastAsia="黑体"/>
          <w:szCs w:val="32"/>
        </w:rPr>
        <w:t>一、收入支出决算总体情况说明</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2020年度收、支总计</w:t>
      </w:r>
      <w:r>
        <w:rPr>
          <w:rFonts w:hint="eastAsia" w:ascii="仿宋_GB2312" w:eastAsia="仿宋_GB2312"/>
          <w:szCs w:val="32"/>
          <w:lang w:val="en-US" w:eastAsia="zh-CN"/>
        </w:rPr>
        <w:t>4927.45</w:t>
      </w:r>
      <w:r>
        <w:rPr>
          <w:rFonts w:hint="eastAsia" w:ascii="仿宋_GB2312" w:eastAsia="仿宋_GB2312"/>
          <w:szCs w:val="32"/>
        </w:rPr>
        <w:t>万元。与2019年度相比，收、支总计各增加</w:t>
      </w:r>
      <w:r>
        <w:rPr>
          <w:rFonts w:hint="eastAsia" w:ascii="仿宋_GB2312" w:eastAsia="仿宋_GB2312"/>
          <w:szCs w:val="32"/>
          <w:lang w:val="en-US" w:eastAsia="zh-CN"/>
        </w:rPr>
        <w:t>492.14</w:t>
      </w:r>
      <w:r>
        <w:rPr>
          <w:rFonts w:hint="eastAsia" w:ascii="仿宋_GB2312" w:eastAsia="仿宋_GB2312"/>
          <w:szCs w:val="32"/>
        </w:rPr>
        <w:t>万元，增长</w:t>
      </w:r>
      <w:r>
        <w:rPr>
          <w:rFonts w:hint="eastAsia" w:ascii="仿宋_GB2312" w:eastAsia="仿宋_GB2312"/>
          <w:szCs w:val="32"/>
          <w:lang w:val="en-US" w:eastAsia="zh-CN"/>
        </w:rPr>
        <w:t>11.10</w:t>
      </w:r>
      <w:r>
        <w:rPr>
          <w:rFonts w:hint="eastAsia" w:ascii="仿宋_GB2312" w:eastAsia="仿宋_GB2312"/>
          <w:szCs w:val="32"/>
        </w:rPr>
        <w:t>%。主要是</w:t>
      </w:r>
      <w:r>
        <w:rPr>
          <w:rFonts w:hint="eastAsia" w:ascii="仿宋_GB2312" w:eastAsia="仿宋_GB2312"/>
          <w:szCs w:val="32"/>
          <w:lang w:val="en-US" w:eastAsia="zh-CN"/>
        </w:rPr>
        <w:t>工资增长和外包服务</w:t>
      </w:r>
      <w:r>
        <w:rPr>
          <w:rFonts w:hint="eastAsia" w:ascii="仿宋_GB2312" w:eastAsia="仿宋_GB2312"/>
          <w:szCs w:val="32"/>
        </w:rPr>
        <w:t>增加。</w:t>
      </w:r>
    </w:p>
    <w:p>
      <w:pPr>
        <w:spacing w:line="580" w:lineRule="exact"/>
        <w:ind w:firstLine="640" w:firstLineChars="200"/>
        <w:rPr>
          <w:rFonts w:hint="eastAsia" w:ascii="黑体" w:hAnsi="黑体" w:eastAsia="黑体"/>
          <w:szCs w:val="32"/>
        </w:rPr>
      </w:pPr>
      <w:r>
        <w:rPr>
          <w:rFonts w:hint="eastAsia" w:ascii="黑体" w:hAnsi="黑体" w:eastAsia="黑体"/>
          <w:szCs w:val="32"/>
        </w:rPr>
        <w:t>二、收入决算情况说明</w:t>
      </w:r>
    </w:p>
    <w:p>
      <w:pPr>
        <w:spacing w:line="580" w:lineRule="exact"/>
        <w:ind w:firstLine="640" w:firstLineChars="200"/>
        <w:rPr>
          <w:rFonts w:hint="eastAsia" w:ascii="楷体_GB2312" w:eastAsia="楷体_GB2312"/>
          <w:szCs w:val="32"/>
          <w:highlight w:val="none"/>
        </w:rPr>
      </w:pPr>
      <w:r>
        <w:rPr>
          <w:rFonts w:hint="eastAsia" w:ascii="楷体_GB2312" w:eastAsia="楷体_GB2312"/>
          <w:szCs w:val="32"/>
          <w:highlight w:val="none"/>
        </w:rPr>
        <w:t xml:space="preserve">（一）收入决算结构情况 </w:t>
      </w:r>
    </w:p>
    <w:p>
      <w:pPr>
        <w:spacing w:line="580" w:lineRule="exact"/>
        <w:ind w:firstLine="640" w:firstLineChars="200"/>
        <w:rPr>
          <w:rFonts w:hint="eastAsia" w:ascii="仿宋_GB2312" w:eastAsia="仿宋_GB2312"/>
          <w:szCs w:val="32"/>
        </w:rPr>
      </w:pPr>
      <w:r>
        <w:rPr>
          <w:rFonts w:hint="eastAsia" w:ascii="仿宋_GB2312" w:eastAsia="仿宋_GB2312"/>
          <w:szCs w:val="32"/>
        </w:rPr>
        <w:t>本年收入合计</w:t>
      </w:r>
      <w:r>
        <w:rPr>
          <w:rFonts w:hint="eastAsia" w:ascii="仿宋_GB2312" w:eastAsia="仿宋_GB2312"/>
          <w:szCs w:val="32"/>
          <w:lang w:val="en-US" w:eastAsia="zh-CN"/>
        </w:rPr>
        <w:t>4927.45</w:t>
      </w:r>
      <w:r>
        <w:rPr>
          <w:rFonts w:hint="eastAsia" w:ascii="仿宋_GB2312" w:eastAsia="仿宋_GB2312"/>
          <w:szCs w:val="32"/>
        </w:rPr>
        <w:t>万元，其中：财政拨款收入</w:t>
      </w:r>
      <w:r>
        <w:rPr>
          <w:rFonts w:hint="eastAsia" w:ascii="仿宋_GB2312" w:eastAsia="仿宋_GB2312"/>
          <w:szCs w:val="32"/>
          <w:lang w:val="en-US" w:eastAsia="zh-CN"/>
        </w:rPr>
        <w:t>4927.45</w:t>
      </w:r>
      <w:r>
        <w:rPr>
          <w:rFonts w:hint="eastAsia" w:ascii="仿宋_GB2312" w:eastAsia="仿宋_GB2312"/>
          <w:szCs w:val="32"/>
        </w:rPr>
        <w:t>万元，占</w:t>
      </w:r>
      <w:r>
        <w:rPr>
          <w:rFonts w:hint="eastAsia" w:ascii="仿宋_GB2312" w:eastAsia="仿宋_GB2312"/>
          <w:szCs w:val="32"/>
          <w:lang w:val="en-US" w:eastAsia="zh-CN"/>
        </w:rPr>
        <w:t>100</w:t>
      </w:r>
      <w:r>
        <w:rPr>
          <w:rFonts w:hint="eastAsia" w:ascii="仿宋_GB2312" w:eastAsia="仿宋_GB2312"/>
          <w:szCs w:val="32"/>
        </w:rPr>
        <w:t>%。</w:t>
      </w:r>
    </w:p>
    <w:p>
      <w:pPr>
        <w:spacing w:line="580" w:lineRule="exact"/>
        <w:ind w:firstLine="640" w:firstLineChars="200"/>
        <w:rPr>
          <w:rFonts w:hint="eastAsia" w:ascii="楷体_GB2312" w:eastAsia="楷体_GB2312"/>
          <w:szCs w:val="32"/>
          <w:highlight w:val="none"/>
        </w:rPr>
      </w:pPr>
      <w:r>
        <w:rPr>
          <w:rFonts w:hint="eastAsia" w:ascii="楷体_GB2312" w:eastAsia="楷体_GB2312"/>
          <w:szCs w:val="32"/>
          <w:highlight w:val="none"/>
        </w:rPr>
        <w:t>（二）收入决算具体情况</w:t>
      </w:r>
    </w:p>
    <w:p>
      <w:pPr>
        <w:spacing w:line="580" w:lineRule="exact"/>
        <w:ind w:firstLine="640" w:firstLineChars="200"/>
        <w:rPr>
          <w:rFonts w:hint="eastAsia" w:ascii="仿宋_GB2312" w:eastAsia="仿宋_GB2312"/>
          <w:szCs w:val="32"/>
          <w:highlight w:val="none"/>
        </w:rPr>
      </w:pPr>
      <w:r>
        <w:rPr>
          <w:rFonts w:hint="eastAsia" w:ascii="仿宋_GB2312" w:eastAsia="仿宋_GB2312"/>
          <w:szCs w:val="32"/>
          <w:highlight w:val="none"/>
        </w:rPr>
        <w:t>1、财政拨款收入</w:t>
      </w:r>
      <w:r>
        <w:rPr>
          <w:rFonts w:hint="eastAsia" w:ascii="仿宋_GB2312" w:eastAsia="仿宋_GB2312"/>
          <w:szCs w:val="32"/>
          <w:highlight w:val="none"/>
          <w:lang w:val="en-US" w:eastAsia="zh-CN"/>
        </w:rPr>
        <w:t>4927.45</w:t>
      </w:r>
      <w:r>
        <w:rPr>
          <w:rFonts w:hint="eastAsia" w:ascii="仿宋_GB2312" w:eastAsia="仿宋_GB2312"/>
          <w:szCs w:val="32"/>
          <w:highlight w:val="none"/>
        </w:rPr>
        <w:t>万元。与2019年度相比，增加</w:t>
      </w:r>
      <w:r>
        <w:rPr>
          <w:rFonts w:hint="eastAsia" w:ascii="仿宋_GB2312" w:eastAsia="仿宋_GB2312"/>
          <w:szCs w:val="32"/>
          <w:highlight w:val="none"/>
          <w:lang w:val="en-US" w:eastAsia="zh-CN"/>
        </w:rPr>
        <w:t>492.14</w:t>
      </w:r>
      <w:r>
        <w:rPr>
          <w:rFonts w:hint="eastAsia" w:ascii="仿宋_GB2312" w:eastAsia="仿宋_GB2312"/>
          <w:szCs w:val="32"/>
          <w:highlight w:val="none"/>
        </w:rPr>
        <w:t>万元，增长</w:t>
      </w:r>
      <w:r>
        <w:rPr>
          <w:rFonts w:hint="eastAsia" w:ascii="仿宋_GB2312" w:eastAsia="仿宋_GB2312"/>
          <w:szCs w:val="32"/>
          <w:highlight w:val="none"/>
          <w:lang w:val="en-US" w:eastAsia="zh-CN"/>
        </w:rPr>
        <w:t>11.10</w:t>
      </w:r>
      <w:r>
        <w:rPr>
          <w:rFonts w:hint="eastAsia" w:ascii="仿宋_GB2312" w:eastAsia="仿宋_GB2312"/>
          <w:szCs w:val="32"/>
          <w:highlight w:val="none"/>
        </w:rPr>
        <w:t>%。</w:t>
      </w:r>
      <w:r>
        <w:rPr>
          <w:rFonts w:hint="eastAsia" w:ascii="仿宋_GB2312" w:eastAsia="仿宋_GB2312"/>
          <w:szCs w:val="32"/>
        </w:rPr>
        <w:t>主要是</w:t>
      </w:r>
      <w:r>
        <w:rPr>
          <w:rFonts w:hint="eastAsia" w:ascii="仿宋_GB2312" w:eastAsia="仿宋_GB2312"/>
          <w:szCs w:val="32"/>
          <w:lang w:val="en-US" w:eastAsia="zh-CN"/>
        </w:rPr>
        <w:t>工资增长和外包服务</w:t>
      </w:r>
      <w:r>
        <w:rPr>
          <w:rFonts w:hint="eastAsia" w:ascii="仿宋_GB2312" w:eastAsia="仿宋_GB2312"/>
          <w:szCs w:val="32"/>
        </w:rPr>
        <w:t>增加</w:t>
      </w:r>
      <w:r>
        <w:rPr>
          <w:rFonts w:hint="eastAsia" w:ascii="仿宋_GB2312" w:eastAsia="仿宋_GB2312"/>
          <w:szCs w:val="32"/>
          <w:highlight w:val="none"/>
        </w:rPr>
        <w:t>。</w:t>
      </w:r>
    </w:p>
    <w:p>
      <w:pPr>
        <w:spacing w:line="580" w:lineRule="exact"/>
        <w:ind w:firstLine="640" w:firstLineChars="200"/>
        <w:rPr>
          <w:rFonts w:hint="eastAsia" w:ascii="黑体" w:hAnsi="黑体" w:eastAsia="黑体"/>
          <w:szCs w:val="32"/>
          <w:highlight w:val="none"/>
        </w:rPr>
      </w:pPr>
      <w:r>
        <w:rPr>
          <w:rFonts w:hint="eastAsia" w:ascii="仿宋_GB2312" w:eastAsia="仿宋_GB2312"/>
          <w:szCs w:val="32"/>
          <w:highlight w:val="none"/>
          <w:lang w:val="en-US" w:eastAsia="zh-CN"/>
        </w:rPr>
        <w:t xml:space="preserve"> </w:t>
      </w:r>
      <w:r>
        <w:rPr>
          <w:rFonts w:hint="eastAsia" w:ascii="黑体" w:hAnsi="黑体" w:eastAsia="黑体"/>
          <w:szCs w:val="32"/>
          <w:highlight w:val="none"/>
        </w:rPr>
        <w:t>三、支出决算情况说明</w:t>
      </w:r>
    </w:p>
    <w:p>
      <w:pPr>
        <w:spacing w:line="580" w:lineRule="exact"/>
        <w:ind w:firstLine="640" w:firstLineChars="200"/>
        <w:rPr>
          <w:rFonts w:hint="eastAsia" w:ascii="楷体_GB2312" w:eastAsia="楷体_GB2312"/>
          <w:szCs w:val="32"/>
          <w:highlight w:val="none"/>
        </w:rPr>
      </w:pPr>
      <w:r>
        <w:rPr>
          <w:rFonts w:hint="eastAsia" w:ascii="楷体_GB2312" w:eastAsia="楷体_GB2312"/>
          <w:szCs w:val="32"/>
          <w:highlight w:val="none"/>
        </w:rPr>
        <w:t>（一）支出决算结构情况</w:t>
      </w:r>
    </w:p>
    <w:p>
      <w:pPr>
        <w:spacing w:line="580" w:lineRule="exact"/>
        <w:ind w:firstLine="640" w:firstLineChars="200"/>
        <w:rPr>
          <w:rFonts w:hint="eastAsia" w:ascii="仿宋_GB2312" w:eastAsia="仿宋_GB2312"/>
          <w:b/>
          <w:szCs w:val="32"/>
          <w:lang w:val="en-US" w:eastAsia="zh-CN"/>
        </w:rPr>
      </w:pPr>
      <w:r>
        <w:rPr>
          <w:rFonts w:hint="eastAsia" w:ascii="仿宋_GB2312" w:eastAsia="仿宋_GB2312"/>
          <w:szCs w:val="32"/>
        </w:rPr>
        <w:t>本年支出合计</w:t>
      </w:r>
      <w:r>
        <w:rPr>
          <w:rFonts w:hint="eastAsia" w:ascii="仿宋_GB2312" w:eastAsia="仿宋_GB2312"/>
          <w:szCs w:val="32"/>
          <w:lang w:val="en-US" w:eastAsia="zh-CN"/>
        </w:rPr>
        <w:t>4927.45</w:t>
      </w:r>
      <w:r>
        <w:rPr>
          <w:rFonts w:hint="eastAsia" w:ascii="仿宋_GB2312" w:eastAsia="仿宋_GB2312"/>
          <w:szCs w:val="32"/>
        </w:rPr>
        <w:t>万元，其中：基本支出</w:t>
      </w:r>
      <w:r>
        <w:rPr>
          <w:rFonts w:hint="eastAsia" w:ascii="仿宋_GB2312" w:eastAsia="仿宋_GB2312"/>
          <w:szCs w:val="32"/>
          <w:lang w:val="en-US" w:eastAsia="zh-CN"/>
        </w:rPr>
        <w:t>3709.23</w:t>
      </w:r>
      <w:r>
        <w:rPr>
          <w:rFonts w:hint="eastAsia" w:ascii="仿宋_GB2312" w:eastAsia="仿宋_GB2312"/>
          <w:szCs w:val="32"/>
        </w:rPr>
        <w:t>万元，占</w:t>
      </w:r>
      <w:r>
        <w:rPr>
          <w:rFonts w:hint="eastAsia" w:ascii="仿宋_GB2312" w:eastAsia="仿宋_GB2312"/>
          <w:szCs w:val="32"/>
          <w:lang w:val="en-US" w:eastAsia="zh-CN"/>
        </w:rPr>
        <w:t>75.28</w:t>
      </w:r>
      <w:r>
        <w:rPr>
          <w:rFonts w:hint="eastAsia" w:ascii="仿宋_GB2312" w:eastAsia="仿宋_GB2312"/>
          <w:szCs w:val="32"/>
        </w:rPr>
        <w:t>%；项目支出</w:t>
      </w:r>
      <w:r>
        <w:rPr>
          <w:rFonts w:hint="eastAsia" w:ascii="仿宋_GB2312" w:eastAsia="仿宋_GB2312"/>
          <w:szCs w:val="32"/>
          <w:lang w:val="en-US" w:eastAsia="zh-CN"/>
        </w:rPr>
        <w:t>1218.23</w:t>
      </w:r>
      <w:r>
        <w:rPr>
          <w:rFonts w:hint="eastAsia" w:ascii="仿宋_GB2312" w:eastAsia="仿宋_GB2312"/>
          <w:szCs w:val="32"/>
        </w:rPr>
        <w:t>万元，占</w:t>
      </w:r>
      <w:r>
        <w:rPr>
          <w:rFonts w:hint="eastAsia" w:ascii="仿宋_GB2312" w:eastAsia="仿宋_GB2312"/>
          <w:szCs w:val="32"/>
          <w:lang w:val="en-US" w:eastAsia="zh-CN"/>
        </w:rPr>
        <w:t>24.72</w:t>
      </w:r>
      <w:r>
        <w:rPr>
          <w:rFonts w:hint="eastAsia" w:ascii="仿宋_GB2312" w:eastAsia="仿宋_GB2312"/>
          <w:szCs w:val="32"/>
        </w:rPr>
        <w:t>%。</w:t>
      </w:r>
    </w:p>
    <w:p>
      <w:pPr>
        <w:spacing w:line="580" w:lineRule="exact"/>
        <w:ind w:firstLine="640" w:firstLineChars="200"/>
        <w:rPr>
          <w:rFonts w:hint="eastAsia" w:ascii="楷体_GB2312" w:eastAsia="楷体_GB2312"/>
          <w:szCs w:val="32"/>
          <w:highlight w:val="none"/>
        </w:rPr>
      </w:pPr>
      <w:r>
        <w:rPr>
          <w:rFonts w:hint="eastAsia" w:ascii="楷体_GB2312" w:eastAsia="楷体_GB2312"/>
          <w:szCs w:val="32"/>
          <w:highlight w:val="none"/>
        </w:rPr>
        <w:t>（二）支出决算具体情况</w:t>
      </w:r>
    </w:p>
    <w:p>
      <w:pPr>
        <w:spacing w:line="580" w:lineRule="exact"/>
        <w:ind w:firstLine="640" w:firstLineChars="200"/>
        <w:rPr>
          <w:rFonts w:hint="eastAsia" w:ascii="仿宋_GB2312" w:eastAsia="仿宋_GB2312"/>
          <w:szCs w:val="32"/>
          <w:highlight w:val="none"/>
        </w:rPr>
      </w:pPr>
      <w:r>
        <w:rPr>
          <w:rFonts w:hint="eastAsia" w:ascii="仿宋_GB2312" w:eastAsia="仿宋_GB2312"/>
          <w:szCs w:val="32"/>
          <w:highlight w:val="none"/>
        </w:rPr>
        <w:t>1、基本支出</w:t>
      </w:r>
      <w:r>
        <w:rPr>
          <w:rFonts w:hint="eastAsia" w:ascii="仿宋_GB2312" w:eastAsia="仿宋_GB2312"/>
          <w:szCs w:val="32"/>
          <w:highlight w:val="none"/>
          <w:lang w:val="en-US" w:eastAsia="zh-CN"/>
        </w:rPr>
        <w:t>3709.23</w:t>
      </w:r>
      <w:r>
        <w:rPr>
          <w:rFonts w:hint="eastAsia" w:ascii="仿宋_GB2312" w:eastAsia="仿宋_GB2312"/>
          <w:szCs w:val="32"/>
          <w:highlight w:val="none"/>
        </w:rPr>
        <w:t>万元。与2019年度相比，增加</w:t>
      </w:r>
      <w:r>
        <w:rPr>
          <w:rFonts w:hint="eastAsia" w:ascii="仿宋_GB2312" w:eastAsia="仿宋_GB2312"/>
          <w:szCs w:val="32"/>
          <w:highlight w:val="none"/>
          <w:lang w:val="en-US" w:eastAsia="zh-CN"/>
        </w:rPr>
        <w:t>413.28</w:t>
      </w:r>
      <w:r>
        <w:rPr>
          <w:rFonts w:hint="eastAsia" w:ascii="仿宋_GB2312" w:eastAsia="仿宋_GB2312"/>
          <w:szCs w:val="32"/>
          <w:highlight w:val="none"/>
        </w:rPr>
        <w:t>万元，增长</w:t>
      </w:r>
      <w:r>
        <w:rPr>
          <w:rFonts w:hint="eastAsia" w:ascii="仿宋_GB2312" w:eastAsia="仿宋_GB2312"/>
          <w:szCs w:val="32"/>
          <w:highlight w:val="none"/>
          <w:lang w:val="en-US" w:eastAsia="zh-CN"/>
        </w:rPr>
        <w:t>12.54</w:t>
      </w:r>
      <w:r>
        <w:rPr>
          <w:rFonts w:hint="eastAsia" w:ascii="仿宋_GB2312" w:eastAsia="仿宋_GB2312"/>
          <w:szCs w:val="32"/>
          <w:highlight w:val="none"/>
        </w:rPr>
        <w:t>%。主要是</w:t>
      </w:r>
      <w:r>
        <w:rPr>
          <w:rFonts w:hint="eastAsia" w:ascii="仿宋_GB2312" w:eastAsia="仿宋_GB2312"/>
          <w:szCs w:val="32"/>
          <w:highlight w:val="none"/>
          <w:lang w:val="en-US" w:eastAsia="zh-CN"/>
        </w:rPr>
        <w:t>人员工资</w:t>
      </w:r>
      <w:r>
        <w:rPr>
          <w:rFonts w:hint="eastAsia" w:ascii="仿宋_GB2312" w:eastAsia="仿宋_GB2312"/>
          <w:szCs w:val="32"/>
          <w:highlight w:val="none"/>
        </w:rPr>
        <w:t>增加。</w:t>
      </w:r>
    </w:p>
    <w:p>
      <w:pPr>
        <w:spacing w:line="580" w:lineRule="exact"/>
        <w:ind w:firstLine="640" w:firstLineChars="200"/>
        <w:rPr>
          <w:rFonts w:ascii="仿宋_GB2312" w:eastAsia="仿宋_GB2312"/>
          <w:szCs w:val="32"/>
          <w:highlight w:val="none"/>
        </w:rPr>
      </w:pPr>
      <w:r>
        <w:rPr>
          <w:rFonts w:hint="eastAsia" w:ascii="仿宋_GB2312" w:eastAsia="仿宋_GB2312"/>
          <w:szCs w:val="32"/>
          <w:highlight w:val="none"/>
        </w:rPr>
        <w:t>2、项目支出</w:t>
      </w:r>
      <w:r>
        <w:rPr>
          <w:rFonts w:hint="eastAsia" w:ascii="仿宋_GB2312" w:eastAsia="仿宋_GB2312"/>
          <w:szCs w:val="32"/>
          <w:highlight w:val="none"/>
          <w:lang w:val="en-US" w:eastAsia="zh-CN"/>
        </w:rPr>
        <w:t>1218.23</w:t>
      </w:r>
      <w:r>
        <w:rPr>
          <w:rFonts w:hint="eastAsia" w:ascii="仿宋_GB2312" w:eastAsia="仿宋_GB2312"/>
          <w:szCs w:val="32"/>
          <w:highlight w:val="none"/>
        </w:rPr>
        <w:t>万元。与2019年度相比，增加</w:t>
      </w:r>
      <w:r>
        <w:rPr>
          <w:rFonts w:hint="eastAsia" w:ascii="仿宋_GB2312" w:eastAsia="仿宋_GB2312"/>
          <w:szCs w:val="32"/>
          <w:highlight w:val="none"/>
          <w:lang w:val="en-US" w:eastAsia="zh-CN"/>
        </w:rPr>
        <w:t>78.87</w:t>
      </w:r>
      <w:r>
        <w:rPr>
          <w:rFonts w:hint="eastAsia" w:ascii="仿宋_GB2312" w:eastAsia="仿宋_GB2312"/>
          <w:szCs w:val="32"/>
          <w:highlight w:val="none"/>
        </w:rPr>
        <w:t>万元，增长</w:t>
      </w:r>
      <w:r>
        <w:rPr>
          <w:rFonts w:hint="eastAsia" w:ascii="仿宋_GB2312" w:eastAsia="仿宋_GB2312"/>
          <w:szCs w:val="32"/>
          <w:highlight w:val="none"/>
          <w:lang w:val="en-US" w:eastAsia="zh-CN"/>
        </w:rPr>
        <w:t>6.92</w:t>
      </w:r>
      <w:r>
        <w:rPr>
          <w:rFonts w:hint="eastAsia" w:ascii="仿宋_GB2312" w:eastAsia="仿宋_GB2312"/>
          <w:szCs w:val="32"/>
          <w:highlight w:val="none"/>
        </w:rPr>
        <w:t>%。主要是</w:t>
      </w:r>
      <w:r>
        <w:rPr>
          <w:rFonts w:hint="eastAsia" w:ascii="仿宋_GB2312" w:eastAsia="仿宋_GB2312"/>
          <w:szCs w:val="32"/>
          <w:highlight w:val="none"/>
          <w:lang w:val="en-US" w:eastAsia="zh-CN"/>
        </w:rPr>
        <w:t>外包服务</w:t>
      </w:r>
      <w:r>
        <w:rPr>
          <w:rFonts w:hint="eastAsia" w:ascii="仿宋_GB2312" w:eastAsia="仿宋_GB2312"/>
          <w:szCs w:val="32"/>
          <w:highlight w:val="none"/>
        </w:rPr>
        <w:t>增加。</w:t>
      </w:r>
    </w:p>
    <w:p>
      <w:pPr>
        <w:spacing w:line="580" w:lineRule="exact"/>
        <w:ind w:firstLine="640" w:firstLineChars="200"/>
        <w:rPr>
          <w:rFonts w:hint="eastAsia" w:ascii="黑体" w:hAnsi="黑体" w:eastAsia="黑体"/>
          <w:szCs w:val="32"/>
        </w:rPr>
      </w:pPr>
      <w:r>
        <w:rPr>
          <w:rFonts w:hint="eastAsia" w:ascii="仿宋_GB2312" w:eastAsia="仿宋_GB2312"/>
          <w:szCs w:val="32"/>
          <w:highlight w:val="none"/>
          <w:lang w:val="en-US" w:eastAsia="zh-CN"/>
        </w:rPr>
        <w:t xml:space="preserve"> </w:t>
      </w:r>
      <w:r>
        <w:rPr>
          <w:rFonts w:hint="eastAsia" w:ascii="黑体" w:hAnsi="黑体" w:eastAsia="黑体"/>
          <w:szCs w:val="32"/>
        </w:rPr>
        <w:t>四、财政拨款收入支出决算总体情况说明</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2020年度财政拨款收、支总计</w:t>
      </w:r>
      <w:r>
        <w:rPr>
          <w:rFonts w:hint="eastAsia" w:ascii="仿宋_GB2312" w:eastAsia="仿宋_GB2312"/>
          <w:szCs w:val="32"/>
          <w:lang w:val="en-US" w:eastAsia="zh-CN"/>
        </w:rPr>
        <w:t>4927.45</w:t>
      </w:r>
      <w:r>
        <w:rPr>
          <w:rFonts w:hint="eastAsia" w:ascii="仿宋_GB2312" w:eastAsia="仿宋_GB2312"/>
          <w:szCs w:val="32"/>
        </w:rPr>
        <w:t>万元。与2019年度相比，财政拨款收、支总计各增加</w:t>
      </w:r>
      <w:r>
        <w:rPr>
          <w:rFonts w:hint="eastAsia" w:ascii="仿宋_GB2312" w:eastAsia="仿宋_GB2312"/>
          <w:szCs w:val="32"/>
          <w:lang w:val="en-US" w:eastAsia="zh-CN"/>
        </w:rPr>
        <w:t>492.14</w:t>
      </w:r>
      <w:r>
        <w:rPr>
          <w:rFonts w:hint="eastAsia" w:ascii="仿宋_GB2312" w:eastAsia="仿宋_GB2312"/>
          <w:szCs w:val="32"/>
        </w:rPr>
        <w:t>万元，增长</w:t>
      </w:r>
      <w:r>
        <w:rPr>
          <w:rFonts w:hint="eastAsia" w:ascii="仿宋_GB2312" w:eastAsia="仿宋_GB2312"/>
          <w:szCs w:val="32"/>
          <w:lang w:val="en-US" w:eastAsia="zh-CN"/>
        </w:rPr>
        <w:t>11.10</w:t>
      </w:r>
      <w:r>
        <w:rPr>
          <w:rFonts w:hint="eastAsia" w:ascii="仿宋_GB2312" w:eastAsia="仿宋_GB2312"/>
          <w:szCs w:val="32"/>
        </w:rPr>
        <w:t>%。主要是</w:t>
      </w:r>
      <w:r>
        <w:rPr>
          <w:rFonts w:hint="eastAsia" w:ascii="仿宋_GB2312" w:eastAsia="仿宋_GB2312"/>
          <w:szCs w:val="32"/>
          <w:lang w:val="en-US" w:eastAsia="zh-CN"/>
        </w:rPr>
        <w:t>人员工资和外包服务</w:t>
      </w:r>
      <w:r>
        <w:rPr>
          <w:rFonts w:hint="eastAsia" w:ascii="仿宋_GB2312" w:eastAsia="仿宋_GB2312"/>
          <w:szCs w:val="32"/>
        </w:rPr>
        <w:t>增加。</w:t>
      </w:r>
    </w:p>
    <w:p>
      <w:pPr>
        <w:spacing w:line="580" w:lineRule="exact"/>
        <w:ind w:firstLine="643" w:firstLineChars="200"/>
        <w:rPr>
          <w:rFonts w:hint="eastAsia" w:ascii="黑体" w:hAnsi="黑体" w:eastAsia="黑体"/>
          <w:szCs w:val="32"/>
        </w:rPr>
      </w:pPr>
      <w:r>
        <w:rPr>
          <w:rFonts w:hint="eastAsia" w:ascii="仿宋_GB2312" w:eastAsia="仿宋_GB2312"/>
          <w:b/>
          <w:szCs w:val="32"/>
          <w:lang w:val="en-US" w:eastAsia="zh-CN"/>
        </w:rPr>
        <w:t xml:space="preserve"> </w:t>
      </w:r>
      <w:r>
        <w:rPr>
          <w:rFonts w:hint="eastAsia" w:ascii="黑体" w:hAnsi="黑体" w:eastAsia="黑体"/>
          <w:szCs w:val="32"/>
        </w:rPr>
        <w:t>五、一般公共预算财政拨款支出决算情况说明</w:t>
      </w:r>
    </w:p>
    <w:p>
      <w:pPr>
        <w:spacing w:line="580" w:lineRule="exact"/>
        <w:ind w:firstLine="640" w:firstLineChars="200"/>
        <w:rPr>
          <w:rFonts w:hint="eastAsia" w:ascii="楷体_GB2312" w:eastAsia="楷体_GB2312"/>
          <w:szCs w:val="32"/>
        </w:rPr>
      </w:pPr>
      <w:r>
        <w:rPr>
          <w:rFonts w:hint="eastAsia" w:ascii="楷体_GB2312" w:eastAsia="楷体_GB2312"/>
          <w:szCs w:val="32"/>
        </w:rPr>
        <w:t>（一）一般公共预算财政拨款支出决算总体情况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2020年度一般公共预算财政拨款支出</w:t>
      </w:r>
      <w:r>
        <w:rPr>
          <w:rFonts w:hint="eastAsia" w:ascii="仿宋_GB2312" w:eastAsia="仿宋_GB2312"/>
          <w:szCs w:val="32"/>
          <w:lang w:val="en-US" w:eastAsia="zh-CN"/>
        </w:rPr>
        <w:t>4923.02</w:t>
      </w:r>
      <w:r>
        <w:rPr>
          <w:rFonts w:hint="eastAsia" w:ascii="仿宋_GB2312" w:eastAsia="仿宋_GB2312"/>
          <w:szCs w:val="32"/>
        </w:rPr>
        <w:t>万元，占本年支出合计的</w:t>
      </w:r>
      <w:r>
        <w:rPr>
          <w:rFonts w:hint="eastAsia" w:ascii="仿宋_GB2312" w:eastAsia="仿宋_GB2312"/>
          <w:szCs w:val="32"/>
          <w:lang w:val="en-US" w:eastAsia="zh-CN"/>
        </w:rPr>
        <w:t>99.91</w:t>
      </w:r>
      <w:r>
        <w:rPr>
          <w:rFonts w:hint="eastAsia" w:ascii="仿宋_GB2312" w:eastAsia="仿宋_GB2312"/>
          <w:szCs w:val="32"/>
        </w:rPr>
        <w:t>%。与2019年度相比，一般公共预算财政拨款支出增加</w:t>
      </w:r>
      <w:r>
        <w:rPr>
          <w:rFonts w:hint="eastAsia" w:ascii="仿宋_GB2312" w:eastAsia="仿宋_GB2312"/>
          <w:szCs w:val="32"/>
          <w:lang w:val="en-US" w:eastAsia="zh-CN"/>
        </w:rPr>
        <w:t>714.42</w:t>
      </w:r>
      <w:r>
        <w:rPr>
          <w:rFonts w:hint="eastAsia" w:ascii="仿宋_GB2312" w:eastAsia="仿宋_GB2312"/>
          <w:szCs w:val="32"/>
        </w:rPr>
        <w:t>万元，增长</w:t>
      </w:r>
      <w:r>
        <w:rPr>
          <w:rFonts w:hint="eastAsia" w:ascii="仿宋_GB2312" w:eastAsia="仿宋_GB2312"/>
          <w:szCs w:val="32"/>
          <w:lang w:val="en-US" w:eastAsia="zh-CN"/>
        </w:rPr>
        <w:t>16.98</w:t>
      </w:r>
      <w:r>
        <w:rPr>
          <w:rFonts w:hint="eastAsia" w:ascii="仿宋_GB2312" w:eastAsia="仿宋_GB2312"/>
          <w:szCs w:val="32"/>
        </w:rPr>
        <w:t>%。主要是</w:t>
      </w:r>
      <w:r>
        <w:rPr>
          <w:rFonts w:hint="eastAsia" w:ascii="仿宋_GB2312" w:eastAsia="仿宋_GB2312"/>
          <w:szCs w:val="32"/>
          <w:lang w:val="en-US" w:eastAsia="zh-CN"/>
        </w:rPr>
        <w:t>人员工资和外包服务</w:t>
      </w:r>
      <w:r>
        <w:rPr>
          <w:rFonts w:hint="eastAsia" w:ascii="仿宋_GB2312" w:eastAsia="仿宋_GB2312"/>
          <w:szCs w:val="32"/>
        </w:rPr>
        <w:t>增加。</w:t>
      </w:r>
    </w:p>
    <w:p>
      <w:pPr>
        <w:spacing w:line="580" w:lineRule="exact"/>
        <w:ind w:firstLine="640" w:firstLineChars="200"/>
        <w:rPr>
          <w:rFonts w:hint="eastAsia" w:ascii="楷体_GB2312" w:eastAsia="楷体_GB2312"/>
          <w:szCs w:val="32"/>
        </w:rPr>
      </w:pPr>
      <w:r>
        <w:rPr>
          <w:rFonts w:hint="eastAsia" w:ascii="楷体_GB2312" w:eastAsia="楷体_GB2312"/>
          <w:szCs w:val="32"/>
        </w:rPr>
        <w:t>（二）一般公共预算财政拨款支出决算结构情况</w:t>
      </w:r>
    </w:p>
    <w:p>
      <w:pPr>
        <w:spacing w:line="580" w:lineRule="exact"/>
        <w:ind w:firstLine="640" w:firstLineChars="200"/>
        <w:rPr>
          <w:rFonts w:hint="eastAsia" w:ascii="仿宋_GB2312" w:eastAsia="仿宋_GB2312"/>
          <w:szCs w:val="32"/>
          <w:highlight w:val="none"/>
        </w:rPr>
      </w:pPr>
      <w:r>
        <w:rPr>
          <w:rFonts w:hint="eastAsia" w:ascii="仿宋_GB2312" w:eastAsia="仿宋_GB2312"/>
          <w:szCs w:val="32"/>
        </w:rPr>
        <w:t>2020年度一般公共预算财政拨款支出</w:t>
      </w:r>
      <w:r>
        <w:rPr>
          <w:rFonts w:hint="eastAsia" w:ascii="仿宋_GB2312" w:eastAsia="仿宋_GB2312"/>
          <w:szCs w:val="32"/>
          <w:lang w:val="en-US" w:eastAsia="zh-CN"/>
        </w:rPr>
        <w:t>4923.02</w:t>
      </w:r>
      <w:r>
        <w:rPr>
          <w:rFonts w:hint="eastAsia" w:ascii="仿宋_GB2312" w:eastAsia="仿宋_GB2312"/>
          <w:szCs w:val="32"/>
        </w:rPr>
        <w:t>万元，主要用于以下方面：</w:t>
      </w:r>
      <w:r>
        <w:rPr>
          <w:rFonts w:hint="eastAsia" w:ascii="仿宋_GB2312" w:eastAsia="仿宋_GB2312"/>
          <w:szCs w:val="32"/>
          <w:highlight w:val="none"/>
          <w:lang w:val="en-US" w:eastAsia="zh-CN"/>
        </w:rPr>
        <w:t>一般公共服务</w:t>
      </w:r>
      <w:r>
        <w:rPr>
          <w:rFonts w:hint="eastAsia" w:ascii="仿宋_GB2312" w:eastAsia="仿宋_GB2312"/>
          <w:szCs w:val="32"/>
          <w:highlight w:val="none"/>
        </w:rPr>
        <w:t>支出</w:t>
      </w:r>
      <w:r>
        <w:rPr>
          <w:rFonts w:hint="eastAsia" w:ascii="仿宋_GB2312" w:eastAsia="仿宋_GB2312"/>
          <w:szCs w:val="32"/>
          <w:highlight w:val="none"/>
          <w:lang w:val="en-US" w:eastAsia="zh-CN"/>
        </w:rPr>
        <w:t>4217.20</w:t>
      </w:r>
      <w:r>
        <w:rPr>
          <w:rFonts w:hint="eastAsia" w:ascii="仿宋_GB2312" w:eastAsia="仿宋_GB2312"/>
          <w:szCs w:val="32"/>
          <w:highlight w:val="none"/>
        </w:rPr>
        <w:t>万元，占</w:t>
      </w:r>
      <w:r>
        <w:rPr>
          <w:rFonts w:hint="eastAsia" w:ascii="仿宋_GB2312" w:eastAsia="仿宋_GB2312"/>
          <w:szCs w:val="32"/>
          <w:highlight w:val="none"/>
          <w:lang w:val="en-US" w:eastAsia="zh-CN"/>
        </w:rPr>
        <w:t>85.66</w:t>
      </w:r>
      <w:r>
        <w:rPr>
          <w:rFonts w:hint="eastAsia" w:ascii="仿宋_GB2312" w:eastAsia="仿宋_GB2312"/>
          <w:szCs w:val="32"/>
          <w:highlight w:val="none"/>
        </w:rPr>
        <w:t>%；</w:t>
      </w:r>
      <w:r>
        <w:rPr>
          <w:rFonts w:hint="eastAsia" w:ascii="仿宋_GB2312" w:eastAsia="仿宋_GB2312"/>
          <w:szCs w:val="32"/>
          <w:highlight w:val="none"/>
          <w:lang w:val="en-US" w:eastAsia="zh-CN"/>
        </w:rPr>
        <w:t>社会保障和就业</w:t>
      </w:r>
      <w:r>
        <w:rPr>
          <w:rFonts w:hint="eastAsia" w:ascii="仿宋_GB2312" w:eastAsia="仿宋_GB2312"/>
          <w:szCs w:val="32"/>
          <w:highlight w:val="none"/>
        </w:rPr>
        <w:t>支出</w:t>
      </w:r>
      <w:r>
        <w:rPr>
          <w:rFonts w:hint="eastAsia" w:ascii="仿宋_GB2312" w:eastAsia="仿宋_GB2312"/>
          <w:szCs w:val="32"/>
          <w:highlight w:val="none"/>
          <w:lang w:val="en-US" w:eastAsia="zh-CN"/>
        </w:rPr>
        <w:t>317.89</w:t>
      </w:r>
      <w:r>
        <w:rPr>
          <w:rFonts w:hint="eastAsia" w:ascii="仿宋_GB2312" w:eastAsia="仿宋_GB2312"/>
          <w:szCs w:val="32"/>
          <w:highlight w:val="none"/>
        </w:rPr>
        <w:t>万元，占</w:t>
      </w:r>
      <w:r>
        <w:rPr>
          <w:rFonts w:hint="eastAsia" w:ascii="仿宋_GB2312" w:eastAsia="仿宋_GB2312"/>
          <w:szCs w:val="32"/>
          <w:highlight w:val="none"/>
          <w:lang w:val="en-US" w:eastAsia="zh-CN"/>
        </w:rPr>
        <w:t>6.46</w:t>
      </w:r>
      <w:r>
        <w:rPr>
          <w:rFonts w:hint="eastAsia" w:ascii="仿宋_GB2312" w:eastAsia="仿宋_GB2312"/>
          <w:szCs w:val="32"/>
          <w:highlight w:val="none"/>
        </w:rPr>
        <w:t>%；</w:t>
      </w:r>
      <w:r>
        <w:rPr>
          <w:rFonts w:hint="eastAsia" w:ascii="仿宋_GB2312" w:eastAsia="仿宋_GB2312"/>
          <w:szCs w:val="32"/>
          <w:highlight w:val="none"/>
          <w:lang w:val="en-US" w:eastAsia="zh-CN"/>
        </w:rPr>
        <w:t>住房保障</w:t>
      </w:r>
      <w:r>
        <w:rPr>
          <w:rFonts w:hint="eastAsia" w:ascii="仿宋_GB2312" w:eastAsia="仿宋_GB2312"/>
          <w:szCs w:val="32"/>
          <w:highlight w:val="none"/>
        </w:rPr>
        <w:t>支出</w:t>
      </w:r>
      <w:r>
        <w:rPr>
          <w:rFonts w:hint="eastAsia" w:ascii="仿宋_GB2312" w:eastAsia="仿宋_GB2312"/>
          <w:szCs w:val="32"/>
          <w:highlight w:val="none"/>
          <w:lang w:val="en-US" w:eastAsia="zh-CN"/>
        </w:rPr>
        <w:t>387.93</w:t>
      </w:r>
      <w:r>
        <w:rPr>
          <w:rFonts w:hint="eastAsia" w:ascii="仿宋_GB2312" w:eastAsia="仿宋_GB2312"/>
          <w:szCs w:val="32"/>
          <w:highlight w:val="none"/>
        </w:rPr>
        <w:t>万元</w:t>
      </w:r>
      <w:r>
        <w:rPr>
          <w:rFonts w:hint="eastAsia" w:ascii="仿宋_GB2312" w:eastAsia="仿宋_GB2312"/>
          <w:szCs w:val="32"/>
          <w:highlight w:val="none"/>
          <w:lang w:eastAsia="zh-CN"/>
        </w:rPr>
        <w:t>，</w:t>
      </w:r>
      <w:r>
        <w:rPr>
          <w:rFonts w:hint="eastAsia" w:ascii="仿宋_GB2312" w:eastAsia="仿宋_GB2312"/>
          <w:szCs w:val="32"/>
          <w:highlight w:val="none"/>
          <w:lang w:val="en-US" w:eastAsia="zh-CN"/>
        </w:rPr>
        <w:t>占7.88%</w:t>
      </w:r>
      <w:r>
        <w:rPr>
          <w:rFonts w:hint="eastAsia" w:ascii="仿宋_GB2312" w:eastAsia="仿宋_GB2312"/>
          <w:szCs w:val="32"/>
          <w:highlight w:val="none"/>
        </w:rPr>
        <w:t>。</w:t>
      </w:r>
    </w:p>
    <w:p>
      <w:pPr>
        <w:spacing w:line="580" w:lineRule="exact"/>
        <w:ind w:firstLine="640" w:firstLineChars="200"/>
        <w:rPr>
          <w:rFonts w:hint="eastAsia" w:ascii="楷体_GB2312" w:eastAsia="楷体_GB2312"/>
          <w:szCs w:val="32"/>
        </w:rPr>
      </w:pPr>
      <w:r>
        <w:rPr>
          <w:rFonts w:hint="eastAsia" w:ascii="楷体_GB2312" w:eastAsia="楷体_GB2312"/>
          <w:szCs w:val="32"/>
        </w:rPr>
        <w:t>（三）一般公共预算财政拨款支出决算具体情况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2020年度一般公共预算财政拨款支出年初预算为</w:t>
      </w:r>
      <w:r>
        <w:rPr>
          <w:rFonts w:hint="eastAsia" w:ascii="仿宋_GB2312" w:eastAsia="仿宋_GB2312"/>
          <w:szCs w:val="32"/>
          <w:lang w:val="en-US" w:eastAsia="zh-CN"/>
        </w:rPr>
        <w:t>4232.52</w:t>
      </w:r>
      <w:r>
        <w:rPr>
          <w:rFonts w:hint="eastAsia" w:ascii="仿宋_GB2312" w:eastAsia="仿宋_GB2312"/>
          <w:szCs w:val="32"/>
        </w:rPr>
        <w:t>万元，支出决算为</w:t>
      </w:r>
      <w:r>
        <w:rPr>
          <w:rFonts w:hint="eastAsia" w:ascii="仿宋_GB2312" w:eastAsia="仿宋_GB2312"/>
          <w:szCs w:val="32"/>
          <w:lang w:val="en-US" w:eastAsia="zh-CN"/>
        </w:rPr>
        <w:t>4923.02</w:t>
      </w:r>
      <w:r>
        <w:rPr>
          <w:rFonts w:hint="eastAsia" w:ascii="仿宋_GB2312" w:eastAsia="仿宋_GB2312"/>
          <w:szCs w:val="32"/>
        </w:rPr>
        <w:t>万元，完成年初预算的</w:t>
      </w:r>
      <w:r>
        <w:rPr>
          <w:rFonts w:hint="eastAsia" w:ascii="仿宋_GB2312" w:eastAsia="仿宋_GB2312"/>
          <w:szCs w:val="32"/>
          <w:lang w:val="en-US" w:eastAsia="zh-CN"/>
        </w:rPr>
        <w:t>116.31</w:t>
      </w:r>
      <w:r>
        <w:rPr>
          <w:rFonts w:hint="eastAsia" w:ascii="仿宋_GB2312" w:eastAsia="仿宋_GB2312"/>
          <w:szCs w:val="32"/>
        </w:rPr>
        <w:t>%。决算数大于年初预算数的主要原因</w:t>
      </w:r>
      <w:r>
        <w:rPr>
          <w:rFonts w:hint="eastAsia" w:ascii="仿宋_GB2312" w:eastAsia="仿宋_GB2312"/>
          <w:szCs w:val="32"/>
          <w:lang w:val="en-US" w:eastAsia="zh-CN"/>
        </w:rPr>
        <w:t>是人员工资增长、外包服务和交易提速增效等项目经费</w:t>
      </w:r>
      <w:r>
        <w:rPr>
          <w:rFonts w:hint="eastAsia" w:ascii="仿宋_GB2312" w:eastAsia="仿宋_GB2312"/>
          <w:szCs w:val="32"/>
        </w:rPr>
        <w:t>增加。其中：</w:t>
      </w:r>
    </w:p>
    <w:p>
      <w:pPr>
        <w:spacing w:line="580" w:lineRule="exact"/>
        <w:ind w:firstLine="640" w:firstLineChars="200"/>
        <w:rPr>
          <w:rFonts w:hint="eastAsia" w:ascii="仿宋_GB2312" w:eastAsia="仿宋_GB2312"/>
          <w:szCs w:val="32"/>
        </w:rPr>
      </w:pPr>
      <w:r>
        <w:rPr>
          <w:rFonts w:hint="eastAsia" w:ascii="仿宋_GB2312" w:eastAsia="仿宋_GB2312"/>
          <w:szCs w:val="32"/>
        </w:rPr>
        <w:t>1、</w:t>
      </w:r>
      <w:r>
        <w:rPr>
          <w:rFonts w:hint="eastAsia" w:ascii="仿宋_GB2312" w:eastAsia="仿宋_GB2312"/>
          <w:szCs w:val="32"/>
          <w:lang w:val="en-US" w:eastAsia="zh-CN"/>
        </w:rPr>
        <w:t>一般公共服务支出（类）政府办公厅（室）及相关机构事务（款）政务公开审批（项）</w:t>
      </w:r>
      <w:r>
        <w:rPr>
          <w:rFonts w:hint="eastAsia" w:ascii="仿宋_GB2312" w:eastAsia="仿宋_GB2312"/>
          <w:szCs w:val="32"/>
        </w:rPr>
        <w:t>。年初预算为</w:t>
      </w:r>
      <w:r>
        <w:rPr>
          <w:rFonts w:hint="eastAsia" w:ascii="仿宋_GB2312" w:eastAsia="仿宋_GB2312"/>
          <w:szCs w:val="32"/>
          <w:lang w:val="en-US" w:eastAsia="zh-CN"/>
        </w:rPr>
        <w:t>852.71</w:t>
      </w:r>
      <w:r>
        <w:rPr>
          <w:rFonts w:hint="eastAsia" w:ascii="仿宋_GB2312" w:eastAsia="仿宋_GB2312"/>
          <w:szCs w:val="32"/>
        </w:rPr>
        <w:t>万元，支出决算为</w:t>
      </w:r>
      <w:r>
        <w:rPr>
          <w:rFonts w:hint="eastAsia" w:ascii="仿宋_GB2312" w:eastAsia="仿宋_GB2312"/>
          <w:szCs w:val="32"/>
          <w:lang w:val="en-US" w:eastAsia="zh-CN"/>
        </w:rPr>
        <w:t>1213.80</w:t>
      </w:r>
      <w:r>
        <w:rPr>
          <w:rFonts w:hint="eastAsia" w:ascii="仿宋_GB2312" w:eastAsia="仿宋_GB2312"/>
          <w:szCs w:val="32"/>
        </w:rPr>
        <w:t>万元，完成年初预算的</w:t>
      </w:r>
      <w:r>
        <w:rPr>
          <w:rFonts w:hint="eastAsia" w:ascii="仿宋_GB2312" w:eastAsia="仿宋_GB2312"/>
          <w:szCs w:val="32"/>
          <w:lang w:val="en-US" w:eastAsia="zh-CN"/>
        </w:rPr>
        <w:t>142.35</w:t>
      </w:r>
      <w:r>
        <w:rPr>
          <w:rFonts w:hint="eastAsia" w:ascii="仿宋_GB2312" w:eastAsia="仿宋_GB2312"/>
          <w:szCs w:val="32"/>
        </w:rPr>
        <w:t>%。决算数大于年初预算数主要原因是</w:t>
      </w:r>
      <w:r>
        <w:rPr>
          <w:rFonts w:hint="eastAsia" w:ascii="仿宋_GB2312" w:eastAsia="仿宋_GB2312"/>
          <w:szCs w:val="32"/>
          <w:lang w:val="en-US" w:eastAsia="zh-CN"/>
        </w:rPr>
        <w:t>2020年追加了购买服务、交易提速增效等项目经费</w:t>
      </w:r>
      <w:r>
        <w:rPr>
          <w:rFonts w:hint="eastAsia" w:ascii="仿宋_GB2312" w:eastAsia="仿宋_GB2312"/>
          <w:szCs w:val="32"/>
        </w:rPr>
        <w:t>。</w:t>
      </w:r>
    </w:p>
    <w:p>
      <w:pPr>
        <w:spacing w:line="580" w:lineRule="exact"/>
        <w:ind w:firstLine="640" w:firstLineChars="200"/>
        <w:rPr>
          <w:rFonts w:hint="eastAsia" w:ascii="仿宋_GB2312" w:eastAsia="仿宋_GB2312"/>
          <w:szCs w:val="32"/>
        </w:rPr>
      </w:pPr>
      <w:r>
        <w:rPr>
          <w:rFonts w:hint="eastAsia" w:ascii="仿宋_GB2312" w:eastAsia="仿宋_GB2312"/>
          <w:szCs w:val="32"/>
        </w:rPr>
        <w:t>2</w:t>
      </w:r>
      <w:r>
        <w:rPr>
          <w:rFonts w:hint="eastAsia" w:ascii="仿宋_GB2312" w:eastAsia="仿宋_GB2312"/>
          <w:szCs w:val="32"/>
          <w:lang w:val="en-US" w:eastAsia="zh-CN"/>
        </w:rPr>
        <w:t>一般公共服务支出（类）政府办公厅（室）及相关机构事务（款）事业运行（项）</w:t>
      </w:r>
      <w:r>
        <w:rPr>
          <w:rFonts w:hint="eastAsia" w:ascii="仿宋_GB2312" w:eastAsia="仿宋_GB2312"/>
          <w:szCs w:val="32"/>
        </w:rPr>
        <w:t>年初预算为</w:t>
      </w:r>
      <w:r>
        <w:rPr>
          <w:rFonts w:hint="eastAsia" w:ascii="仿宋_GB2312" w:eastAsia="仿宋_GB2312"/>
          <w:szCs w:val="32"/>
          <w:lang w:val="en-US" w:eastAsia="zh-CN"/>
        </w:rPr>
        <w:t>2819.29</w:t>
      </w:r>
      <w:r>
        <w:rPr>
          <w:rFonts w:hint="eastAsia" w:ascii="仿宋_GB2312" w:eastAsia="仿宋_GB2312"/>
          <w:szCs w:val="32"/>
        </w:rPr>
        <w:t>万元，支出决算为</w:t>
      </w:r>
      <w:r>
        <w:rPr>
          <w:rFonts w:hint="eastAsia" w:ascii="仿宋_GB2312" w:eastAsia="仿宋_GB2312"/>
          <w:szCs w:val="32"/>
          <w:lang w:val="en-US" w:eastAsia="zh-CN"/>
        </w:rPr>
        <w:t>3003.40</w:t>
      </w:r>
      <w:r>
        <w:rPr>
          <w:rFonts w:hint="eastAsia" w:ascii="仿宋_GB2312" w:eastAsia="仿宋_GB2312"/>
          <w:szCs w:val="32"/>
        </w:rPr>
        <w:t>万元，完成年初预算的</w:t>
      </w:r>
      <w:r>
        <w:rPr>
          <w:rFonts w:hint="eastAsia" w:ascii="仿宋_GB2312" w:eastAsia="仿宋_GB2312"/>
          <w:szCs w:val="32"/>
          <w:lang w:val="en-US" w:eastAsia="zh-CN"/>
        </w:rPr>
        <w:t>106.53</w:t>
      </w:r>
      <w:r>
        <w:rPr>
          <w:rFonts w:hint="eastAsia" w:ascii="仿宋_GB2312" w:eastAsia="仿宋_GB2312"/>
          <w:szCs w:val="32"/>
        </w:rPr>
        <w:t>%。决算数大于年初预算数主要原因</w:t>
      </w:r>
      <w:r>
        <w:rPr>
          <w:rFonts w:hint="eastAsia" w:ascii="仿宋_GB2312" w:eastAsia="仿宋_GB2312"/>
          <w:szCs w:val="32"/>
          <w:lang w:val="en-US" w:eastAsia="zh-CN"/>
        </w:rPr>
        <w:t>是人员工资的增长</w:t>
      </w:r>
      <w:r>
        <w:rPr>
          <w:rFonts w:hint="eastAsia" w:ascii="仿宋_GB2312" w:eastAsia="仿宋_GB2312"/>
          <w:szCs w:val="32"/>
        </w:rPr>
        <w:t>。</w:t>
      </w:r>
    </w:p>
    <w:p>
      <w:pPr>
        <w:numPr>
          <w:ilvl w:val="0"/>
          <w:numId w:val="4"/>
        </w:numPr>
        <w:spacing w:line="580" w:lineRule="exact"/>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社会保障和就业支出（类）行政事业单位养老支出（款）机关事业单位基本养老保险缴费支出（项）年初预算为229.95万元，支出决算为211.93万元，完成年初预算的92.16%。决算数小于年初预算数主要原因是人员数量减少。</w:t>
      </w:r>
    </w:p>
    <w:p>
      <w:pPr>
        <w:numPr>
          <w:ilvl w:val="0"/>
          <w:numId w:val="4"/>
        </w:numPr>
        <w:spacing w:line="580" w:lineRule="exact"/>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社会保障和就业支出（类）行政事业单位养老支出（款）机关事业单位职业年金缴费支出（项）年初预算数114.98万元，支出决算数105.96万元，完成年初预算数的92.16%。决算数小于年初预算数主要原因是人员数量减少</w:t>
      </w:r>
    </w:p>
    <w:p>
      <w:pPr>
        <w:numPr>
          <w:ilvl w:val="0"/>
          <w:numId w:val="4"/>
        </w:numPr>
        <w:spacing w:line="580" w:lineRule="exact"/>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住房保障支出（类）住房改革支出（款）住房公积金（项）年初预算数215.59万元，支出决算数387.93万元，完成年初预算数的179.94%。决算数大于年初预算数的主要原因是年初预算中公积金包只包含单位付款部分，决算中公积金包含单位和个人付款两部分。</w:t>
      </w:r>
    </w:p>
    <w:p>
      <w:pPr>
        <w:spacing w:line="580" w:lineRule="exact"/>
        <w:ind w:firstLine="640" w:firstLineChars="200"/>
        <w:rPr>
          <w:rFonts w:hint="eastAsia" w:ascii="黑体" w:hAnsi="黑体" w:eastAsia="黑体"/>
          <w:szCs w:val="32"/>
        </w:rPr>
      </w:pPr>
      <w:r>
        <w:rPr>
          <w:rFonts w:hint="eastAsia" w:ascii="黑体" w:hAnsi="黑体" w:eastAsia="黑体"/>
          <w:szCs w:val="32"/>
        </w:rPr>
        <w:t>六、一般公共预算财政拨款基本支出决算情况说明</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2020年度一般公共预算财政拨款基本支出决算</w:t>
      </w:r>
      <w:r>
        <w:rPr>
          <w:rFonts w:hint="eastAsia" w:ascii="仿宋_GB2312" w:eastAsia="仿宋_GB2312"/>
          <w:szCs w:val="32"/>
          <w:lang w:val="en-US" w:eastAsia="zh-CN"/>
        </w:rPr>
        <w:t>3709.22</w:t>
      </w:r>
      <w:r>
        <w:rPr>
          <w:rFonts w:hint="eastAsia" w:ascii="仿宋_GB2312" w:eastAsia="仿宋_GB2312"/>
          <w:szCs w:val="32"/>
        </w:rPr>
        <w:t>万元，包括人员经费和公用经费，支出具体情况如下：</w:t>
      </w:r>
    </w:p>
    <w:p>
      <w:pPr>
        <w:spacing w:line="580" w:lineRule="exact"/>
        <w:ind w:firstLine="640" w:firstLineChars="200"/>
        <w:rPr>
          <w:rFonts w:hint="eastAsia" w:ascii="仿宋_GB2312" w:eastAsia="仿宋_GB2312"/>
          <w:szCs w:val="32"/>
          <w:highlight w:val="none"/>
          <w:lang w:eastAsia="zh-CN"/>
        </w:rPr>
      </w:pPr>
      <w:r>
        <w:rPr>
          <w:rFonts w:hint="eastAsia" w:ascii="仿宋_GB2312" w:eastAsia="仿宋_GB2312"/>
          <w:szCs w:val="32"/>
        </w:rPr>
        <w:t>人员经费</w:t>
      </w:r>
      <w:r>
        <w:rPr>
          <w:rFonts w:hint="eastAsia" w:ascii="仿宋_GB2312" w:eastAsia="仿宋_GB2312"/>
          <w:szCs w:val="32"/>
          <w:lang w:val="en-US" w:eastAsia="zh-CN"/>
        </w:rPr>
        <w:t>3531.08</w:t>
      </w:r>
      <w:r>
        <w:rPr>
          <w:rFonts w:hint="eastAsia" w:ascii="仿宋_GB2312" w:eastAsia="仿宋_GB2312"/>
          <w:szCs w:val="32"/>
        </w:rPr>
        <w:t>万元，主要包</w:t>
      </w:r>
      <w:r>
        <w:rPr>
          <w:rFonts w:hint="eastAsia" w:ascii="仿宋_GB2312" w:eastAsia="仿宋_GB2312"/>
          <w:szCs w:val="32"/>
          <w:highlight w:val="none"/>
        </w:rPr>
        <w:t>括：基本工资、津贴补贴、奖金、</w:t>
      </w:r>
      <w:r>
        <w:rPr>
          <w:rFonts w:hint="eastAsia" w:ascii="仿宋_GB2312" w:eastAsia="仿宋_GB2312"/>
          <w:szCs w:val="32"/>
          <w:highlight w:val="none"/>
          <w:lang w:val="en-US" w:eastAsia="zh-CN"/>
        </w:rPr>
        <w:t>伙食补助费、</w:t>
      </w:r>
      <w:r>
        <w:rPr>
          <w:rFonts w:hint="eastAsia" w:ascii="仿宋_GB2312" w:eastAsia="仿宋_GB2312"/>
          <w:szCs w:val="32"/>
          <w:highlight w:val="none"/>
        </w:rPr>
        <w:t>绩效工资、机关事业单位基本养老保险缴费、职业年金缴费、住房公积金、其他社会保障缴费、其他工资福利支出</w:t>
      </w:r>
      <w:r>
        <w:rPr>
          <w:rFonts w:hint="eastAsia" w:ascii="仿宋_GB2312" w:eastAsia="仿宋_GB2312"/>
          <w:szCs w:val="32"/>
          <w:highlight w:val="none"/>
          <w:lang w:eastAsia="zh-CN"/>
        </w:rPr>
        <w:t>。</w:t>
      </w:r>
    </w:p>
    <w:p>
      <w:pPr>
        <w:spacing w:line="580" w:lineRule="exact"/>
        <w:ind w:firstLine="640" w:firstLineChars="200"/>
        <w:rPr>
          <w:rFonts w:hint="eastAsia" w:ascii="仿宋_GB2312" w:eastAsia="仿宋_GB2312"/>
          <w:b/>
          <w:szCs w:val="32"/>
          <w:highlight w:val="none"/>
          <w:lang w:val="en-US" w:eastAsia="zh-CN"/>
        </w:rPr>
      </w:pPr>
      <w:r>
        <w:rPr>
          <w:rFonts w:hint="eastAsia" w:ascii="仿宋_GB2312" w:eastAsia="仿宋_GB2312"/>
          <w:szCs w:val="32"/>
          <w:highlight w:val="none"/>
        </w:rPr>
        <w:t>公用经费</w:t>
      </w:r>
      <w:r>
        <w:rPr>
          <w:rFonts w:hint="eastAsia" w:ascii="仿宋_GB2312" w:eastAsia="仿宋_GB2312"/>
          <w:szCs w:val="32"/>
          <w:highlight w:val="none"/>
          <w:lang w:val="en-US" w:eastAsia="zh-CN"/>
        </w:rPr>
        <w:t>178.14</w:t>
      </w:r>
      <w:r>
        <w:rPr>
          <w:rFonts w:hint="eastAsia" w:ascii="仿宋_GB2312" w:eastAsia="仿宋_GB2312"/>
          <w:szCs w:val="32"/>
          <w:highlight w:val="none"/>
        </w:rPr>
        <w:t>万元，主要包括：办公费、咨询费、邮电费、差旅费、维修（护）费、培训费、公务接待费、工会经费、公务用车运行维护费、其他交通费用、其他商品和服务支出、办公设备购置。</w:t>
      </w:r>
      <w:r>
        <w:rPr>
          <w:rFonts w:hint="eastAsia" w:ascii="仿宋_GB2312" w:eastAsia="仿宋_GB2312"/>
          <w:b/>
          <w:szCs w:val="32"/>
          <w:highlight w:val="none"/>
          <w:lang w:val="en-US" w:eastAsia="zh-CN"/>
        </w:rPr>
        <w:t xml:space="preserve"> </w:t>
      </w:r>
    </w:p>
    <w:p>
      <w:pPr>
        <w:spacing w:line="580" w:lineRule="exact"/>
        <w:ind w:firstLine="640" w:firstLineChars="200"/>
        <w:rPr>
          <w:rFonts w:hint="eastAsia" w:ascii="黑体" w:hAnsi="黑体" w:eastAsia="黑体"/>
          <w:szCs w:val="32"/>
        </w:rPr>
      </w:pPr>
      <w:r>
        <w:rPr>
          <w:rFonts w:hint="eastAsia" w:ascii="黑体" w:hAnsi="黑体" w:eastAsia="黑体"/>
          <w:szCs w:val="32"/>
        </w:rPr>
        <w:t>七、一般公共预算财政拨款“三公”经费支出决算情况说明</w:t>
      </w:r>
    </w:p>
    <w:p>
      <w:pPr>
        <w:spacing w:line="580" w:lineRule="exact"/>
        <w:ind w:firstLine="640" w:firstLineChars="200"/>
        <w:rPr>
          <w:rFonts w:hint="eastAsia" w:ascii="楷体_GB2312" w:eastAsia="楷体_GB2312"/>
          <w:szCs w:val="32"/>
        </w:rPr>
      </w:pPr>
      <w:r>
        <w:rPr>
          <w:rFonts w:hint="eastAsia" w:ascii="楷体_GB2312" w:eastAsia="楷体_GB2312"/>
          <w:szCs w:val="32"/>
        </w:rPr>
        <w:t>（一）“三公”经费支出决算总体情况说明</w:t>
      </w:r>
    </w:p>
    <w:p>
      <w:pPr>
        <w:spacing w:line="580" w:lineRule="exact"/>
        <w:ind w:firstLine="640" w:firstLineChars="200"/>
        <w:rPr>
          <w:rFonts w:hint="default" w:ascii="仿宋_GB2312" w:eastAsia="仿宋_GB2312"/>
          <w:szCs w:val="32"/>
          <w:lang w:val="en-US" w:eastAsia="zh-CN"/>
        </w:rPr>
      </w:pPr>
      <w:r>
        <w:rPr>
          <w:rFonts w:hint="eastAsia" w:ascii="仿宋_GB2312" w:eastAsia="仿宋_GB2312"/>
          <w:szCs w:val="32"/>
        </w:rPr>
        <w:t>2020年度一般公共预算财政拨款“三公”经费支出年初预算为</w:t>
      </w:r>
      <w:r>
        <w:rPr>
          <w:rFonts w:hint="eastAsia" w:ascii="仿宋_GB2312" w:eastAsia="仿宋_GB2312"/>
          <w:szCs w:val="32"/>
          <w:lang w:val="en-US" w:eastAsia="zh-CN"/>
        </w:rPr>
        <w:t>14.22</w:t>
      </w:r>
      <w:r>
        <w:rPr>
          <w:rFonts w:hint="eastAsia" w:ascii="仿宋_GB2312" w:eastAsia="仿宋_GB2312"/>
          <w:szCs w:val="32"/>
        </w:rPr>
        <w:t>万元，支出决算为</w:t>
      </w:r>
      <w:r>
        <w:rPr>
          <w:rFonts w:hint="eastAsia" w:ascii="仿宋_GB2312" w:eastAsia="仿宋_GB2312"/>
          <w:szCs w:val="32"/>
          <w:lang w:val="en-US" w:eastAsia="zh-CN"/>
        </w:rPr>
        <w:t>3.52</w:t>
      </w:r>
      <w:r>
        <w:rPr>
          <w:rFonts w:hint="eastAsia" w:ascii="仿宋_GB2312" w:eastAsia="仿宋_GB2312"/>
          <w:szCs w:val="32"/>
        </w:rPr>
        <w:t>万元，比年初预算</w:t>
      </w:r>
      <w:r>
        <w:rPr>
          <w:rFonts w:hint="eastAsia" w:ascii="仿宋_GB2312" w:eastAsia="仿宋_GB2312"/>
          <w:szCs w:val="32"/>
          <w:lang w:val="en-US" w:eastAsia="zh-CN"/>
        </w:rPr>
        <w:t>减少10.7</w:t>
      </w:r>
      <w:r>
        <w:rPr>
          <w:rFonts w:hint="eastAsia" w:ascii="仿宋_GB2312" w:eastAsia="仿宋_GB2312"/>
          <w:szCs w:val="32"/>
        </w:rPr>
        <w:t>万元，完成年初预算的</w:t>
      </w:r>
      <w:r>
        <w:rPr>
          <w:rFonts w:hint="eastAsia" w:ascii="仿宋_GB2312" w:eastAsia="仿宋_GB2312"/>
          <w:szCs w:val="32"/>
          <w:lang w:val="en-US" w:eastAsia="zh-CN"/>
        </w:rPr>
        <w:t>24.75</w:t>
      </w:r>
      <w:r>
        <w:rPr>
          <w:rFonts w:hint="eastAsia" w:ascii="仿宋_GB2312" w:eastAsia="仿宋_GB2312"/>
          <w:szCs w:val="32"/>
        </w:rPr>
        <w:t>%， 决算数小于年初预算数的主要原因</w:t>
      </w:r>
      <w:r>
        <w:rPr>
          <w:rFonts w:hint="eastAsia" w:ascii="仿宋_GB2312" w:eastAsia="仿宋_GB2312"/>
          <w:szCs w:val="32"/>
          <w:lang w:val="en-US" w:eastAsia="zh-CN"/>
        </w:rPr>
        <w:t>一</w:t>
      </w:r>
      <w:r>
        <w:rPr>
          <w:rFonts w:hint="eastAsia" w:ascii="仿宋_GB2312" w:eastAsia="仿宋_GB2312"/>
          <w:szCs w:val="32"/>
        </w:rPr>
        <w:t>是</w:t>
      </w:r>
      <w:r>
        <w:rPr>
          <w:rFonts w:hint="eastAsia" w:ascii="仿宋_GB2312" w:eastAsia="仿宋_GB2312"/>
          <w:szCs w:val="32"/>
          <w:lang w:val="en-US" w:eastAsia="zh-CN"/>
        </w:rPr>
        <w:t>因受疫情影响年初安排的因公出国未能成行，二是2020年减少了汽油采购，用以前年度油卡剩余金额弥补了减少采购部分。</w:t>
      </w:r>
    </w:p>
    <w:p>
      <w:pPr>
        <w:spacing w:line="580" w:lineRule="exact"/>
        <w:ind w:firstLine="640" w:firstLineChars="200"/>
        <w:rPr>
          <w:rFonts w:hint="eastAsia" w:ascii="楷体_GB2312" w:eastAsia="楷体_GB2312"/>
          <w:szCs w:val="32"/>
        </w:rPr>
      </w:pPr>
      <w:r>
        <w:rPr>
          <w:rFonts w:hint="eastAsia" w:ascii="楷体_GB2312" w:eastAsia="楷体_GB2312"/>
          <w:szCs w:val="32"/>
        </w:rPr>
        <w:t>（二）“三公”经费支出决算具体情况</w:t>
      </w:r>
    </w:p>
    <w:p>
      <w:pPr>
        <w:spacing w:line="580" w:lineRule="exact"/>
        <w:ind w:firstLine="640" w:firstLineChars="200"/>
        <w:rPr>
          <w:rFonts w:hint="eastAsia" w:ascii="仿宋_GB2312" w:eastAsia="仿宋_GB2312"/>
          <w:b/>
          <w:szCs w:val="32"/>
        </w:rPr>
      </w:pPr>
      <w:r>
        <w:rPr>
          <w:rFonts w:hint="eastAsia" w:ascii="仿宋_GB2312" w:eastAsia="仿宋_GB2312"/>
          <w:szCs w:val="32"/>
        </w:rPr>
        <w:t>1、因公出国（境）费年初预算为</w:t>
      </w:r>
      <w:r>
        <w:rPr>
          <w:rFonts w:hint="eastAsia" w:ascii="仿宋_GB2312" w:eastAsia="仿宋_GB2312"/>
          <w:szCs w:val="32"/>
          <w:lang w:val="en-US" w:eastAsia="zh-CN"/>
        </w:rPr>
        <w:t>4.5</w:t>
      </w:r>
      <w:r>
        <w:rPr>
          <w:rFonts w:hint="eastAsia" w:ascii="仿宋_GB2312" w:eastAsia="仿宋_GB2312"/>
          <w:szCs w:val="32"/>
        </w:rPr>
        <w:t>万元，支出决算为</w:t>
      </w:r>
      <w:r>
        <w:rPr>
          <w:rFonts w:hint="eastAsia" w:ascii="仿宋_GB2312" w:eastAsia="仿宋_GB2312"/>
          <w:szCs w:val="32"/>
          <w:lang w:val="en-US" w:eastAsia="zh-CN"/>
        </w:rPr>
        <w:t>0</w:t>
      </w:r>
      <w:r>
        <w:rPr>
          <w:rFonts w:hint="eastAsia" w:ascii="仿宋_GB2312" w:eastAsia="仿宋_GB2312"/>
          <w:szCs w:val="32"/>
        </w:rPr>
        <w:t>万元，比年初预算减少</w:t>
      </w:r>
      <w:r>
        <w:rPr>
          <w:rFonts w:hint="eastAsia" w:ascii="仿宋_GB2312" w:eastAsia="仿宋_GB2312"/>
          <w:szCs w:val="32"/>
          <w:lang w:val="en-US" w:eastAsia="zh-CN"/>
        </w:rPr>
        <w:t>4.5</w:t>
      </w:r>
      <w:r>
        <w:rPr>
          <w:rFonts w:hint="eastAsia" w:ascii="仿宋_GB2312" w:eastAsia="仿宋_GB2312"/>
          <w:szCs w:val="32"/>
        </w:rPr>
        <w:t>万元，完成年初预算的</w:t>
      </w:r>
      <w:r>
        <w:rPr>
          <w:rFonts w:hint="eastAsia" w:ascii="仿宋_GB2312" w:eastAsia="仿宋_GB2312"/>
          <w:szCs w:val="32"/>
          <w:lang w:val="en-US" w:eastAsia="zh-CN"/>
        </w:rPr>
        <w:t>0</w:t>
      </w:r>
      <w:r>
        <w:rPr>
          <w:rFonts w:hint="eastAsia" w:ascii="仿宋_GB2312" w:eastAsia="仿宋_GB2312"/>
          <w:szCs w:val="32"/>
        </w:rPr>
        <w:t>%， 决算数小于年初预算数的主要原因是</w:t>
      </w:r>
      <w:r>
        <w:rPr>
          <w:rFonts w:hint="eastAsia" w:ascii="仿宋_GB2312" w:eastAsia="仿宋_GB2312"/>
          <w:szCs w:val="32"/>
          <w:lang w:val="en-US" w:eastAsia="zh-CN"/>
        </w:rPr>
        <w:t>受疫情影响年初安排的因公出国未能成</w:t>
      </w:r>
      <w:r>
        <w:rPr>
          <w:rFonts w:hint="eastAsia" w:ascii="仿宋_GB2312" w:eastAsia="仿宋_GB2312"/>
          <w:szCs w:val="32"/>
          <w:highlight w:val="none"/>
          <w:lang w:val="en-US" w:eastAsia="zh-CN"/>
        </w:rPr>
        <w:t>行</w:t>
      </w:r>
      <w:r>
        <w:rPr>
          <w:rFonts w:hint="eastAsia" w:ascii="仿宋_GB2312" w:eastAsia="仿宋_GB2312"/>
          <w:szCs w:val="32"/>
          <w:highlight w:val="none"/>
        </w:rPr>
        <w:t>。</w:t>
      </w:r>
    </w:p>
    <w:p>
      <w:pPr>
        <w:spacing w:line="580" w:lineRule="exact"/>
        <w:ind w:firstLine="640" w:firstLineChars="200"/>
        <w:rPr>
          <w:rFonts w:hint="eastAsia" w:ascii="仿宋_GB2312" w:eastAsia="仿宋_GB2312"/>
          <w:szCs w:val="32"/>
        </w:rPr>
      </w:pPr>
      <w:r>
        <w:rPr>
          <w:rFonts w:hint="eastAsia" w:ascii="仿宋_GB2312" w:eastAsia="仿宋_GB2312"/>
          <w:szCs w:val="32"/>
        </w:rPr>
        <w:t>2、公务用车购置及运行维护费年初预算为</w:t>
      </w:r>
      <w:r>
        <w:rPr>
          <w:rFonts w:hint="eastAsia" w:ascii="仿宋_GB2312" w:eastAsia="仿宋_GB2312"/>
          <w:szCs w:val="32"/>
          <w:lang w:val="en-US" w:eastAsia="zh-CN"/>
        </w:rPr>
        <w:t>9.72</w:t>
      </w:r>
      <w:r>
        <w:rPr>
          <w:rFonts w:hint="eastAsia" w:ascii="仿宋_GB2312" w:eastAsia="仿宋_GB2312"/>
          <w:szCs w:val="32"/>
        </w:rPr>
        <w:t>万元，支出决算为</w:t>
      </w:r>
      <w:r>
        <w:rPr>
          <w:rFonts w:hint="eastAsia" w:ascii="仿宋_GB2312" w:eastAsia="仿宋_GB2312"/>
          <w:szCs w:val="32"/>
          <w:lang w:val="en-US" w:eastAsia="zh-CN"/>
        </w:rPr>
        <w:t>2.61</w:t>
      </w:r>
      <w:r>
        <w:rPr>
          <w:rFonts w:hint="eastAsia" w:ascii="仿宋_GB2312" w:eastAsia="仿宋_GB2312"/>
          <w:szCs w:val="32"/>
        </w:rPr>
        <w:t>万元，比年初预算减少</w:t>
      </w:r>
      <w:r>
        <w:rPr>
          <w:rFonts w:hint="eastAsia" w:ascii="仿宋_GB2312" w:eastAsia="仿宋_GB2312"/>
          <w:szCs w:val="32"/>
          <w:lang w:val="en-US" w:eastAsia="zh-CN"/>
        </w:rPr>
        <w:t>7.11</w:t>
      </w:r>
      <w:r>
        <w:rPr>
          <w:rFonts w:hint="eastAsia" w:ascii="仿宋_GB2312" w:eastAsia="仿宋_GB2312"/>
          <w:szCs w:val="32"/>
        </w:rPr>
        <w:t>万元，完成年初预算的</w:t>
      </w:r>
      <w:r>
        <w:rPr>
          <w:rFonts w:hint="eastAsia" w:ascii="仿宋_GB2312" w:eastAsia="仿宋_GB2312"/>
          <w:szCs w:val="32"/>
          <w:lang w:val="en-US" w:eastAsia="zh-CN"/>
        </w:rPr>
        <w:t>26.85</w:t>
      </w:r>
      <w:r>
        <w:rPr>
          <w:rFonts w:hint="eastAsia" w:ascii="仿宋_GB2312" w:eastAsia="仿宋_GB2312"/>
          <w:szCs w:val="32"/>
        </w:rPr>
        <w:t>%， 决算数小于年初预算数的主要原因是</w:t>
      </w:r>
      <w:r>
        <w:rPr>
          <w:rFonts w:hint="eastAsia" w:ascii="仿宋_GB2312" w:eastAsia="仿宋_GB2312"/>
          <w:szCs w:val="32"/>
          <w:lang w:val="en-US" w:eastAsia="zh-CN"/>
        </w:rPr>
        <w:t>2020年减少了汽油采购，用以前年度油卡剩余金额弥补了减少采购部分</w:t>
      </w:r>
      <w:r>
        <w:rPr>
          <w:rFonts w:hint="eastAsia" w:ascii="仿宋_GB2312" w:eastAsia="仿宋_GB2312"/>
          <w:szCs w:val="32"/>
        </w:rPr>
        <w:t>。其中：</w:t>
      </w:r>
    </w:p>
    <w:p>
      <w:pPr>
        <w:spacing w:line="580" w:lineRule="exact"/>
        <w:ind w:firstLine="640" w:firstLineChars="200"/>
        <w:rPr>
          <w:rFonts w:hint="eastAsia" w:ascii="仿宋_GB2312" w:eastAsia="仿宋_GB2312"/>
          <w:szCs w:val="32"/>
        </w:rPr>
      </w:pPr>
      <w:r>
        <w:rPr>
          <w:rFonts w:hint="eastAsia" w:ascii="仿宋_GB2312" w:eastAsia="仿宋_GB2312"/>
          <w:szCs w:val="32"/>
        </w:rPr>
        <w:t>公务用车购置费支出</w:t>
      </w:r>
      <w:r>
        <w:rPr>
          <w:rFonts w:hint="eastAsia" w:ascii="仿宋_GB2312" w:eastAsia="仿宋_GB2312"/>
          <w:szCs w:val="32"/>
          <w:lang w:val="en-US" w:eastAsia="zh-CN"/>
        </w:rPr>
        <w:t>0</w:t>
      </w:r>
      <w:r>
        <w:rPr>
          <w:rFonts w:hint="eastAsia" w:ascii="仿宋_GB2312" w:eastAsia="仿宋_GB2312"/>
          <w:szCs w:val="32"/>
        </w:rPr>
        <w:t>万元，2020年</w:t>
      </w:r>
      <w:r>
        <w:rPr>
          <w:rFonts w:hint="eastAsia" w:ascii="仿宋_GB2312" w:eastAsia="仿宋_GB2312"/>
          <w:szCs w:val="32"/>
          <w:lang w:val="en-US" w:eastAsia="zh-CN"/>
        </w:rPr>
        <w:t>我局未</w:t>
      </w:r>
      <w:r>
        <w:rPr>
          <w:rFonts w:hint="eastAsia" w:ascii="仿宋_GB2312" w:eastAsia="仿宋_GB2312"/>
          <w:szCs w:val="32"/>
        </w:rPr>
        <w:t>购置公务用车。</w:t>
      </w:r>
    </w:p>
    <w:p>
      <w:pPr>
        <w:spacing w:line="580" w:lineRule="exact"/>
        <w:ind w:firstLine="640" w:firstLineChars="200"/>
        <w:rPr>
          <w:rFonts w:hint="eastAsia" w:ascii="仿宋_GB2312" w:eastAsia="仿宋_GB2312"/>
          <w:szCs w:val="32"/>
        </w:rPr>
      </w:pPr>
      <w:r>
        <w:rPr>
          <w:rFonts w:hint="eastAsia" w:ascii="仿宋_GB2312" w:eastAsia="仿宋_GB2312"/>
          <w:szCs w:val="32"/>
        </w:rPr>
        <w:t>公务用车运行维护费</w:t>
      </w:r>
      <w:r>
        <w:rPr>
          <w:rFonts w:hint="eastAsia" w:ascii="仿宋_GB2312" w:eastAsia="仿宋_GB2312"/>
          <w:szCs w:val="32"/>
          <w:lang w:val="en-US" w:eastAsia="zh-CN"/>
        </w:rPr>
        <w:t>2.61</w:t>
      </w:r>
      <w:r>
        <w:rPr>
          <w:rFonts w:hint="eastAsia" w:ascii="仿宋_GB2312" w:eastAsia="仿宋_GB2312"/>
          <w:szCs w:val="32"/>
        </w:rPr>
        <w:t>万元，主要是按规定保留的公务用车的燃料费、维修费、过桥过路费、保险费等支出。截至2020年12月31日，</w:t>
      </w:r>
      <w:r>
        <w:rPr>
          <w:rFonts w:hint="eastAsia" w:ascii="仿宋_GB2312" w:eastAsia="仿宋_GB2312"/>
          <w:szCs w:val="32"/>
          <w:lang w:val="en-US" w:eastAsia="zh-CN"/>
        </w:rPr>
        <w:t>我局</w:t>
      </w:r>
      <w:r>
        <w:rPr>
          <w:rFonts w:hint="eastAsia" w:ascii="仿宋_GB2312" w:eastAsia="仿宋_GB2312"/>
          <w:szCs w:val="32"/>
        </w:rPr>
        <w:t>财政拨款开支运行维护费的公务用车保有量为</w:t>
      </w:r>
      <w:r>
        <w:rPr>
          <w:rFonts w:hint="eastAsia" w:ascii="仿宋_GB2312" w:eastAsia="仿宋_GB2312"/>
          <w:szCs w:val="32"/>
          <w:lang w:val="en-US" w:eastAsia="zh-CN"/>
        </w:rPr>
        <w:t>3</w:t>
      </w:r>
      <w:r>
        <w:rPr>
          <w:rFonts w:hint="eastAsia" w:ascii="仿宋_GB2312" w:eastAsia="仿宋_GB2312"/>
          <w:szCs w:val="32"/>
        </w:rPr>
        <w:t>辆。</w:t>
      </w:r>
    </w:p>
    <w:p>
      <w:pPr>
        <w:spacing w:line="580" w:lineRule="exact"/>
        <w:ind w:firstLine="640" w:firstLineChars="200"/>
        <w:rPr>
          <w:rFonts w:hint="eastAsia" w:ascii="仿宋_GB2312" w:eastAsia="仿宋_GB2312"/>
          <w:szCs w:val="32"/>
        </w:rPr>
      </w:pPr>
      <w:r>
        <w:rPr>
          <w:rFonts w:hint="eastAsia" w:ascii="仿宋_GB2312" w:eastAsia="仿宋_GB2312"/>
          <w:szCs w:val="32"/>
        </w:rPr>
        <w:t>3、公务接待费年初预算为</w:t>
      </w:r>
      <w:r>
        <w:rPr>
          <w:rFonts w:hint="eastAsia" w:ascii="仿宋_GB2312" w:eastAsia="仿宋_GB2312"/>
          <w:szCs w:val="32"/>
          <w:lang w:val="en-US" w:eastAsia="zh-CN"/>
        </w:rPr>
        <w:t>0</w:t>
      </w:r>
      <w:r>
        <w:rPr>
          <w:rFonts w:hint="eastAsia" w:ascii="仿宋_GB2312" w:eastAsia="仿宋_GB2312"/>
          <w:szCs w:val="32"/>
        </w:rPr>
        <w:t>万元，支出决算为</w:t>
      </w:r>
      <w:r>
        <w:rPr>
          <w:rFonts w:hint="eastAsia" w:ascii="仿宋_GB2312" w:eastAsia="仿宋_GB2312"/>
          <w:szCs w:val="32"/>
          <w:lang w:val="en-US" w:eastAsia="zh-CN"/>
        </w:rPr>
        <w:t>0.91</w:t>
      </w:r>
      <w:r>
        <w:rPr>
          <w:rFonts w:hint="eastAsia" w:ascii="仿宋_GB2312" w:eastAsia="仿宋_GB2312"/>
          <w:szCs w:val="32"/>
        </w:rPr>
        <w:t>万元，比年初预算增加</w:t>
      </w:r>
      <w:r>
        <w:rPr>
          <w:rFonts w:hint="eastAsia" w:ascii="仿宋_GB2312" w:eastAsia="仿宋_GB2312"/>
          <w:szCs w:val="32"/>
          <w:lang w:val="en-US" w:eastAsia="zh-CN"/>
        </w:rPr>
        <w:t>0.91</w:t>
      </w:r>
      <w:r>
        <w:rPr>
          <w:rFonts w:hint="eastAsia" w:ascii="仿宋_GB2312" w:eastAsia="仿宋_GB2312"/>
          <w:szCs w:val="32"/>
        </w:rPr>
        <w:t>万元</w:t>
      </w:r>
      <w:r>
        <w:rPr>
          <w:rFonts w:hint="eastAsia" w:ascii="仿宋_GB2312" w:eastAsia="仿宋_GB2312"/>
          <w:szCs w:val="32"/>
          <w:lang w:eastAsia="zh-CN"/>
        </w:rPr>
        <w:t>，</w:t>
      </w:r>
      <w:r>
        <w:rPr>
          <w:rFonts w:hint="eastAsia" w:ascii="仿宋_GB2312" w:eastAsia="仿宋_GB2312"/>
          <w:szCs w:val="32"/>
        </w:rPr>
        <w:t>决算数大于年初预算数的主要原因是</w:t>
      </w:r>
      <w:r>
        <w:rPr>
          <w:rFonts w:hint="eastAsia" w:ascii="仿宋_GB2312" w:eastAsia="仿宋_GB2312"/>
          <w:szCs w:val="32"/>
          <w:lang w:val="en-US" w:eastAsia="zh-CN"/>
        </w:rPr>
        <w:t>我局本着节约的原则年初未安排公务接待费预算。</w:t>
      </w:r>
      <w:r>
        <w:rPr>
          <w:rFonts w:hint="eastAsia" w:ascii="仿宋_GB2312" w:eastAsia="仿宋_GB2312"/>
          <w:szCs w:val="32"/>
        </w:rPr>
        <w:t>其中：</w:t>
      </w:r>
    </w:p>
    <w:p>
      <w:pPr>
        <w:spacing w:line="580" w:lineRule="exact"/>
        <w:ind w:firstLine="640" w:firstLineChars="200"/>
        <w:rPr>
          <w:rFonts w:hint="eastAsia" w:ascii="仿宋_GB2312" w:eastAsia="仿宋_GB2312"/>
          <w:szCs w:val="32"/>
        </w:rPr>
      </w:pPr>
      <w:r>
        <w:rPr>
          <w:rFonts w:hint="eastAsia" w:ascii="仿宋_GB2312" w:eastAsia="仿宋_GB2312"/>
          <w:szCs w:val="32"/>
        </w:rPr>
        <w:t>国内接待费</w:t>
      </w:r>
      <w:r>
        <w:rPr>
          <w:rFonts w:hint="eastAsia" w:ascii="仿宋_GB2312" w:eastAsia="仿宋_GB2312"/>
          <w:szCs w:val="32"/>
          <w:lang w:val="en-US" w:eastAsia="zh-CN"/>
        </w:rPr>
        <w:t>0.91</w:t>
      </w:r>
      <w:r>
        <w:rPr>
          <w:rFonts w:hint="eastAsia" w:ascii="仿宋_GB2312" w:eastAsia="仿宋_GB2312"/>
          <w:szCs w:val="32"/>
        </w:rPr>
        <w:t>万元，</w:t>
      </w:r>
      <w:r>
        <w:rPr>
          <w:rFonts w:hint="eastAsia" w:ascii="仿宋_GB2312" w:eastAsia="仿宋_GB2312"/>
          <w:sz w:val="32"/>
          <w:szCs w:val="32"/>
        </w:rPr>
        <w:t>主要用于</w:t>
      </w:r>
      <w:r>
        <w:rPr>
          <w:rFonts w:hint="eastAsia" w:ascii="仿宋_GB2312" w:eastAsia="仿宋_GB2312"/>
          <w:sz w:val="32"/>
          <w:szCs w:val="32"/>
          <w:lang w:val="en-US" w:eastAsia="zh-CN"/>
        </w:rPr>
        <w:t>我局按规定开支的各类公务接待</w:t>
      </w:r>
      <w:r>
        <w:rPr>
          <w:rFonts w:hint="eastAsia" w:ascii="仿宋_GB2312" w:eastAsia="仿宋_GB2312"/>
          <w:szCs w:val="32"/>
        </w:rPr>
        <w:t>，共计接待</w:t>
      </w:r>
      <w:r>
        <w:rPr>
          <w:rFonts w:hint="eastAsia" w:ascii="仿宋_GB2312" w:eastAsia="仿宋_GB2312"/>
          <w:szCs w:val="32"/>
          <w:lang w:val="en-US" w:eastAsia="zh-CN"/>
        </w:rPr>
        <w:t>3</w:t>
      </w:r>
      <w:r>
        <w:rPr>
          <w:rFonts w:hint="eastAsia" w:ascii="仿宋_GB2312" w:eastAsia="仿宋_GB2312"/>
          <w:szCs w:val="32"/>
        </w:rPr>
        <w:t>批次、</w:t>
      </w:r>
      <w:r>
        <w:rPr>
          <w:rFonts w:hint="eastAsia" w:ascii="仿宋_GB2312" w:eastAsia="仿宋_GB2312"/>
          <w:szCs w:val="32"/>
          <w:lang w:val="en-US" w:eastAsia="zh-CN"/>
        </w:rPr>
        <w:t>114</w:t>
      </w:r>
      <w:r>
        <w:rPr>
          <w:rFonts w:hint="eastAsia" w:ascii="仿宋_GB2312" w:eastAsia="仿宋_GB2312"/>
          <w:szCs w:val="32"/>
        </w:rPr>
        <w:t>人次；</w:t>
      </w:r>
    </w:p>
    <w:p>
      <w:pPr>
        <w:spacing w:line="580" w:lineRule="exact"/>
        <w:ind w:firstLine="640" w:firstLineChars="200"/>
        <w:rPr>
          <w:rFonts w:hint="eastAsia" w:ascii="仿宋_GB2312" w:eastAsia="仿宋_GB2312"/>
          <w:szCs w:val="32"/>
        </w:rPr>
      </w:pPr>
      <w:r>
        <w:rPr>
          <w:rFonts w:hint="eastAsia" w:ascii="仿宋_GB2312" w:eastAsia="仿宋_GB2312"/>
          <w:szCs w:val="32"/>
        </w:rPr>
        <w:t>国（境）外接待费</w:t>
      </w:r>
      <w:r>
        <w:rPr>
          <w:rFonts w:hint="eastAsia" w:ascii="仿宋_GB2312" w:eastAsia="仿宋_GB2312"/>
          <w:szCs w:val="32"/>
          <w:lang w:val="en-US" w:eastAsia="zh-CN"/>
        </w:rPr>
        <w:t>0</w:t>
      </w:r>
      <w:r>
        <w:rPr>
          <w:rFonts w:hint="eastAsia" w:ascii="仿宋_GB2312" w:eastAsia="仿宋_GB2312"/>
          <w:szCs w:val="32"/>
        </w:rPr>
        <w:t>万元。</w:t>
      </w:r>
    </w:p>
    <w:p>
      <w:pPr>
        <w:spacing w:line="580" w:lineRule="exact"/>
        <w:ind w:firstLine="640" w:firstLineChars="200"/>
        <w:rPr>
          <w:rFonts w:hint="eastAsia" w:ascii="黑体" w:hAnsi="黑体" w:eastAsia="黑体"/>
          <w:szCs w:val="32"/>
        </w:rPr>
      </w:pPr>
      <w:r>
        <w:rPr>
          <w:rFonts w:hint="eastAsia" w:ascii="黑体" w:hAnsi="黑体" w:eastAsia="黑体"/>
          <w:szCs w:val="32"/>
        </w:rPr>
        <w:t>八、政府性基金预算财政拨款收入支出决算情况说明</w:t>
      </w:r>
    </w:p>
    <w:p>
      <w:pPr>
        <w:spacing w:line="580" w:lineRule="exact"/>
        <w:ind w:firstLine="640" w:firstLineChars="200"/>
        <w:rPr>
          <w:rFonts w:hint="eastAsia" w:ascii="仿宋_GB2312" w:eastAsia="仿宋_GB2312"/>
          <w:szCs w:val="32"/>
        </w:rPr>
      </w:pPr>
      <w:r>
        <w:rPr>
          <w:rFonts w:hint="eastAsia" w:ascii="仿宋_GB2312" w:eastAsia="仿宋_GB2312"/>
          <w:szCs w:val="32"/>
        </w:rPr>
        <w:t>2020年度政府性基金预算财政拨款年初结转和结余</w:t>
      </w:r>
      <w:r>
        <w:rPr>
          <w:rFonts w:hint="eastAsia" w:ascii="仿宋_GB2312" w:eastAsia="仿宋_GB2312"/>
          <w:szCs w:val="32"/>
          <w:lang w:val="en-US" w:eastAsia="zh-CN"/>
        </w:rPr>
        <w:t>0</w:t>
      </w:r>
      <w:r>
        <w:rPr>
          <w:rFonts w:hint="eastAsia" w:ascii="仿宋_GB2312" w:eastAsia="仿宋_GB2312"/>
          <w:szCs w:val="32"/>
        </w:rPr>
        <w:t>万元，本年收入</w:t>
      </w:r>
      <w:r>
        <w:rPr>
          <w:rFonts w:hint="eastAsia" w:ascii="仿宋_GB2312" w:eastAsia="仿宋_GB2312"/>
          <w:szCs w:val="32"/>
          <w:lang w:val="en-US" w:eastAsia="zh-CN"/>
        </w:rPr>
        <w:t>4.43</w:t>
      </w:r>
      <w:r>
        <w:rPr>
          <w:rFonts w:hint="eastAsia" w:ascii="仿宋_GB2312" w:eastAsia="仿宋_GB2312"/>
          <w:szCs w:val="32"/>
        </w:rPr>
        <w:t>万元，本年支出</w:t>
      </w:r>
      <w:r>
        <w:rPr>
          <w:rFonts w:hint="eastAsia" w:ascii="仿宋_GB2312" w:eastAsia="仿宋_GB2312"/>
          <w:szCs w:val="32"/>
          <w:lang w:val="en-US" w:eastAsia="zh-CN"/>
        </w:rPr>
        <w:t>4.43</w:t>
      </w:r>
      <w:r>
        <w:rPr>
          <w:rFonts w:hint="eastAsia" w:ascii="仿宋_GB2312" w:eastAsia="仿宋_GB2312"/>
          <w:szCs w:val="32"/>
        </w:rPr>
        <w:t>万元，年末结转和结余</w:t>
      </w:r>
      <w:r>
        <w:rPr>
          <w:rFonts w:hint="eastAsia" w:ascii="仿宋_GB2312" w:eastAsia="仿宋_GB2312"/>
          <w:szCs w:val="32"/>
          <w:lang w:val="en-US" w:eastAsia="zh-CN"/>
        </w:rPr>
        <w:t>0</w:t>
      </w:r>
      <w:r>
        <w:rPr>
          <w:rFonts w:hint="eastAsia" w:ascii="仿宋_GB2312" w:eastAsia="仿宋_GB2312"/>
          <w:szCs w:val="32"/>
        </w:rPr>
        <w:t>万元。支出具体情况如下：</w:t>
      </w:r>
    </w:p>
    <w:p>
      <w:pPr>
        <w:spacing w:line="580" w:lineRule="exact"/>
        <w:ind w:firstLine="640" w:firstLineChars="200"/>
        <w:rPr>
          <w:rFonts w:hint="eastAsia" w:ascii="仿宋_GB2312" w:eastAsia="仿宋_GB2312"/>
          <w:szCs w:val="32"/>
        </w:rPr>
      </w:pPr>
      <w:r>
        <w:rPr>
          <w:rFonts w:hint="eastAsia" w:ascii="仿宋_GB2312" w:eastAsia="仿宋_GB2312"/>
          <w:szCs w:val="32"/>
          <w:highlight w:val="none"/>
        </w:rPr>
        <w:t>（一）</w:t>
      </w:r>
      <w:r>
        <w:rPr>
          <w:rFonts w:hint="eastAsia" w:ascii="仿宋_GB2312" w:hAnsi="宋体" w:eastAsia="仿宋_GB2312" w:cs="Courier New"/>
          <w:szCs w:val="32"/>
          <w:highlight w:val="none"/>
          <w:lang w:val="en-US" w:eastAsia="zh-CN"/>
        </w:rPr>
        <w:t>城乡社区支出</w:t>
      </w:r>
      <w:r>
        <w:rPr>
          <w:rFonts w:hint="eastAsia" w:ascii="仿宋_GB2312" w:hAnsi="宋体" w:eastAsia="仿宋_GB2312" w:cs="Courier New"/>
          <w:szCs w:val="32"/>
          <w:highlight w:val="none"/>
        </w:rPr>
        <w:t>（类）</w:t>
      </w:r>
      <w:r>
        <w:rPr>
          <w:rFonts w:hint="eastAsia" w:ascii="仿宋_GB2312" w:hAnsi="宋体" w:eastAsia="仿宋_GB2312" w:cs="Courier New"/>
          <w:szCs w:val="32"/>
          <w:highlight w:val="none"/>
          <w:lang w:val="en-US" w:eastAsia="zh-CN"/>
        </w:rPr>
        <w:t>国有土地使用权出让收入安排的支出</w:t>
      </w:r>
      <w:r>
        <w:rPr>
          <w:rFonts w:hint="eastAsia" w:ascii="仿宋_GB2312" w:hAnsi="宋体" w:eastAsia="仿宋_GB2312" w:cs="Courier New"/>
          <w:szCs w:val="32"/>
          <w:highlight w:val="none"/>
        </w:rPr>
        <w:t>（款）</w:t>
      </w:r>
      <w:r>
        <w:rPr>
          <w:rFonts w:hint="eastAsia" w:ascii="仿宋_GB2312" w:hAnsi="宋体" w:eastAsia="仿宋_GB2312" w:cs="Courier New"/>
          <w:szCs w:val="32"/>
          <w:highlight w:val="none"/>
          <w:lang w:val="en-US" w:eastAsia="zh-CN"/>
        </w:rPr>
        <w:t>城市建设支出</w:t>
      </w:r>
      <w:r>
        <w:rPr>
          <w:rFonts w:hint="eastAsia" w:ascii="仿宋_GB2312" w:hAnsi="宋体" w:eastAsia="仿宋_GB2312" w:cs="Courier New"/>
          <w:szCs w:val="32"/>
          <w:highlight w:val="none"/>
        </w:rPr>
        <w:t>（项）。</w:t>
      </w:r>
      <w:r>
        <w:rPr>
          <w:rFonts w:hint="eastAsia" w:ascii="仿宋_GB2312" w:eastAsia="仿宋_GB2312"/>
          <w:szCs w:val="32"/>
          <w:highlight w:val="none"/>
        </w:rPr>
        <w:t>年初预</w:t>
      </w:r>
      <w:r>
        <w:rPr>
          <w:rFonts w:hint="eastAsia" w:ascii="仿宋_GB2312" w:eastAsia="仿宋_GB2312"/>
          <w:szCs w:val="32"/>
        </w:rPr>
        <w:t>算为</w:t>
      </w:r>
      <w:r>
        <w:rPr>
          <w:rFonts w:hint="eastAsia" w:ascii="仿宋_GB2312" w:eastAsia="仿宋_GB2312"/>
          <w:szCs w:val="32"/>
          <w:lang w:val="en-US" w:eastAsia="zh-CN"/>
        </w:rPr>
        <w:t>0</w:t>
      </w:r>
      <w:r>
        <w:rPr>
          <w:rFonts w:hint="eastAsia" w:ascii="仿宋_GB2312" w:eastAsia="仿宋_GB2312"/>
          <w:szCs w:val="32"/>
        </w:rPr>
        <w:t>万元，支出决算为</w:t>
      </w:r>
      <w:r>
        <w:rPr>
          <w:rFonts w:hint="eastAsia" w:ascii="仿宋_GB2312" w:eastAsia="仿宋_GB2312"/>
          <w:szCs w:val="32"/>
          <w:lang w:val="en-US" w:eastAsia="zh-CN"/>
        </w:rPr>
        <w:t>4.43</w:t>
      </w:r>
      <w:r>
        <w:rPr>
          <w:rFonts w:hint="eastAsia" w:ascii="仿宋_GB2312" w:eastAsia="仿宋_GB2312"/>
          <w:szCs w:val="32"/>
        </w:rPr>
        <w:t>万元</w:t>
      </w:r>
      <w:r>
        <w:rPr>
          <w:rFonts w:hint="eastAsia" w:ascii="仿宋_GB2312" w:eastAsia="仿宋_GB2312"/>
          <w:szCs w:val="32"/>
          <w:lang w:eastAsia="zh-CN"/>
        </w:rPr>
        <w:t>，</w:t>
      </w:r>
      <w:r>
        <w:rPr>
          <w:rFonts w:hint="eastAsia" w:ascii="仿宋_GB2312" w:eastAsia="仿宋_GB2312"/>
          <w:szCs w:val="32"/>
        </w:rPr>
        <w:t>决算数大于年初预算数主要原因是</w:t>
      </w:r>
      <w:r>
        <w:rPr>
          <w:rFonts w:hint="eastAsia" w:ascii="仿宋_GB2312" w:eastAsia="仿宋_GB2312"/>
          <w:szCs w:val="32"/>
          <w:lang w:val="en-US" w:eastAsia="zh-CN"/>
        </w:rPr>
        <w:t>2020年我局通过发改立项的固投项目完成拨款4.43万元</w:t>
      </w:r>
      <w:r>
        <w:rPr>
          <w:rFonts w:hint="eastAsia" w:ascii="仿宋_GB2312" w:eastAsia="仿宋_GB2312"/>
          <w:szCs w:val="32"/>
        </w:rPr>
        <w:t>。</w:t>
      </w:r>
    </w:p>
    <w:p>
      <w:pPr>
        <w:spacing w:line="580" w:lineRule="exact"/>
        <w:ind w:firstLine="640" w:firstLineChars="200"/>
        <w:rPr>
          <w:rFonts w:hint="eastAsia" w:ascii="黑体" w:hAnsi="黑体" w:eastAsia="黑体"/>
          <w:szCs w:val="32"/>
        </w:rPr>
      </w:pPr>
      <w:r>
        <w:rPr>
          <w:rFonts w:hint="eastAsia" w:ascii="黑体" w:hAnsi="黑体" w:eastAsia="黑体"/>
          <w:szCs w:val="32"/>
        </w:rPr>
        <w:t>九、国有资本经营预算财政拨款支出决算情况说明</w:t>
      </w:r>
    </w:p>
    <w:p>
      <w:pPr>
        <w:spacing w:line="580" w:lineRule="exact"/>
        <w:ind w:firstLine="640" w:firstLineChars="200"/>
        <w:rPr>
          <w:rFonts w:hint="eastAsia" w:ascii="仿宋_GB2312" w:hAnsi="宋体" w:eastAsia="仿宋_GB2312" w:cs="Courier New"/>
          <w:szCs w:val="32"/>
          <w:highlight w:val="none"/>
          <w:lang w:val="en-US" w:eastAsia="zh-CN"/>
        </w:rPr>
      </w:pPr>
      <w:r>
        <w:rPr>
          <w:rFonts w:hint="eastAsia" w:ascii="仿宋_GB2312" w:hAnsi="宋体" w:eastAsia="仿宋_GB2312" w:cs="Courier New"/>
          <w:szCs w:val="32"/>
          <w:highlight w:val="none"/>
          <w:lang w:val="en-US" w:eastAsia="zh-CN"/>
        </w:rPr>
        <w:t xml:space="preserve">本部门没有国有资本经营预算财政拨款支出。 </w:t>
      </w:r>
    </w:p>
    <w:p>
      <w:pPr>
        <w:spacing w:line="580" w:lineRule="exact"/>
        <w:ind w:firstLine="640" w:firstLineChars="200"/>
        <w:rPr>
          <w:rFonts w:hint="eastAsia" w:ascii="黑体" w:hAnsi="黑体" w:eastAsia="黑体"/>
          <w:szCs w:val="32"/>
        </w:rPr>
      </w:pPr>
      <w:r>
        <w:rPr>
          <w:rFonts w:hint="eastAsia" w:ascii="黑体" w:hAnsi="黑体" w:eastAsia="黑体"/>
          <w:szCs w:val="32"/>
        </w:rPr>
        <w:t xml:space="preserve">十、其他重要事项情况说明 </w:t>
      </w:r>
    </w:p>
    <w:p>
      <w:pPr>
        <w:spacing w:line="580" w:lineRule="exact"/>
        <w:ind w:firstLine="640" w:firstLineChars="200"/>
        <w:rPr>
          <w:rFonts w:hint="eastAsia" w:ascii="楷体_GB2312" w:eastAsia="楷体_GB2312"/>
          <w:szCs w:val="32"/>
        </w:rPr>
      </w:pPr>
      <w:r>
        <w:rPr>
          <w:rFonts w:hint="eastAsia" w:ascii="楷体_GB2312" w:eastAsia="楷体_GB2312"/>
          <w:szCs w:val="32"/>
        </w:rPr>
        <w:t>（一）机关运行经费支出情况</w:t>
      </w:r>
    </w:p>
    <w:p>
      <w:pPr>
        <w:spacing w:line="580" w:lineRule="exact"/>
        <w:ind w:firstLine="640" w:firstLineChars="200"/>
        <w:rPr>
          <w:rFonts w:hint="default" w:ascii="仿宋_GB2312" w:eastAsia="仿宋_GB2312"/>
          <w:b/>
          <w:szCs w:val="32"/>
          <w:lang w:val="en-US" w:eastAsia="zh-CN"/>
        </w:rPr>
      </w:pPr>
      <w:r>
        <w:rPr>
          <w:rFonts w:hint="eastAsia" w:ascii="仿宋_GB2312" w:eastAsia="仿宋_GB2312"/>
          <w:szCs w:val="32"/>
        </w:rPr>
        <w:t>2020年度机关运行经费支出</w:t>
      </w:r>
      <w:r>
        <w:rPr>
          <w:rFonts w:hint="eastAsia" w:ascii="仿宋_GB2312" w:eastAsia="仿宋_GB2312"/>
          <w:szCs w:val="32"/>
          <w:lang w:val="en-US" w:eastAsia="zh-CN"/>
        </w:rPr>
        <w:t>178.14</w:t>
      </w:r>
      <w:r>
        <w:rPr>
          <w:rFonts w:hint="eastAsia" w:ascii="仿宋_GB2312" w:eastAsia="仿宋_GB2312"/>
          <w:szCs w:val="32"/>
        </w:rPr>
        <w:t>万元</w:t>
      </w:r>
      <w:r>
        <w:rPr>
          <w:rFonts w:hint="eastAsia" w:ascii="仿宋_GB2312" w:hAnsi="宋体" w:eastAsia="仿宋_GB2312" w:cs="Courier New"/>
          <w:szCs w:val="32"/>
        </w:rPr>
        <w:t>，比年初预算数减少</w:t>
      </w:r>
      <w:r>
        <w:rPr>
          <w:rFonts w:hint="eastAsia" w:ascii="仿宋_GB2312" w:hAnsi="宋体" w:eastAsia="仿宋_GB2312" w:cs="Courier New"/>
          <w:szCs w:val="32"/>
          <w:lang w:val="en-US" w:eastAsia="zh-CN"/>
        </w:rPr>
        <w:t>3.34</w:t>
      </w:r>
      <w:r>
        <w:rPr>
          <w:rFonts w:hint="eastAsia" w:ascii="仿宋_GB2312" w:hAnsi="宋体" w:eastAsia="仿宋_GB2312" w:cs="Courier New"/>
          <w:szCs w:val="32"/>
        </w:rPr>
        <w:t>万元，</w:t>
      </w:r>
      <w:r>
        <w:rPr>
          <w:rFonts w:hint="eastAsia" w:ascii="仿宋_GB2312" w:hAnsi="宋体" w:eastAsia="仿宋_GB2312" w:cs="Courier New"/>
          <w:szCs w:val="32"/>
          <w:lang w:val="en-US" w:eastAsia="zh-CN"/>
        </w:rPr>
        <w:t>减少1.84</w:t>
      </w:r>
      <w:r>
        <w:rPr>
          <w:rFonts w:hint="eastAsia" w:ascii="仿宋_GB2312" w:hAnsi="宋体" w:eastAsia="仿宋_GB2312" w:cs="Courier New"/>
          <w:szCs w:val="32"/>
        </w:rPr>
        <w:t>%，主要</w:t>
      </w:r>
      <w:r>
        <w:rPr>
          <w:rFonts w:hint="eastAsia" w:ascii="仿宋_GB2312" w:eastAsia="仿宋_GB2312"/>
          <w:szCs w:val="32"/>
        </w:rPr>
        <w:t>原因是</w:t>
      </w:r>
      <w:r>
        <w:rPr>
          <w:rFonts w:hint="eastAsia" w:ascii="仿宋_GB2312" w:eastAsia="仿宋_GB2312"/>
          <w:szCs w:val="32"/>
          <w:lang w:val="en-US" w:eastAsia="zh-CN"/>
        </w:rPr>
        <w:t>人员减少。</w:t>
      </w:r>
    </w:p>
    <w:p>
      <w:pPr>
        <w:spacing w:line="580" w:lineRule="exact"/>
        <w:ind w:firstLine="640" w:firstLineChars="200"/>
        <w:rPr>
          <w:rFonts w:hint="eastAsia" w:ascii="楷体_GB2312" w:eastAsia="楷体_GB2312"/>
          <w:szCs w:val="32"/>
        </w:rPr>
      </w:pPr>
      <w:r>
        <w:rPr>
          <w:rFonts w:hint="eastAsia" w:ascii="楷体_GB2312" w:eastAsia="楷体_GB2312"/>
          <w:szCs w:val="32"/>
        </w:rPr>
        <w:t>（二）政府采购支出情况</w:t>
      </w:r>
    </w:p>
    <w:p>
      <w:pPr>
        <w:autoSpaceDE w:val="0"/>
        <w:autoSpaceDN w:val="0"/>
        <w:adjustRightInd w:val="0"/>
        <w:spacing w:line="580" w:lineRule="exact"/>
        <w:ind w:firstLine="640" w:firstLineChars="200"/>
        <w:jc w:val="left"/>
        <w:rPr>
          <w:rFonts w:ascii="仿宋_GB2312" w:hAnsi="宋体" w:eastAsia="仿宋_GB2312" w:cs="Courier New"/>
          <w:szCs w:val="32"/>
        </w:rPr>
      </w:pPr>
      <w:r>
        <w:rPr>
          <w:rFonts w:hint="eastAsia" w:ascii="仿宋_GB2312" w:hAnsi="宋体" w:eastAsia="仿宋_GB2312" w:cs="Courier New"/>
          <w:szCs w:val="32"/>
        </w:rPr>
        <w:t>2020年度政府采购支出总额</w:t>
      </w:r>
      <w:r>
        <w:rPr>
          <w:rFonts w:hint="eastAsia" w:ascii="仿宋_GB2312" w:hAnsi="宋体" w:eastAsia="仿宋_GB2312" w:cs="Courier New"/>
          <w:szCs w:val="32"/>
          <w:lang w:val="en-US" w:eastAsia="zh-CN"/>
        </w:rPr>
        <w:t>486.67</w:t>
      </w:r>
      <w:r>
        <w:rPr>
          <w:rFonts w:hint="eastAsia" w:ascii="仿宋_GB2312" w:hAnsi="宋体" w:eastAsia="仿宋_GB2312" w:cs="Courier New"/>
          <w:szCs w:val="32"/>
        </w:rPr>
        <w:t>万元，其中：政府采购货物支出</w:t>
      </w:r>
      <w:r>
        <w:rPr>
          <w:rFonts w:hint="eastAsia" w:ascii="仿宋_GB2312" w:hAnsi="宋体" w:eastAsia="仿宋_GB2312" w:cs="Courier New"/>
          <w:szCs w:val="32"/>
          <w:lang w:val="en-US" w:eastAsia="zh-CN"/>
        </w:rPr>
        <w:t>61</w:t>
      </w:r>
      <w:r>
        <w:rPr>
          <w:rFonts w:hint="eastAsia" w:ascii="仿宋_GB2312" w:hAnsi="宋体" w:eastAsia="仿宋_GB2312" w:cs="Courier New"/>
          <w:szCs w:val="32"/>
        </w:rPr>
        <w:t>万元、政府采购工程支出</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万元、政府采购服务支出</w:t>
      </w:r>
      <w:r>
        <w:rPr>
          <w:rFonts w:hint="eastAsia" w:ascii="仿宋_GB2312" w:hAnsi="宋体" w:eastAsia="仿宋_GB2312" w:cs="Courier New"/>
          <w:szCs w:val="32"/>
          <w:lang w:val="en-US" w:eastAsia="zh-CN"/>
        </w:rPr>
        <w:t>425.67</w:t>
      </w:r>
      <w:r>
        <w:rPr>
          <w:rFonts w:hint="eastAsia" w:ascii="仿宋_GB2312" w:hAnsi="宋体" w:eastAsia="仿宋_GB2312" w:cs="Courier New"/>
          <w:szCs w:val="32"/>
        </w:rPr>
        <w:t>万元。授予中小企业合同金额</w:t>
      </w:r>
      <w:r>
        <w:rPr>
          <w:rFonts w:hint="eastAsia" w:ascii="仿宋_GB2312" w:hAnsi="宋体" w:eastAsia="仿宋_GB2312" w:cs="Courier New"/>
          <w:szCs w:val="32"/>
          <w:lang w:val="en-US" w:eastAsia="zh-CN"/>
        </w:rPr>
        <w:t>486.67</w:t>
      </w:r>
      <w:r>
        <w:rPr>
          <w:rFonts w:hint="eastAsia" w:ascii="仿宋_GB2312" w:hAnsi="宋体" w:eastAsia="仿宋_GB2312" w:cs="Courier New"/>
          <w:szCs w:val="32"/>
        </w:rPr>
        <w:t>万元，占政府采购支出总额的</w:t>
      </w:r>
      <w:r>
        <w:rPr>
          <w:rFonts w:hint="eastAsia" w:ascii="仿宋_GB2312" w:hAnsi="宋体" w:eastAsia="仿宋_GB2312" w:cs="Courier New"/>
          <w:szCs w:val="32"/>
          <w:lang w:val="en-US" w:eastAsia="zh-CN"/>
        </w:rPr>
        <w:t>100</w:t>
      </w:r>
      <w:r>
        <w:rPr>
          <w:rFonts w:hint="eastAsia" w:ascii="仿宋_GB2312" w:hAnsi="宋体" w:eastAsia="仿宋_GB2312" w:cs="Courier New"/>
          <w:szCs w:val="32"/>
        </w:rPr>
        <w:t>%，其中：授予小微企业合同金额</w:t>
      </w:r>
      <w:r>
        <w:rPr>
          <w:rFonts w:hint="eastAsia" w:ascii="仿宋_GB2312" w:hAnsi="宋体" w:eastAsia="仿宋_GB2312" w:cs="Courier New"/>
          <w:szCs w:val="32"/>
          <w:lang w:val="en-US" w:eastAsia="zh-CN"/>
        </w:rPr>
        <w:t>486.67</w:t>
      </w:r>
      <w:r>
        <w:rPr>
          <w:rFonts w:hint="eastAsia" w:ascii="仿宋_GB2312" w:hAnsi="宋体" w:eastAsia="仿宋_GB2312" w:cs="Courier New"/>
          <w:szCs w:val="32"/>
        </w:rPr>
        <w:t>万元，占政府采购支出总额的</w:t>
      </w:r>
      <w:r>
        <w:rPr>
          <w:rFonts w:hint="eastAsia" w:ascii="仿宋_GB2312" w:hAnsi="宋体" w:eastAsia="仿宋_GB2312" w:cs="Courier New"/>
          <w:szCs w:val="32"/>
          <w:lang w:val="en-US" w:eastAsia="zh-CN"/>
        </w:rPr>
        <w:t>100</w:t>
      </w:r>
      <w:r>
        <w:rPr>
          <w:rFonts w:hint="eastAsia" w:ascii="仿宋_GB2312" w:hAnsi="宋体" w:eastAsia="仿宋_GB2312" w:cs="Courier New"/>
          <w:szCs w:val="32"/>
        </w:rPr>
        <w:t>%。</w:t>
      </w:r>
    </w:p>
    <w:p>
      <w:pPr>
        <w:spacing w:line="580" w:lineRule="exact"/>
        <w:ind w:firstLine="640" w:firstLineChars="200"/>
        <w:rPr>
          <w:rFonts w:hint="eastAsia" w:ascii="楷体_GB2312" w:eastAsia="楷体_GB2312"/>
          <w:szCs w:val="32"/>
          <w:highlight w:val="yellow"/>
        </w:rPr>
      </w:pPr>
      <w:r>
        <w:rPr>
          <w:rFonts w:hint="eastAsia" w:ascii="楷体_GB2312" w:eastAsia="楷体_GB2312"/>
          <w:szCs w:val="32"/>
        </w:rPr>
        <w:t>（三）国有资产占用情况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 xml:space="preserve">截至 2020 年 12 月 31 日，本部门共有车辆 </w:t>
      </w:r>
      <w:r>
        <w:rPr>
          <w:rFonts w:hint="eastAsia" w:ascii="仿宋_GB2312" w:eastAsia="仿宋_GB2312"/>
          <w:szCs w:val="32"/>
          <w:lang w:val="en-US" w:eastAsia="zh-CN"/>
        </w:rPr>
        <w:t>3</w:t>
      </w:r>
      <w:r>
        <w:rPr>
          <w:rFonts w:hint="eastAsia" w:ascii="仿宋_GB2312" w:eastAsia="仿宋_GB2312"/>
          <w:szCs w:val="32"/>
        </w:rPr>
        <w:t>辆，其中，符合规定领导干部用车</w:t>
      </w:r>
      <w:r>
        <w:rPr>
          <w:rFonts w:hint="eastAsia" w:ascii="仿宋_GB2312" w:eastAsia="仿宋_GB2312"/>
          <w:szCs w:val="32"/>
          <w:lang w:val="en-US" w:eastAsia="zh-CN"/>
        </w:rPr>
        <w:t>0</w:t>
      </w:r>
      <w:r>
        <w:rPr>
          <w:rFonts w:hint="eastAsia" w:ascii="仿宋_GB2312" w:eastAsia="仿宋_GB2312"/>
          <w:szCs w:val="32"/>
        </w:rPr>
        <w:t xml:space="preserve"> 辆、机要通信用车</w:t>
      </w:r>
      <w:r>
        <w:rPr>
          <w:rFonts w:hint="eastAsia" w:ascii="仿宋_GB2312" w:eastAsia="仿宋_GB2312"/>
          <w:szCs w:val="32"/>
          <w:lang w:val="en-US" w:eastAsia="zh-CN"/>
        </w:rPr>
        <w:t>0</w:t>
      </w:r>
      <w:r>
        <w:rPr>
          <w:rFonts w:hint="eastAsia" w:ascii="仿宋_GB2312" w:eastAsia="仿宋_GB2312"/>
          <w:szCs w:val="32"/>
        </w:rPr>
        <w:t xml:space="preserve">辆、应急保障用车 </w:t>
      </w:r>
      <w:r>
        <w:rPr>
          <w:rFonts w:hint="eastAsia" w:ascii="仿宋_GB2312" w:eastAsia="仿宋_GB2312"/>
          <w:szCs w:val="32"/>
          <w:lang w:val="en-US" w:eastAsia="zh-CN"/>
        </w:rPr>
        <w:t>0</w:t>
      </w:r>
      <w:r>
        <w:rPr>
          <w:rFonts w:hint="eastAsia" w:ascii="仿宋_GB2312" w:eastAsia="仿宋_GB2312"/>
          <w:szCs w:val="32"/>
        </w:rPr>
        <w:t>辆、执法执勤用车</w:t>
      </w:r>
      <w:r>
        <w:rPr>
          <w:rFonts w:hint="eastAsia" w:ascii="仿宋_GB2312" w:eastAsia="仿宋_GB2312"/>
          <w:szCs w:val="32"/>
          <w:lang w:val="en-US" w:eastAsia="zh-CN"/>
        </w:rPr>
        <w:t>0</w:t>
      </w:r>
      <w:r>
        <w:rPr>
          <w:rFonts w:hint="eastAsia" w:ascii="仿宋_GB2312" w:eastAsia="仿宋_GB2312"/>
          <w:szCs w:val="32"/>
        </w:rPr>
        <w:t>辆、特种专业技术用车</w:t>
      </w:r>
      <w:r>
        <w:rPr>
          <w:rFonts w:hint="eastAsia" w:ascii="仿宋_GB2312" w:eastAsia="仿宋_GB2312"/>
          <w:szCs w:val="32"/>
          <w:lang w:val="en-US" w:eastAsia="zh-CN"/>
        </w:rPr>
        <w:t>0</w:t>
      </w:r>
      <w:r>
        <w:rPr>
          <w:rFonts w:hint="eastAsia" w:ascii="仿宋_GB2312" w:eastAsia="仿宋_GB2312"/>
          <w:szCs w:val="32"/>
        </w:rPr>
        <w:t>辆、离退休干部用车</w:t>
      </w:r>
      <w:r>
        <w:rPr>
          <w:rFonts w:hint="eastAsia" w:ascii="仿宋_GB2312" w:eastAsia="仿宋_GB2312"/>
          <w:szCs w:val="32"/>
          <w:lang w:val="en-US" w:eastAsia="zh-CN"/>
        </w:rPr>
        <w:t>0</w:t>
      </w:r>
      <w:r>
        <w:rPr>
          <w:rFonts w:hint="eastAsia" w:ascii="仿宋_GB2312" w:eastAsia="仿宋_GB2312"/>
          <w:szCs w:val="32"/>
        </w:rPr>
        <w:t>辆、其他用车</w:t>
      </w:r>
      <w:r>
        <w:rPr>
          <w:rFonts w:hint="eastAsia" w:ascii="仿宋_GB2312" w:eastAsia="仿宋_GB2312"/>
          <w:szCs w:val="32"/>
          <w:lang w:val="en-US" w:eastAsia="zh-CN"/>
        </w:rPr>
        <w:t>3</w:t>
      </w:r>
      <w:r>
        <w:rPr>
          <w:rFonts w:hint="eastAsia" w:ascii="仿宋_GB2312" w:eastAsia="仿宋_GB2312"/>
          <w:szCs w:val="32"/>
        </w:rPr>
        <w:t>辆，</w:t>
      </w:r>
      <w:r>
        <w:rPr>
          <w:rFonts w:hint="eastAsia" w:ascii="仿宋_GB2312" w:hAnsi="宋体" w:eastAsia="仿宋_GB2312" w:cs="Courier New"/>
          <w:sz w:val="32"/>
          <w:szCs w:val="32"/>
        </w:rPr>
        <w:t>其他用车主要是</w:t>
      </w:r>
      <w:r>
        <w:rPr>
          <w:rFonts w:hint="eastAsia" w:ascii="仿宋_GB2312" w:hAnsi="宋体" w:eastAsia="仿宋_GB2312" w:cs="Courier New"/>
          <w:sz w:val="32"/>
          <w:szCs w:val="32"/>
          <w:lang w:val="en-US" w:eastAsia="zh-CN"/>
        </w:rPr>
        <w:t>审批现场踏勘用车</w:t>
      </w:r>
      <w:r>
        <w:rPr>
          <w:rFonts w:hint="eastAsia" w:ascii="仿宋_GB2312" w:eastAsia="仿宋_GB2312"/>
          <w:szCs w:val="32"/>
        </w:rPr>
        <w:t>；单位价值 50 万元以上通用设备</w:t>
      </w:r>
      <w:r>
        <w:rPr>
          <w:rFonts w:hint="eastAsia" w:ascii="仿宋_GB2312" w:eastAsia="仿宋_GB2312"/>
          <w:szCs w:val="32"/>
          <w:lang w:val="en-US" w:eastAsia="zh-CN"/>
        </w:rPr>
        <w:t>0</w:t>
      </w:r>
      <w:r>
        <w:rPr>
          <w:rFonts w:hint="eastAsia" w:ascii="仿宋_GB2312" w:eastAsia="仿宋_GB2312"/>
          <w:szCs w:val="32"/>
        </w:rPr>
        <w:t xml:space="preserve"> 台</w:t>
      </w:r>
      <w:r>
        <w:rPr>
          <w:rFonts w:hint="eastAsia" w:ascii="仿宋_GB2312" w:eastAsia="仿宋_GB2312"/>
          <w:szCs w:val="32"/>
          <w:lang w:eastAsia="zh-CN"/>
        </w:rPr>
        <w:t>（</w:t>
      </w:r>
      <w:r>
        <w:rPr>
          <w:rFonts w:hint="eastAsia" w:ascii="仿宋_GB2312" w:eastAsia="仿宋_GB2312"/>
          <w:szCs w:val="32"/>
          <w:lang w:val="en-US" w:eastAsia="zh-CN"/>
        </w:rPr>
        <w:t>套</w:t>
      </w:r>
      <w:r>
        <w:rPr>
          <w:rFonts w:hint="eastAsia" w:ascii="仿宋_GB2312" w:eastAsia="仿宋_GB2312"/>
          <w:szCs w:val="32"/>
          <w:lang w:eastAsia="zh-CN"/>
        </w:rPr>
        <w:t>）</w:t>
      </w:r>
      <w:r>
        <w:rPr>
          <w:rFonts w:hint="eastAsia" w:ascii="仿宋_GB2312" w:eastAsia="仿宋_GB2312"/>
          <w:szCs w:val="32"/>
        </w:rPr>
        <w:t>；单位价值 100 万元以上专用设备</w:t>
      </w:r>
      <w:r>
        <w:rPr>
          <w:rFonts w:hint="eastAsia" w:ascii="仿宋_GB2312" w:eastAsia="仿宋_GB2312"/>
          <w:szCs w:val="32"/>
          <w:lang w:val="en-US" w:eastAsia="zh-CN"/>
        </w:rPr>
        <w:t>0</w:t>
      </w:r>
      <w:r>
        <w:rPr>
          <w:rFonts w:hint="eastAsia" w:ascii="仿宋_GB2312" w:eastAsia="仿宋_GB2312"/>
          <w:szCs w:val="32"/>
        </w:rPr>
        <w:t>台</w:t>
      </w:r>
      <w:r>
        <w:rPr>
          <w:rFonts w:hint="eastAsia" w:ascii="仿宋_GB2312" w:eastAsia="仿宋_GB2312"/>
          <w:szCs w:val="32"/>
          <w:lang w:eastAsia="zh-CN"/>
        </w:rPr>
        <w:t>（</w:t>
      </w:r>
      <w:r>
        <w:rPr>
          <w:rFonts w:hint="eastAsia" w:ascii="仿宋_GB2312" w:eastAsia="仿宋_GB2312"/>
          <w:szCs w:val="32"/>
          <w:lang w:val="en-US" w:eastAsia="zh-CN"/>
        </w:rPr>
        <w:t>套</w:t>
      </w:r>
      <w:r>
        <w:rPr>
          <w:rFonts w:hint="eastAsia" w:ascii="仿宋_GB2312" w:eastAsia="仿宋_GB2312"/>
          <w:szCs w:val="32"/>
          <w:lang w:eastAsia="zh-CN"/>
        </w:rPr>
        <w:t>）</w:t>
      </w:r>
      <w:r>
        <w:rPr>
          <w:rFonts w:hint="eastAsia" w:ascii="仿宋_GB2312" w:eastAsia="仿宋_GB2312"/>
          <w:szCs w:val="32"/>
        </w:rPr>
        <w:t>。</w:t>
      </w:r>
    </w:p>
    <w:p>
      <w:pPr>
        <w:spacing w:line="580" w:lineRule="exact"/>
        <w:ind w:firstLine="640" w:firstLineChars="200"/>
        <w:rPr>
          <w:rFonts w:hint="eastAsia" w:ascii="黑体" w:hAnsi="黑体" w:eastAsia="黑体"/>
          <w:szCs w:val="32"/>
        </w:rPr>
      </w:pPr>
      <w:r>
        <w:rPr>
          <w:rFonts w:hint="eastAsia" w:ascii="黑体" w:hAnsi="黑体" w:eastAsia="黑体"/>
          <w:szCs w:val="32"/>
        </w:rPr>
        <w:t>十一、预算绩效情况说明</w:t>
      </w:r>
    </w:p>
    <w:p>
      <w:pPr>
        <w:spacing w:line="580" w:lineRule="exact"/>
        <w:ind w:firstLine="640" w:firstLineChars="200"/>
        <w:rPr>
          <w:rFonts w:hint="eastAsia" w:ascii="仿宋_GB2312" w:eastAsia="仿宋_GB2312"/>
          <w:szCs w:val="32"/>
          <w:lang w:val="en-US" w:eastAsia="zh-CN"/>
        </w:rPr>
      </w:pPr>
      <w:r>
        <w:rPr>
          <w:rFonts w:hint="eastAsia" w:ascii="楷体_GB2312" w:eastAsia="楷体_GB2312"/>
          <w:bCs/>
          <w:kern w:val="0"/>
          <w:szCs w:val="32"/>
        </w:rPr>
        <w:t>（一）预算绩效管理工作开展情况。</w:t>
      </w:r>
      <w:r>
        <w:rPr>
          <w:rFonts w:hint="eastAsia" w:ascii="仿宋_GB2312" w:eastAsia="仿宋_GB2312"/>
          <w:kern w:val="0"/>
          <w:szCs w:val="32"/>
        </w:rPr>
        <w:t>根</w:t>
      </w:r>
      <w:r>
        <w:rPr>
          <w:rFonts w:hint="eastAsia" w:ascii="仿宋_GB2312" w:eastAsia="仿宋_GB2312"/>
          <w:szCs w:val="32"/>
        </w:rPr>
        <w:t>据预算绩效管理要求，</w:t>
      </w:r>
      <w:r>
        <w:rPr>
          <w:rFonts w:hint="eastAsia" w:ascii="仿宋_GB2312" w:eastAsia="仿宋_GB2312"/>
          <w:szCs w:val="32"/>
          <w:lang w:val="en-US" w:eastAsia="zh-CN"/>
        </w:rPr>
        <w:t>青岛市黄岛区行政审批服务局</w:t>
      </w:r>
      <w:r>
        <w:rPr>
          <w:rFonts w:hint="eastAsia" w:ascii="仿宋_GB2312" w:eastAsia="仿宋_GB2312"/>
          <w:szCs w:val="32"/>
        </w:rPr>
        <w:t>按照“谁支出、谁评价”的原则，组织本级2020年度预算项目支出进行了全面自评，涵盖项目</w:t>
      </w:r>
      <w:r>
        <w:rPr>
          <w:rFonts w:hint="eastAsia" w:ascii="仿宋_GB2312" w:eastAsia="仿宋_GB2312"/>
          <w:szCs w:val="32"/>
          <w:lang w:val="en-US" w:eastAsia="zh-CN"/>
        </w:rPr>
        <w:t>4</w:t>
      </w:r>
      <w:r>
        <w:rPr>
          <w:rFonts w:hint="eastAsia" w:ascii="仿宋_GB2312" w:eastAsia="仿宋_GB2312"/>
          <w:szCs w:val="32"/>
        </w:rPr>
        <w:t>个，涉及预算资金</w:t>
      </w:r>
      <w:r>
        <w:rPr>
          <w:rFonts w:hint="eastAsia" w:ascii="仿宋_GB2312" w:eastAsia="仿宋_GB2312"/>
          <w:szCs w:val="32"/>
          <w:lang w:val="en-US" w:eastAsia="zh-CN"/>
        </w:rPr>
        <w:t>1213.80</w:t>
      </w:r>
      <w:r>
        <w:rPr>
          <w:rFonts w:hint="eastAsia" w:ascii="仿宋_GB2312" w:eastAsia="仿宋_GB2312"/>
          <w:szCs w:val="32"/>
        </w:rPr>
        <w:t>万元，占部门预算项目支出总额的</w:t>
      </w:r>
      <w:r>
        <w:rPr>
          <w:rFonts w:hint="eastAsia" w:ascii="仿宋_GB2312" w:eastAsia="仿宋_GB2312"/>
          <w:szCs w:val="32"/>
          <w:lang w:val="en-US" w:eastAsia="zh-CN"/>
        </w:rPr>
        <w:t>100</w:t>
      </w:r>
      <w:r>
        <w:rPr>
          <w:rFonts w:hint="eastAsia" w:ascii="仿宋_GB2312" w:eastAsia="仿宋_GB2312"/>
          <w:szCs w:val="32"/>
        </w:rPr>
        <w:t>%。</w:t>
      </w:r>
    </w:p>
    <w:p>
      <w:pPr>
        <w:spacing w:line="580" w:lineRule="exact"/>
        <w:ind w:firstLine="640" w:firstLineChars="200"/>
        <w:rPr>
          <w:rFonts w:hint="eastAsia" w:ascii="仿宋_GB2312" w:eastAsia="仿宋_GB2312"/>
          <w:szCs w:val="32"/>
          <w:lang w:val="en-US" w:eastAsia="zh-CN"/>
        </w:rPr>
      </w:pPr>
      <w:r>
        <w:rPr>
          <w:rFonts w:hint="eastAsia" w:ascii="仿宋_GB2312" w:eastAsia="仿宋_GB2312"/>
          <w:szCs w:val="32"/>
        </w:rPr>
        <w:t>按区财政局统一要求，本部门整体支出自评正在开展，自评结果将另行在政务网站单独公开。</w:t>
      </w:r>
    </w:p>
    <w:p>
      <w:pPr>
        <w:numPr>
          <w:ilvl w:val="0"/>
          <w:numId w:val="5"/>
        </w:numPr>
        <w:spacing w:line="580" w:lineRule="exact"/>
        <w:ind w:firstLine="640" w:firstLineChars="200"/>
        <w:rPr>
          <w:rFonts w:hint="eastAsia" w:ascii="仿宋_GB2312" w:eastAsia="仿宋_GB2312"/>
          <w:szCs w:val="32"/>
          <w:lang w:eastAsia="zh-CN"/>
        </w:rPr>
      </w:pPr>
      <w:r>
        <w:rPr>
          <w:rFonts w:hint="eastAsia" w:ascii="楷体_GB2312" w:eastAsia="楷体_GB2312"/>
          <w:bCs/>
          <w:kern w:val="0"/>
          <w:szCs w:val="32"/>
        </w:rPr>
        <w:t>项目支出绩效单位自评结果。</w:t>
      </w:r>
      <w:r>
        <w:rPr>
          <w:rFonts w:hint="eastAsia" w:ascii="仿宋_GB2312" w:eastAsia="仿宋_GB2312"/>
          <w:szCs w:val="32"/>
          <w:lang w:val="en-US" w:eastAsia="zh-CN"/>
        </w:rPr>
        <w:t>青岛市黄岛区行政审批服务</w:t>
      </w:r>
      <w:r>
        <w:rPr>
          <w:rFonts w:hint="eastAsia" w:ascii="仿宋_GB2312" w:eastAsia="仿宋_GB2312"/>
          <w:szCs w:val="32"/>
        </w:rPr>
        <w:t>局2020年度区级预算项目支出绩效自评的</w:t>
      </w:r>
      <w:r>
        <w:rPr>
          <w:rFonts w:hint="eastAsia" w:ascii="仿宋_GB2312" w:eastAsia="仿宋_GB2312"/>
          <w:szCs w:val="32"/>
          <w:lang w:val="en-US" w:eastAsia="zh-CN"/>
        </w:rPr>
        <w:t>4</w:t>
      </w:r>
      <w:r>
        <w:rPr>
          <w:rFonts w:hint="eastAsia" w:ascii="仿宋_GB2312" w:eastAsia="仿宋_GB2312"/>
          <w:szCs w:val="32"/>
        </w:rPr>
        <w:t>个项目中，</w:t>
      </w:r>
      <w:r>
        <w:rPr>
          <w:rFonts w:hint="eastAsia" w:ascii="仿宋_GB2312" w:eastAsia="仿宋_GB2312"/>
          <w:szCs w:val="32"/>
          <w:lang w:val="en-US" w:eastAsia="zh-CN"/>
        </w:rPr>
        <w:t>4</w:t>
      </w:r>
      <w:r>
        <w:rPr>
          <w:rFonts w:hint="eastAsia" w:ascii="仿宋_GB2312" w:eastAsia="仿宋_GB2312"/>
          <w:szCs w:val="32"/>
        </w:rPr>
        <w:t>个项目自评等级</w:t>
      </w:r>
      <w:r>
        <w:rPr>
          <w:rFonts w:hint="eastAsia" w:ascii="仿宋_GB2312" w:eastAsia="仿宋_GB2312"/>
          <w:szCs w:val="32"/>
          <w:lang w:val="en-US" w:eastAsia="zh-CN"/>
        </w:rPr>
        <w:t>均</w:t>
      </w:r>
      <w:r>
        <w:rPr>
          <w:rFonts w:hint="eastAsia" w:ascii="仿宋_GB2312" w:eastAsia="仿宋_GB2312"/>
          <w:szCs w:val="32"/>
        </w:rPr>
        <w:t>为优秀。从自评情况看，项目支出绩效管理的重视程度进一步提升，大部分项目有序开展，执行和完成情况较好，资金使用比较规范</w:t>
      </w:r>
      <w:r>
        <w:rPr>
          <w:rFonts w:hint="eastAsia" w:ascii="仿宋_GB2312" w:eastAsia="仿宋_GB2312"/>
          <w:szCs w:val="32"/>
          <w:lang w:eastAsia="zh-CN"/>
        </w:rPr>
        <w:t>。</w:t>
      </w:r>
    </w:p>
    <w:p>
      <w:pPr>
        <w:spacing w:line="580" w:lineRule="exact"/>
        <w:ind w:firstLine="640" w:firstLineChars="200"/>
        <w:rPr>
          <w:rFonts w:hint="default" w:ascii="仿宋_GB2312" w:eastAsia="楷体_GB2312"/>
          <w:bCs/>
          <w:szCs w:val="32"/>
          <w:lang w:val="en-US" w:eastAsia="zh-CN"/>
        </w:rPr>
      </w:pPr>
      <w:r>
        <w:rPr>
          <w:rFonts w:hint="eastAsia" w:ascii="楷体_GB2312" w:eastAsia="楷体_GB2312"/>
          <w:bCs/>
          <w:kern w:val="0"/>
          <w:szCs w:val="32"/>
        </w:rPr>
        <w:t>（三）</w:t>
      </w:r>
      <w:r>
        <w:rPr>
          <w:rFonts w:hint="eastAsia" w:ascii="楷体_GB2312" w:eastAsia="楷体_GB2312"/>
          <w:szCs w:val="32"/>
        </w:rPr>
        <w:t>项目支出绩效财政评价结果。</w:t>
      </w:r>
      <w:r>
        <w:rPr>
          <w:rFonts w:hint="eastAsia" w:ascii="仿宋_GB2312" w:eastAsia="仿宋_GB2312"/>
          <w:bCs/>
          <w:szCs w:val="32"/>
          <w:lang w:val="en-US" w:eastAsia="zh-CN"/>
        </w:rPr>
        <w:t>本部门没有2020年度的财政评价项目。</w:t>
      </w:r>
    </w:p>
    <w:p>
      <w:pPr>
        <w:widowControl/>
        <w:spacing w:line="580" w:lineRule="exact"/>
        <w:ind w:firstLine="640" w:firstLineChars="200"/>
        <w:rPr>
          <w:rFonts w:hint="eastAsia" w:ascii="仿宋_GB2312" w:eastAsia="楷体_GB2312"/>
          <w:b/>
          <w:kern w:val="0"/>
          <w:szCs w:val="32"/>
          <w:u w:val="single"/>
          <w:lang w:val="en-US" w:eastAsia="zh-CN"/>
        </w:rPr>
      </w:pPr>
      <w:r>
        <w:rPr>
          <w:rFonts w:hint="eastAsia" w:ascii="楷体_GB2312" w:eastAsia="楷体_GB2312"/>
          <w:bCs/>
          <w:kern w:val="0"/>
          <w:szCs w:val="32"/>
        </w:rPr>
        <w:t>（四）</w:t>
      </w:r>
      <w:r>
        <w:rPr>
          <w:rFonts w:hint="eastAsia" w:ascii="楷体_GB2312" w:eastAsia="楷体_GB2312"/>
          <w:bCs/>
          <w:kern w:val="0"/>
          <w:szCs w:val="32"/>
          <w:highlight w:val="none"/>
        </w:rPr>
        <w:t>项目支出绩效部门评价结果。</w:t>
      </w:r>
      <w:r>
        <w:rPr>
          <w:rFonts w:hint="eastAsia" w:ascii="楷体_GB2312" w:eastAsia="楷体_GB2312"/>
          <w:bCs/>
          <w:kern w:val="0"/>
          <w:szCs w:val="32"/>
          <w:highlight w:val="none"/>
          <w:lang w:val="en-US" w:eastAsia="zh-CN"/>
        </w:rPr>
        <w:t>本部门无部门评价项目。</w:t>
      </w:r>
      <w:r>
        <w:rPr>
          <w:rFonts w:hint="eastAsia" w:ascii="仿宋_GB2312" w:eastAsia="仿宋_GB2312"/>
          <w:bCs/>
          <w:kern w:val="0"/>
          <w:szCs w:val="32"/>
          <w:lang w:val="en-US" w:eastAsia="zh-CN"/>
        </w:rPr>
        <w:t xml:space="preserve"> </w:t>
      </w:r>
    </w:p>
    <w:p>
      <w:pPr>
        <w:spacing w:line="580" w:lineRule="exact"/>
        <w:ind w:firstLine="200"/>
        <w:rPr>
          <w:rFonts w:hint="eastAsia" w:eastAsia="宋体"/>
          <w:lang w:eastAsia="zh-CN"/>
        </w:rPr>
      </w:pPr>
    </w:p>
    <w:p>
      <w:pPr>
        <w:spacing w:line="580" w:lineRule="exact"/>
        <w:ind w:firstLine="200"/>
      </w:pPr>
    </w:p>
    <w:p>
      <w:pPr>
        <w:spacing w:line="580" w:lineRule="exact"/>
        <w:ind w:firstLine="200"/>
        <w:rPr>
          <w:rFonts w:hint="eastAsia" w:ascii="方正小标宋简体" w:eastAsia="方正小标宋简体"/>
          <w:sz w:val="42"/>
        </w:rPr>
      </w:pPr>
    </w:p>
    <w:p>
      <w:pPr>
        <w:rPr>
          <w:rFonts w:hint="eastAsia" w:ascii="方正小标宋简体" w:eastAsia="方正小标宋简体"/>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r>
        <w:rPr>
          <w:rFonts w:hint="eastAsia" w:ascii="方正小标宋简体" w:eastAsia="方正小标宋简体"/>
          <w:spacing w:val="60"/>
          <w:sz w:val="42"/>
        </w:rPr>
        <w:t>第四部分</w:t>
      </w: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8"/>
        </w:rPr>
      </w:pPr>
      <w:r>
        <w:rPr>
          <w:rFonts w:hint="eastAsia" w:ascii="方正小标宋简体" w:eastAsia="方正小标宋简体"/>
          <w:spacing w:val="60"/>
          <w:sz w:val="48"/>
        </w:rPr>
        <w:t>名词解释</w:t>
      </w: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rPr>
          <w:rFonts w:hint="eastAsia" w:ascii="方正小标宋简体" w:eastAsia="方正小标宋简体"/>
          <w:spacing w:val="60"/>
          <w:sz w:val="48"/>
        </w:rPr>
      </w:pPr>
    </w:p>
    <w:p>
      <w:pPr>
        <w:spacing w:line="580" w:lineRule="exact"/>
        <w:ind w:firstLine="640" w:firstLineChars="200"/>
        <w:rPr>
          <w:rFonts w:ascii="黑体" w:hAnsi="黑体" w:eastAsia="黑体"/>
          <w:color w:val="000000"/>
          <w:szCs w:val="32"/>
        </w:rPr>
        <w:sectPr>
          <w:pgSz w:w="11906" w:h="16838"/>
          <w:pgMar w:top="2041" w:right="1701" w:bottom="2041" w:left="1701" w:header="851" w:footer="992" w:gutter="0"/>
          <w:cols w:space="720" w:num="1"/>
          <w:docGrid w:type="lines" w:linePitch="312" w:charSpace="0"/>
        </w:sectPr>
      </w:pPr>
    </w:p>
    <w:p>
      <w:pPr>
        <w:spacing w:line="580" w:lineRule="exact"/>
        <w:ind w:firstLine="640" w:firstLineChars="200"/>
        <w:rPr>
          <w:rFonts w:hint="eastAsia" w:ascii="仿宋_GB2312" w:eastAsia="仿宋_GB2312"/>
          <w:szCs w:val="32"/>
        </w:rPr>
      </w:pPr>
      <w:r>
        <w:rPr>
          <w:rFonts w:hint="eastAsia" w:ascii="黑体" w:hAnsi="黑体" w:eastAsia="黑体"/>
          <w:color w:val="000000"/>
          <w:szCs w:val="32"/>
        </w:rPr>
        <w:t>一、财政拨款收入：</w:t>
      </w:r>
      <w:r>
        <w:rPr>
          <w:rFonts w:hint="eastAsia" w:ascii="仿宋_GB2312" w:eastAsia="仿宋_GB2312"/>
          <w:szCs w:val="32"/>
        </w:rPr>
        <w:t>指单位本年度从本级财政部门取得的财政拨款，包括一般公共预算财政拨款、政府性基金预算财政拨款和国有资本经营预算财政拨款。</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二、上级补助收入：</w:t>
      </w:r>
      <w:r>
        <w:rPr>
          <w:rFonts w:hint="eastAsia" w:ascii="仿宋_GB2312" w:hAnsi="仿宋" w:eastAsia="仿宋_GB2312"/>
          <w:szCs w:val="32"/>
        </w:rPr>
        <w:t>指事业单位从主管部门和上级单位取得的非财政补助收入。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三、事业收入：</w:t>
      </w:r>
      <w:r>
        <w:rPr>
          <w:rFonts w:hint="eastAsia" w:ascii="仿宋_GB2312" w:hAnsi="仿宋" w:eastAsia="仿宋_GB2312"/>
          <w:szCs w:val="32"/>
        </w:rPr>
        <w:t>指事业单位开展专业业务活动及其辅助活动取得的收入；包括事业单位收到的财政专户实际核拨的教育收费等。</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四、经营收入：</w:t>
      </w:r>
      <w:r>
        <w:rPr>
          <w:rFonts w:hint="eastAsia" w:ascii="仿宋_GB2312" w:hAnsi="仿宋" w:eastAsia="仿宋_GB2312"/>
          <w:szCs w:val="32"/>
        </w:rPr>
        <w:t>指事业单位在专业业务活动及其辅助活动之外开展非独立核算经营活动取得的收入。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五、附属单位上缴收入：</w:t>
      </w:r>
      <w:r>
        <w:rPr>
          <w:rFonts w:hint="eastAsia" w:ascii="仿宋_GB2312" w:hAnsi="仿宋" w:eastAsia="仿宋_GB2312"/>
          <w:szCs w:val="32"/>
        </w:rPr>
        <w:t>指事业单位附属独立核算单位按照有关规定上缴的收入。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六、其他收入：</w:t>
      </w:r>
      <w:r>
        <w:rPr>
          <w:rFonts w:hint="eastAsia" w:ascii="仿宋_GB2312" w:hAnsi="仿宋" w:eastAsia="仿宋_GB2312"/>
          <w:szCs w:val="32"/>
        </w:rPr>
        <w:t>指单位取得的除上述“</w:t>
      </w:r>
      <w:r>
        <w:rPr>
          <w:rFonts w:hint="eastAsia" w:ascii="仿宋_GB2312" w:eastAsia="仿宋_GB2312"/>
          <w:szCs w:val="32"/>
        </w:rPr>
        <w:t>财政拨款收入</w:t>
      </w:r>
      <w:r>
        <w:rPr>
          <w:rFonts w:hint="eastAsia" w:ascii="仿宋_GB2312" w:hAnsi="仿宋" w:eastAsia="仿宋_GB2312"/>
          <w:szCs w:val="32"/>
        </w:rPr>
        <w:t>”“上级补助收入”“事业收入”“经营收入”“附属单位上缴收入”等以外的各项收入。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七、使用非财政拨款结余：</w:t>
      </w:r>
      <w:r>
        <w:rPr>
          <w:rFonts w:hint="eastAsia" w:ascii="仿宋_GB2312" w:hAnsi="仿宋" w:eastAsia="仿宋_GB2312"/>
          <w:szCs w:val="32"/>
        </w:rPr>
        <w:t>指事业单位按照预算管理要求使用非财政拨款结余弥补收支差额的金额。</w:t>
      </w:r>
    </w:p>
    <w:p>
      <w:pPr>
        <w:spacing w:line="580" w:lineRule="exact"/>
        <w:ind w:firstLine="640" w:firstLineChars="200"/>
        <w:rPr>
          <w:rFonts w:hint="eastAsia" w:ascii="仿宋_GB2312" w:eastAsia="仿宋_GB2312"/>
          <w:szCs w:val="32"/>
        </w:rPr>
      </w:pPr>
      <w:r>
        <w:rPr>
          <w:rFonts w:hint="eastAsia" w:ascii="黑体" w:hAnsi="黑体" w:eastAsia="黑体"/>
          <w:szCs w:val="32"/>
        </w:rPr>
        <w:t>八、年初结转和结余：</w:t>
      </w:r>
      <w:r>
        <w:rPr>
          <w:rFonts w:hint="eastAsia" w:ascii="仿宋_GB2312" w:eastAsia="仿宋_GB2312"/>
          <w:szCs w:val="32"/>
        </w:rPr>
        <w:t>指单位以前年度尚未完成、结转到本年仍按原规定用途继续使用的资金，或项目已完成等产生的结余资金。</w:t>
      </w:r>
    </w:p>
    <w:p>
      <w:pPr>
        <w:spacing w:line="580" w:lineRule="exact"/>
        <w:ind w:firstLine="640" w:firstLineChars="200"/>
        <w:rPr>
          <w:rFonts w:hint="eastAsia" w:ascii="仿宋_GB2312" w:eastAsia="仿宋_GB2312"/>
          <w:szCs w:val="32"/>
        </w:rPr>
      </w:pPr>
      <w:r>
        <w:rPr>
          <w:rFonts w:hint="eastAsia" w:ascii="黑体" w:hAnsi="黑体" w:eastAsia="黑体"/>
          <w:szCs w:val="32"/>
        </w:rPr>
        <w:t>九、结余分配：</w:t>
      </w:r>
      <w:r>
        <w:rPr>
          <w:rFonts w:hint="eastAsia" w:ascii="仿宋_GB2312" w:eastAsia="仿宋_GB2312"/>
          <w:szCs w:val="32"/>
        </w:rPr>
        <w:t>指事业单位缴纳的所得税以及从非财政拨款结余或经营结余中提取的各类结余。</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十、年末结转和结余：</w:t>
      </w:r>
      <w:r>
        <w:rPr>
          <w:rFonts w:hint="eastAsia" w:ascii="仿宋_GB2312" w:hAnsi="仿宋" w:eastAsia="仿宋_GB2312"/>
          <w:szCs w:val="32"/>
        </w:rPr>
        <w:t>指单位本年度或以前年度预算安排、因客观条件发生变化未全部执行或未执行，结转到以后年度继续使用的资金，或项目已完成等产生的结余资金。</w:t>
      </w:r>
    </w:p>
    <w:p>
      <w:pPr>
        <w:spacing w:line="580" w:lineRule="exact"/>
        <w:ind w:firstLine="640" w:firstLineChars="200"/>
        <w:rPr>
          <w:rFonts w:hint="eastAsia" w:ascii="仿宋_GB2312" w:eastAsia="仿宋_GB2312"/>
          <w:szCs w:val="32"/>
        </w:rPr>
      </w:pPr>
      <w:r>
        <w:rPr>
          <w:rFonts w:hint="eastAsia" w:ascii="黑体" w:hAnsi="黑体" w:eastAsia="黑体"/>
          <w:szCs w:val="32"/>
        </w:rPr>
        <w:t>十一、基本支出：</w:t>
      </w:r>
      <w:r>
        <w:rPr>
          <w:rFonts w:hint="eastAsia" w:ascii="仿宋_GB2312" w:eastAsia="仿宋_GB2312"/>
          <w:szCs w:val="32"/>
        </w:rPr>
        <w:t>指单位为保障机构正常运转、完成日常工作任务而发生的各项支出。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十二、项目支出：</w:t>
      </w:r>
      <w:r>
        <w:rPr>
          <w:rFonts w:hint="eastAsia" w:ascii="仿宋_GB2312" w:eastAsia="仿宋_GB2312"/>
          <w:szCs w:val="32"/>
        </w:rPr>
        <w:t>指单位为完成特定的行政工作任务或事业发展目标，在基本支出之外发生的各项支出。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十三、经营支出：</w:t>
      </w:r>
      <w:r>
        <w:rPr>
          <w:rFonts w:hint="eastAsia" w:ascii="仿宋_GB2312" w:eastAsia="仿宋_GB2312"/>
          <w:szCs w:val="32"/>
        </w:rPr>
        <w:t>指事业单位在专业业务活动及其辅助活动之外开展非独立核算经营活动发生的支出。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十四、“三公”经费：</w:t>
      </w:r>
      <w:r>
        <w:rPr>
          <w:rFonts w:hint="eastAsia" w:ascii="仿宋_GB2312" w:eastAsia="仿宋_GB231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十五、机关运行经费：</w:t>
      </w:r>
      <w:r>
        <w:rPr>
          <w:rFonts w:hint="eastAsia" w:ascii="仿宋_GB2312" w:eastAsia="仿宋_GB231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sz w:val="32"/>
          <w:szCs w:val="32"/>
          <w:lang w:val="en-US" w:eastAsia="zh-CN"/>
        </w:rPr>
        <w:t>十六、一般公共服务支出政府办公厅（室）及相关机构事务政务公开审批（2010306）</w:t>
      </w:r>
      <w:r>
        <w:rPr>
          <w:rFonts w:hint="eastAsia" w:ascii="仿宋_GB2312" w:eastAsia="仿宋_GB2312"/>
          <w:sz w:val="32"/>
          <w:szCs w:val="32"/>
          <w:lang w:val="en-US" w:eastAsia="zh-CN"/>
        </w:rPr>
        <w:t>：反映各级政府政务公开审批方面的支出。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sz w:val="32"/>
          <w:szCs w:val="32"/>
          <w:lang w:val="en-US" w:eastAsia="zh-CN"/>
        </w:rPr>
        <w:t>十七、一般公共服务支出政府办公厅（室）及相关机构事务事业运行（2010350）</w:t>
      </w:r>
      <w:r>
        <w:rPr>
          <w:rFonts w:hint="eastAsia" w:ascii="仿宋_GB2312" w:eastAsia="仿宋_GB2312"/>
          <w:sz w:val="32"/>
          <w:szCs w:val="32"/>
          <w:lang w:val="en-US" w:eastAsia="zh-CN"/>
        </w:rPr>
        <w:t>：反映事业单位的基本支出，不包括行政单位（包括实行公务员管理的事业单位）后勤服务中心、医务室等附属事业单位。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sz w:val="32"/>
          <w:szCs w:val="32"/>
          <w:lang w:val="en-US" w:eastAsia="zh-CN"/>
        </w:rPr>
        <w:t>十八、社会保障和就业支出行政事业单位养老支出机关事业单位基本养老保险缴费支出（2080505）：</w:t>
      </w:r>
      <w:r>
        <w:rPr>
          <w:rFonts w:hint="eastAsia" w:ascii="仿宋_GB2312" w:eastAsia="仿宋_GB2312"/>
          <w:sz w:val="32"/>
          <w:szCs w:val="32"/>
          <w:lang w:val="en-US" w:eastAsia="zh-CN"/>
        </w:rPr>
        <w:t>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sz w:val="32"/>
          <w:szCs w:val="32"/>
          <w:lang w:val="en-US" w:eastAsia="zh-CN"/>
        </w:rPr>
        <w:t>十九、社会保障和就业支出行政事业单位养老支出机关事业单位职业年金缴费支出（2080506）：</w:t>
      </w:r>
      <w:r>
        <w:rPr>
          <w:rFonts w:hint="eastAsia" w:ascii="仿宋_GB2312" w:eastAsia="仿宋_GB2312"/>
          <w:sz w:val="32"/>
          <w:szCs w:val="32"/>
          <w:lang w:val="en-US" w:eastAsia="zh-CN"/>
        </w:rPr>
        <w:t>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sz w:val="32"/>
          <w:szCs w:val="32"/>
          <w:lang w:val="en-US" w:eastAsia="zh-CN"/>
        </w:rPr>
        <w:t>二十、住房保障支出住房改革支出住房公积金（2210201）:</w:t>
      </w:r>
      <w:r>
        <w:rPr>
          <w:rFonts w:hint="eastAsia" w:ascii="仿宋_GB2312" w:eastAsia="仿宋_GB2312"/>
          <w:sz w:val="32"/>
          <w:szCs w:val="32"/>
          <w:lang w:val="en-US" w:eastAsia="zh-CN"/>
        </w:rPr>
        <w:t>反应行政事业单位按人力资源和社会保障部、财政部规定的基本工资和津贴补贴以及规定比例为职工缴纳的住房公积金。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黑体" w:hAnsi="黑体" w:eastAsia="黑体"/>
          <w:sz w:val="32"/>
          <w:szCs w:val="32"/>
          <w:lang w:val="en-US" w:eastAsia="zh-CN"/>
        </w:rPr>
        <w:t>二十一、城乡社区支出国有土地使用权出让收入安排的支出城市建设支出（2120803）：</w:t>
      </w:r>
      <w:r>
        <w:rPr>
          <w:rFonts w:hint="eastAsia" w:ascii="仿宋_GB2312" w:eastAsia="仿宋_GB2312"/>
          <w:sz w:val="32"/>
          <w:szCs w:val="32"/>
          <w:lang w:val="en-US" w:eastAsia="zh-CN"/>
        </w:rPr>
        <w:t>反应土地出让收入用于完善国有土地使用功能的配套设施建设和城市基础设施建设支出。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spacing w:line="580" w:lineRule="exact"/>
        <w:rPr>
          <w:rFonts w:hint="eastAsia" w:ascii="方正小标宋简体" w:eastAsia="方正小标宋简体"/>
          <w:spacing w:val="60"/>
          <w:sz w:val="42"/>
        </w:rPr>
      </w:pPr>
      <w:r>
        <w:rPr>
          <w:rFonts w:hint="eastAsia" w:ascii="仿宋_GB2312" w:eastAsia="仿宋_GB2312"/>
          <w:sz w:val="32"/>
          <w:szCs w:val="32"/>
          <w:lang w:val="en-US" w:eastAsia="zh-CN"/>
        </w:rPr>
        <w:t xml:space="preserve"> </w:t>
      </w:r>
    </w:p>
    <w:p>
      <w:pPr>
        <w:spacing w:line="580" w:lineRule="exact"/>
        <w:rPr>
          <w:rFonts w:hint="eastAsia" w:ascii="方正小标宋简体" w:eastAsia="方正小标宋简体"/>
          <w:spacing w:val="60"/>
          <w:sz w:val="42"/>
        </w:rPr>
      </w:pPr>
    </w:p>
    <w:p>
      <w:pPr>
        <w:rPr>
          <w:rFonts w:ascii="方正小标宋简体" w:eastAsia="方正小标宋简体"/>
          <w:spacing w:val="60"/>
          <w:sz w:val="42"/>
        </w:rPr>
        <w:sectPr>
          <w:pgSz w:w="11906" w:h="16838"/>
          <w:pgMar w:top="2098" w:right="1418" w:bottom="1871" w:left="1531" w:header="851" w:footer="992" w:gutter="0"/>
          <w:cols w:space="720" w:num="1"/>
          <w:docGrid w:type="lines" w:linePitch="312" w:charSpace="0"/>
        </w:sect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r>
        <w:rPr>
          <w:rFonts w:hint="eastAsia" w:ascii="方正小标宋简体" w:eastAsia="方正小标宋简体"/>
          <w:spacing w:val="60"/>
          <w:sz w:val="42"/>
        </w:rPr>
        <w:t>第五部分</w:t>
      </w: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8"/>
        </w:rPr>
      </w:pPr>
      <w:r>
        <w:rPr>
          <w:rFonts w:hint="eastAsia" w:ascii="方正小标宋简体" w:eastAsia="方正小标宋简体"/>
          <w:spacing w:val="60"/>
          <w:sz w:val="48"/>
        </w:rPr>
        <w:t xml:space="preserve">  附  件</w:t>
      </w:r>
    </w:p>
    <w:p>
      <w:pPr>
        <w:jc w:val="center"/>
        <w:rPr>
          <w:rFonts w:hint="eastAsia" w:ascii="方正小标宋简体" w:eastAsia="方正小标宋简体"/>
          <w:spacing w:val="60"/>
          <w:sz w:val="48"/>
        </w:rPr>
      </w:pPr>
    </w:p>
    <w:p>
      <w:pPr>
        <w:tabs>
          <w:tab w:val="left" w:pos="5891"/>
        </w:tabs>
        <w:spacing w:line="580" w:lineRule="exact"/>
        <w:rPr>
          <w:rFonts w:hint="eastAsia"/>
          <w:szCs w:val="32"/>
        </w:rPr>
        <w:sectPr>
          <w:pgSz w:w="11906" w:h="16838"/>
          <w:pgMar w:top="2098" w:right="1418" w:bottom="1871" w:left="1531" w:header="851" w:footer="992" w:gutter="0"/>
          <w:cols w:space="720" w:num="1"/>
          <w:docGrid w:type="lines" w:linePitch="312" w:charSpace="0"/>
        </w:sectPr>
      </w:pPr>
    </w:p>
    <w:p>
      <w:pPr>
        <w:spacing w:after="159"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2020年度项目支出绩效单位自评情况汇总表</w:t>
      </w:r>
    </w:p>
    <w:p>
      <w:pPr>
        <w:spacing w:before="319" w:beforeLines="100" w:line="400" w:lineRule="exact"/>
        <w:ind w:firstLine="140" w:firstLineChars="50"/>
        <w:jc w:val="left"/>
        <w:rPr>
          <w:rFonts w:hint="eastAsia" w:ascii="楷体_GB2312" w:eastAsia="楷体_GB2312"/>
          <w:sz w:val="28"/>
          <w:szCs w:val="28"/>
          <w:lang w:bidi="ar"/>
        </w:rPr>
      </w:pPr>
      <w:r>
        <w:rPr>
          <w:rFonts w:hint="eastAsia" w:ascii="楷体_GB2312" w:eastAsia="楷体_GB2312"/>
          <w:sz w:val="28"/>
          <w:szCs w:val="28"/>
          <w:lang w:bidi="ar"/>
        </w:rPr>
        <w:t>部门：</w:t>
      </w:r>
    </w:p>
    <w:tbl>
      <w:tblPr>
        <w:tblStyle w:val="5"/>
        <w:tblW w:w="12985" w:type="dxa"/>
        <w:jc w:val="center"/>
        <w:tblLayout w:type="fixed"/>
        <w:tblCellMar>
          <w:top w:w="15" w:type="dxa"/>
          <w:left w:w="15" w:type="dxa"/>
          <w:bottom w:w="15" w:type="dxa"/>
          <w:right w:w="15" w:type="dxa"/>
        </w:tblCellMar>
      </w:tblPr>
      <w:tblGrid>
        <w:gridCol w:w="810"/>
        <w:gridCol w:w="6166"/>
        <w:gridCol w:w="3142"/>
        <w:gridCol w:w="1440"/>
        <w:gridCol w:w="1427"/>
      </w:tblGrid>
      <w:tr>
        <w:tblPrEx>
          <w:tblCellMar>
            <w:top w:w="15" w:type="dxa"/>
            <w:left w:w="15" w:type="dxa"/>
            <w:bottom w:w="15" w:type="dxa"/>
            <w:right w:w="15" w:type="dxa"/>
          </w:tblCellMar>
        </w:tblPrEx>
        <w:trPr>
          <w:trHeight w:val="57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项目名称</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资金使用单位</w:t>
            </w:r>
          </w:p>
        </w:tc>
        <w:tc>
          <w:tcPr>
            <w:tcW w:w="1440"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自评得分</w:t>
            </w:r>
          </w:p>
        </w:tc>
        <w:tc>
          <w:tcPr>
            <w:tcW w:w="1427"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自评等级</w:t>
            </w: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行政审批工作经费</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青岛市黄岛区行政审批服务局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优秀</w:t>
            </w: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购买服务类人员费用</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lang w:val="en-US" w:eastAsia="zh-CN"/>
              </w:rPr>
              <w:t>青岛市黄岛区行政审批服务局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优秀</w:t>
            </w: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劳务派遣人员费用</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lang w:val="en-US" w:eastAsia="zh-CN"/>
              </w:rPr>
              <w:t>青岛市黄岛区行政审批服务局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97.87</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优秀</w:t>
            </w: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采购咨询服务智库专项经费</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lang w:val="en-US" w:eastAsia="zh-CN"/>
              </w:rPr>
              <w:t>青岛市黄岛区行政审批服务局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优秀</w:t>
            </w: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cs="Calibri"/>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cs="Calibri"/>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cs="Calibri"/>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w:t>
            </w:r>
          </w:p>
        </w:tc>
        <w:tc>
          <w:tcPr>
            <w:tcW w:w="616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cs="Calibri"/>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仿宋_GB2312"/>
                <w:color w:val="000000"/>
                <w:sz w:val="22"/>
                <w:szCs w:val="22"/>
              </w:rPr>
            </w:pPr>
          </w:p>
        </w:tc>
      </w:tr>
    </w:tbl>
    <w:p>
      <w:pPr>
        <w:spacing w:line="400" w:lineRule="exact"/>
        <w:ind w:left="317" w:leftChars="99" w:firstLine="220" w:firstLineChars="100"/>
        <w:jc w:val="left"/>
        <w:rPr>
          <w:rFonts w:hint="eastAsia" w:ascii="仿宋_GB2312" w:hAnsi="宋体" w:eastAsia="仿宋_GB2312"/>
          <w:sz w:val="22"/>
          <w:szCs w:val="22"/>
          <w:lang w:eastAsia="zh-CN"/>
        </w:rPr>
      </w:pPr>
    </w:p>
    <w:p>
      <w:pPr>
        <w:spacing w:line="400" w:lineRule="exact"/>
        <w:ind w:left="317" w:leftChars="99" w:firstLine="280" w:firstLineChars="100"/>
        <w:jc w:val="left"/>
        <w:rPr>
          <w:rFonts w:hint="eastAsia" w:ascii="仿宋_GB2312" w:eastAsia="仿宋_GB2312"/>
          <w:sz w:val="28"/>
          <w:szCs w:val="28"/>
        </w:rPr>
        <w:sectPr>
          <w:pgSz w:w="16838" w:h="11906" w:orient="landscape"/>
          <w:pgMar w:top="1531" w:right="2098" w:bottom="1417" w:left="1871" w:header="851" w:footer="992" w:gutter="0"/>
          <w:cols w:space="720" w:num="1"/>
          <w:docGrid w:type="lines" w:linePitch="319" w:charSpace="0"/>
        </w:sectPr>
      </w:pPr>
    </w:p>
    <w:tbl>
      <w:tblPr>
        <w:tblStyle w:val="5"/>
        <w:tblW w:w="10624" w:type="dxa"/>
        <w:tblInd w:w="0" w:type="dxa"/>
        <w:tblLayout w:type="fixed"/>
        <w:tblCellMar>
          <w:top w:w="0" w:type="dxa"/>
          <w:left w:w="0" w:type="dxa"/>
          <w:bottom w:w="0" w:type="dxa"/>
          <w:right w:w="0" w:type="dxa"/>
        </w:tblCellMar>
      </w:tblPr>
      <w:tblGrid>
        <w:gridCol w:w="912"/>
        <w:gridCol w:w="965"/>
        <w:gridCol w:w="2456"/>
        <w:gridCol w:w="1367"/>
        <w:gridCol w:w="1190"/>
        <w:gridCol w:w="725"/>
        <w:gridCol w:w="1033"/>
        <w:gridCol w:w="621"/>
        <w:gridCol w:w="1355"/>
      </w:tblGrid>
      <w:tr>
        <w:tblPrEx>
          <w:tblCellMar>
            <w:top w:w="0" w:type="dxa"/>
            <w:left w:w="0" w:type="dxa"/>
            <w:bottom w:w="0" w:type="dxa"/>
            <w:right w:w="0" w:type="dxa"/>
          </w:tblCellMar>
        </w:tblPrEx>
        <w:trPr>
          <w:trHeight w:val="460" w:hRule="atLeast"/>
        </w:trPr>
        <w:tc>
          <w:tcPr>
            <w:tcW w:w="10624"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方正小标宋_GBK" w:hAnsi="宋体" w:eastAsia="方正小标宋_GBK" w:cs="宋体"/>
                <w:color w:val="000000"/>
                <w:kern w:val="0"/>
                <w:szCs w:val="32"/>
                <w:lang w:val="en-US" w:eastAsia="zh-CN"/>
              </w:rPr>
              <w:t xml:space="preserve"> </w:t>
            </w:r>
            <w:r>
              <w:rPr>
                <w:rFonts w:hint="default" w:ascii="宋体" w:hAnsi="宋体" w:cs="宋体"/>
                <w:b/>
                <w:bCs/>
                <w:color w:val="000000"/>
                <w:kern w:val="0"/>
                <w:sz w:val="20"/>
                <w:szCs w:val="20"/>
                <w:lang w:val="en-US" w:eastAsia="zh-CN"/>
              </w:rPr>
              <w:t>项目支出绩效自评表</w:t>
            </w:r>
          </w:p>
        </w:tc>
      </w:tr>
      <w:tr>
        <w:tblPrEx>
          <w:tblCellMar>
            <w:top w:w="0" w:type="dxa"/>
            <w:left w:w="0" w:type="dxa"/>
            <w:bottom w:w="0" w:type="dxa"/>
            <w:right w:w="0" w:type="dxa"/>
          </w:tblCellMar>
        </w:tblPrEx>
        <w:trPr>
          <w:trHeight w:val="319" w:hRule="atLeast"/>
        </w:trPr>
        <w:tc>
          <w:tcPr>
            <w:tcW w:w="10624"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（2020年度）</w:t>
            </w:r>
          </w:p>
        </w:tc>
      </w:tr>
      <w:tr>
        <w:tblPrEx>
          <w:tblCellMar>
            <w:top w:w="0" w:type="dxa"/>
            <w:left w:w="0" w:type="dxa"/>
            <w:bottom w:w="0" w:type="dxa"/>
            <w:right w:w="0" w:type="dxa"/>
          </w:tblCellMar>
        </w:tblPrEx>
        <w:trPr>
          <w:trHeight w:val="340" w:hRule="atLeast"/>
        </w:trPr>
        <w:tc>
          <w:tcPr>
            <w:tcW w:w="1877" w:type="dxa"/>
            <w:gridSpan w:val="2"/>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项目联系人：郑金伟</w:t>
            </w:r>
          </w:p>
        </w:tc>
        <w:tc>
          <w:tcPr>
            <w:tcW w:w="2456" w:type="dxa"/>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项目联系电话：868976529</w:t>
            </w:r>
          </w:p>
        </w:tc>
        <w:tc>
          <w:tcPr>
            <w:tcW w:w="3282" w:type="dxa"/>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财务联系人：吴莹</w:t>
            </w:r>
          </w:p>
        </w:tc>
        <w:tc>
          <w:tcPr>
            <w:tcW w:w="3009" w:type="dxa"/>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财务联系电话：85166708</w:t>
            </w:r>
          </w:p>
        </w:tc>
      </w:tr>
      <w:tr>
        <w:tblPrEx>
          <w:tblCellMar>
            <w:top w:w="0" w:type="dxa"/>
            <w:left w:w="0" w:type="dxa"/>
            <w:bottom w:w="0" w:type="dxa"/>
            <w:right w:w="0" w:type="dxa"/>
          </w:tblCellMar>
        </w:tblPrEx>
        <w:trPr>
          <w:trHeight w:val="420" w:hRule="atLeast"/>
        </w:trPr>
        <w:tc>
          <w:tcPr>
            <w:tcW w:w="18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项目名称</w:t>
            </w:r>
          </w:p>
        </w:tc>
        <w:tc>
          <w:tcPr>
            <w:tcW w:w="874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行政审批工作经费</w:t>
            </w:r>
          </w:p>
        </w:tc>
      </w:tr>
      <w:tr>
        <w:tblPrEx>
          <w:tblCellMar>
            <w:top w:w="0" w:type="dxa"/>
            <w:left w:w="0" w:type="dxa"/>
            <w:bottom w:w="0" w:type="dxa"/>
            <w:right w:w="0" w:type="dxa"/>
          </w:tblCellMar>
        </w:tblPrEx>
        <w:trPr>
          <w:trHeight w:val="420" w:hRule="atLeast"/>
        </w:trPr>
        <w:tc>
          <w:tcPr>
            <w:tcW w:w="18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预算部门和单位(盖章)</w:t>
            </w:r>
          </w:p>
        </w:tc>
        <w:tc>
          <w:tcPr>
            <w:tcW w:w="38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青岛是黄岛区行政审批服务局</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实施单位</w:t>
            </w:r>
          </w:p>
        </w:tc>
        <w:tc>
          <w:tcPr>
            <w:tcW w:w="3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青岛是黄岛区行政审批服务局</w:t>
            </w:r>
          </w:p>
        </w:tc>
      </w:tr>
      <w:tr>
        <w:tblPrEx>
          <w:tblCellMar>
            <w:top w:w="0" w:type="dxa"/>
            <w:left w:w="0" w:type="dxa"/>
            <w:bottom w:w="0" w:type="dxa"/>
            <w:right w:w="0" w:type="dxa"/>
          </w:tblCellMar>
        </w:tblPrEx>
        <w:trPr>
          <w:trHeight w:val="480" w:hRule="atLeast"/>
        </w:trPr>
        <w:tc>
          <w:tcPr>
            <w:tcW w:w="18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项目资金（万元）</w:t>
            </w:r>
          </w:p>
        </w:tc>
        <w:tc>
          <w:tcPr>
            <w:tcW w:w="2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年初预算安排数</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调整后全年预算数</w:t>
            </w:r>
          </w:p>
        </w:tc>
        <w:tc>
          <w:tcPr>
            <w:tcW w:w="19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全年执行数</w:t>
            </w:r>
          </w:p>
        </w:tc>
        <w:tc>
          <w:tcPr>
            <w:tcW w:w="1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全年执行率</w:t>
            </w: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赋分</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得分</w:t>
            </w:r>
          </w:p>
        </w:tc>
      </w:tr>
      <w:tr>
        <w:tblPrEx>
          <w:tblCellMar>
            <w:top w:w="0" w:type="dxa"/>
            <w:left w:w="0" w:type="dxa"/>
            <w:bottom w:w="0" w:type="dxa"/>
            <w:right w:w="0" w:type="dxa"/>
          </w:tblCellMar>
        </w:tblPrEx>
        <w:trPr>
          <w:trHeight w:val="260" w:hRule="atLeast"/>
        </w:trPr>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   资金合计</w:t>
            </w:r>
          </w:p>
        </w:tc>
        <w:tc>
          <w:tcPr>
            <w:tcW w:w="2456"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141.62 </w:t>
            </w:r>
          </w:p>
        </w:tc>
        <w:tc>
          <w:tcPr>
            <w:tcW w:w="136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319.89 </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319.89 </w:t>
            </w:r>
          </w:p>
        </w:tc>
        <w:tc>
          <w:tcPr>
            <w:tcW w:w="103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10.00 </w:t>
            </w:r>
          </w:p>
        </w:tc>
      </w:tr>
      <w:tr>
        <w:tblPrEx>
          <w:tblCellMar>
            <w:top w:w="0" w:type="dxa"/>
            <w:left w:w="0" w:type="dxa"/>
            <w:bottom w:w="0" w:type="dxa"/>
            <w:right w:w="0" w:type="dxa"/>
          </w:tblCellMar>
        </w:tblPrEx>
        <w:trPr>
          <w:trHeight w:val="300" w:hRule="atLeast"/>
        </w:trPr>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 其中：本级财政拨款</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141.62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319.89 </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319.89 </w:t>
            </w:r>
          </w:p>
        </w:tc>
        <w:tc>
          <w:tcPr>
            <w:tcW w:w="103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100.00%</w:t>
            </w: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00" w:hRule="atLeast"/>
        </w:trPr>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上级资金XXXX  </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0.00%</w:t>
            </w: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00" w:hRule="atLeast"/>
        </w:trPr>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其他资金XXXX</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0.00%</w:t>
            </w: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60" w:hRule="atLeast"/>
        </w:trPr>
        <w:tc>
          <w:tcPr>
            <w:tcW w:w="9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预算年度</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绩效目标</w:t>
            </w:r>
          </w:p>
        </w:tc>
        <w:tc>
          <w:tcPr>
            <w:tcW w:w="47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预期目标</w:t>
            </w:r>
          </w:p>
        </w:tc>
        <w:tc>
          <w:tcPr>
            <w:tcW w:w="492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实际完成情况</w:t>
            </w:r>
          </w:p>
        </w:tc>
      </w:tr>
      <w:tr>
        <w:tblPrEx>
          <w:tblCellMar>
            <w:top w:w="0" w:type="dxa"/>
            <w:left w:w="0" w:type="dxa"/>
            <w:bottom w:w="0" w:type="dxa"/>
            <w:right w:w="0" w:type="dxa"/>
          </w:tblCellMar>
        </w:tblPrEx>
        <w:trPr>
          <w:trHeight w:val="1160" w:hRule="atLeast"/>
        </w:trPr>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47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2020年，行政审批局将聚焦新区中心工作，把政务服务和公共资源交易工作放在优化全区经济社会发展、推动西海岸新区蓝色经济发展的大局中来谋划，不断提升行政审批和公共服务便利化水平。</w:t>
            </w:r>
          </w:p>
        </w:tc>
        <w:tc>
          <w:tcPr>
            <w:tcW w:w="492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2020年，我局政务服务中心实现了审批环节减少56.04%，审批材料减少35.45%，承诺时限减少35.48%；我局交易中心大力推行电子保函制度，大大提升了行政审批和公共服务便利化水平。</w:t>
            </w: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一级绩效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二级绩效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三级绩效指标</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年度指标值</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实际完成值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赋分</w:t>
            </w:r>
          </w:p>
        </w:tc>
        <w:tc>
          <w:tcPr>
            <w:tcW w:w="1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得分</w:t>
            </w:r>
          </w:p>
        </w:tc>
        <w:tc>
          <w:tcPr>
            <w:tcW w:w="19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偏差原因及改进</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措施简述</w:t>
            </w: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数量指标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政务服务大厅办理事件数量</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≧150万件</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157.84万件</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34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数量指标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公共资源交易服务中心完成建设工程招投标项目</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≧500个</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622</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数量指标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全天候智能解答服务</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≧10000次</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11653次</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质量指标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发布容缺受理清单和代办清单</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≧1000个</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1456</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质量指标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服务事件办结率</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5</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时效指标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审批办结承诺时限缩减率</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35.48%</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20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20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产出指标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时效指标</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受理事件及时性</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及时</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及时</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效益指标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社会效益</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提高行政审批效率</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效益指标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社会效益</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提高群众办事方便快捷度</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提高</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满意度指标</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社会公众</w:t>
            </w:r>
          </w:p>
        </w:tc>
        <w:tc>
          <w:tcPr>
            <w:tcW w:w="2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群众满意度</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w:t>
            </w:r>
          </w:p>
        </w:tc>
        <w:tc>
          <w:tcPr>
            <w:tcW w:w="62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c>
          <w:tcPr>
            <w:tcW w:w="13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p>
        </w:tc>
      </w:tr>
      <w:tr>
        <w:tblPrEx>
          <w:tblCellMar>
            <w:top w:w="0" w:type="dxa"/>
            <w:left w:w="0" w:type="dxa"/>
            <w:bottom w:w="0" w:type="dxa"/>
            <w:right w:w="0" w:type="dxa"/>
          </w:tblCellMar>
        </w:tblPrEx>
        <w:trPr>
          <w:trHeight w:val="280" w:hRule="atLeast"/>
        </w:trPr>
        <w:tc>
          <w:tcPr>
            <w:tcW w:w="689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绩 效 自 评 总 得 分</w:t>
            </w:r>
          </w:p>
        </w:tc>
        <w:tc>
          <w:tcPr>
            <w:tcW w:w="725"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100.00 </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优秀</w:t>
            </w:r>
          </w:p>
        </w:tc>
      </w:tr>
    </w:tbl>
    <w:p>
      <w:pPr>
        <w:overflowPunct w:val="0"/>
        <w:adjustRightInd w:val="0"/>
        <w:snapToGrid w:val="0"/>
        <w:spacing w:line="580" w:lineRule="exact"/>
        <w:ind w:firstLine="632" w:firstLineChars="200"/>
        <w:rPr>
          <w:rFonts w:hint="eastAsia" w:ascii="仿宋_GB2312" w:eastAsia="仿宋_GB2312"/>
          <w:szCs w:val="32"/>
          <w:lang w:eastAsia="zh-CN"/>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tbl>
      <w:tblPr>
        <w:tblStyle w:val="5"/>
        <w:tblW w:w="11100" w:type="dxa"/>
        <w:tblInd w:w="0" w:type="dxa"/>
        <w:tblLayout w:type="fixed"/>
        <w:tblCellMar>
          <w:top w:w="0" w:type="dxa"/>
          <w:left w:w="0" w:type="dxa"/>
          <w:bottom w:w="0" w:type="dxa"/>
          <w:right w:w="0" w:type="dxa"/>
        </w:tblCellMar>
      </w:tblPr>
      <w:tblGrid>
        <w:gridCol w:w="859"/>
        <w:gridCol w:w="928"/>
        <w:gridCol w:w="2249"/>
        <w:gridCol w:w="1304"/>
        <w:gridCol w:w="1428"/>
        <w:gridCol w:w="964"/>
        <w:gridCol w:w="1000"/>
        <w:gridCol w:w="661"/>
        <w:gridCol w:w="1707"/>
      </w:tblGrid>
      <w:tr>
        <w:tblPrEx>
          <w:tblCellMar>
            <w:top w:w="0" w:type="dxa"/>
            <w:left w:w="0" w:type="dxa"/>
            <w:bottom w:w="0" w:type="dxa"/>
            <w:right w:w="0" w:type="dxa"/>
          </w:tblCellMar>
        </w:tblPrEx>
        <w:trPr>
          <w:trHeight w:val="527" w:hRule="atLeast"/>
        </w:trPr>
        <w:tc>
          <w:tcPr>
            <w:tcW w:w="11100"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default" w:ascii="宋体" w:hAnsi="宋体" w:cs="宋体"/>
                <w:b/>
                <w:bCs/>
                <w:color w:val="000000"/>
                <w:kern w:val="0"/>
                <w:sz w:val="20"/>
                <w:szCs w:val="20"/>
                <w:lang w:val="en-US" w:eastAsia="zh-CN"/>
              </w:rPr>
              <w:t>项目支出绩效自评表</w:t>
            </w:r>
          </w:p>
        </w:tc>
      </w:tr>
      <w:tr>
        <w:tblPrEx>
          <w:tblCellMar>
            <w:top w:w="0" w:type="dxa"/>
            <w:left w:w="0" w:type="dxa"/>
            <w:bottom w:w="0" w:type="dxa"/>
            <w:right w:w="0" w:type="dxa"/>
          </w:tblCellMar>
        </w:tblPrEx>
        <w:trPr>
          <w:trHeight w:val="335" w:hRule="atLeast"/>
        </w:trPr>
        <w:tc>
          <w:tcPr>
            <w:tcW w:w="11100"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（2020年度）</w:t>
            </w:r>
          </w:p>
        </w:tc>
      </w:tr>
      <w:tr>
        <w:tblPrEx>
          <w:tblCellMar>
            <w:top w:w="0" w:type="dxa"/>
            <w:left w:w="0" w:type="dxa"/>
            <w:bottom w:w="0" w:type="dxa"/>
            <w:right w:w="0" w:type="dxa"/>
          </w:tblCellMar>
        </w:tblPrEx>
        <w:trPr>
          <w:trHeight w:val="497" w:hRule="atLeast"/>
        </w:trPr>
        <w:tc>
          <w:tcPr>
            <w:tcW w:w="1787" w:type="dxa"/>
            <w:gridSpan w:val="2"/>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项目联系人：郑金伟</w:t>
            </w:r>
          </w:p>
        </w:tc>
        <w:tc>
          <w:tcPr>
            <w:tcW w:w="2249" w:type="dxa"/>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项目联系电话：868976529</w:t>
            </w:r>
          </w:p>
        </w:tc>
        <w:tc>
          <w:tcPr>
            <w:tcW w:w="3696" w:type="dxa"/>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财务联系人：吴莹</w:t>
            </w:r>
          </w:p>
        </w:tc>
        <w:tc>
          <w:tcPr>
            <w:tcW w:w="3368" w:type="dxa"/>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财务联系电话：85166708</w:t>
            </w:r>
          </w:p>
        </w:tc>
      </w:tr>
      <w:tr>
        <w:tblPrEx>
          <w:tblCellMar>
            <w:top w:w="0" w:type="dxa"/>
            <w:left w:w="0" w:type="dxa"/>
            <w:bottom w:w="0" w:type="dxa"/>
            <w:right w:w="0" w:type="dxa"/>
          </w:tblCellMar>
        </w:tblPrEx>
        <w:trPr>
          <w:trHeight w:val="507" w:hRule="atLeast"/>
        </w:trPr>
        <w:tc>
          <w:tcPr>
            <w:tcW w:w="1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项目名称</w:t>
            </w:r>
          </w:p>
        </w:tc>
        <w:tc>
          <w:tcPr>
            <w:tcW w:w="931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购买服务类人员费用</w:t>
            </w:r>
          </w:p>
        </w:tc>
      </w:tr>
      <w:tr>
        <w:tblPrEx>
          <w:tblCellMar>
            <w:top w:w="0" w:type="dxa"/>
            <w:left w:w="0" w:type="dxa"/>
            <w:bottom w:w="0" w:type="dxa"/>
            <w:right w:w="0" w:type="dxa"/>
          </w:tblCellMar>
        </w:tblPrEx>
        <w:trPr>
          <w:trHeight w:val="507" w:hRule="atLeast"/>
        </w:trPr>
        <w:tc>
          <w:tcPr>
            <w:tcW w:w="17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预算部门和单位(盖章)</w:t>
            </w:r>
          </w:p>
        </w:tc>
        <w:tc>
          <w:tcPr>
            <w:tcW w:w="3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实施单位</w:t>
            </w:r>
          </w:p>
        </w:tc>
        <w:tc>
          <w:tcPr>
            <w:tcW w:w="43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r>
      <w:tr>
        <w:tblPrEx>
          <w:tblCellMar>
            <w:top w:w="0" w:type="dxa"/>
            <w:left w:w="0" w:type="dxa"/>
            <w:bottom w:w="0" w:type="dxa"/>
            <w:right w:w="0" w:type="dxa"/>
          </w:tblCellMar>
        </w:tblPrEx>
        <w:trPr>
          <w:trHeight w:val="626" w:hRule="atLeast"/>
        </w:trPr>
        <w:tc>
          <w:tcPr>
            <w:tcW w:w="17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项目资金（万元）</w:t>
            </w: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年初预算安排数</w:t>
            </w:r>
          </w:p>
        </w:tc>
        <w:tc>
          <w:tcPr>
            <w:tcW w:w="13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调整后全年预算数</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全年执行数</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全年执行率</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r>
      <w:tr>
        <w:tblPrEx>
          <w:tblCellMar>
            <w:top w:w="0" w:type="dxa"/>
            <w:left w:w="0" w:type="dxa"/>
            <w:bottom w:w="0" w:type="dxa"/>
            <w:right w:w="0" w:type="dxa"/>
          </w:tblCellMar>
        </w:tblPrEx>
        <w:trPr>
          <w:trHeight w:val="386"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资金合计</w:t>
            </w:r>
          </w:p>
        </w:tc>
        <w:tc>
          <w:tcPr>
            <w:tcW w:w="2249"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225.00 </w:t>
            </w:r>
          </w:p>
        </w:tc>
        <w:tc>
          <w:tcPr>
            <w:tcW w:w="1304"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412.50 </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412.36 </w:t>
            </w:r>
          </w:p>
        </w:tc>
        <w:tc>
          <w:tcPr>
            <w:tcW w:w="100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99.97%</w:t>
            </w:r>
          </w:p>
        </w:tc>
        <w:tc>
          <w:tcPr>
            <w:tcW w:w="66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70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10.00 </w:t>
            </w:r>
          </w:p>
        </w:tc>
      </w:tr>
      <w:tr>
        <w:tblPrEx>
          <w:tblCellMar>
            <w:top w:w="0" w:type="dxa"/>
            <w:left w:w="0" w:type="dxa"/>
            <w:bottom w:w="0" w:type="dxa"/>
            <w:right w:w="0" w:type="dxa"/>
          </w:tblCellMar>
        </w:tblPrEx>
        <w:trPr>
          <w:trHeight w:val="386"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其中：本级财政拨款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225.00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412.50 </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412.36 </w:t>
            </w:r>
          </w:p>
        </w:tc>
        <w:tc>
          <w:tcPr>
            <w:tcW w:w="100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99.97%</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86"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上级资金XXXX  </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86"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其他资金XXXX</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86"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预算年度</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绩效目标</w:t>
            </w:r>
          </w:p>
        </w:tc>
        <w:tc>
          <w:tcPr>
            <w:tcW w:w="448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预期目标</w:t>
            </w:r>
          </w:p>
        </w:tc>
        <w:tc>
          <w:tcPr>
            <w:tcW w:w="576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实际完成情况</w:t>
            </w:r>
          </w:p>
        </w:tc>
      </w:tr>
      <w:tr>
        <w:tblPrEx>
          <w:tblCellMar>
            <w:top w:w="0" w:type="dxa"/>
            <w:left w:w="0" w:type="dxa"/>
            <w:bottom w:w="0" w:type="dxa"/>
            <w:right w:w="0" w:type="dxa"/>
          </w:tblCellMar>
        </w:tblPrEx>
        <w:trPr>
          <w:trHeight w:val="1351"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448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在新区行政服务大厅为企业群众提供办事咨询、引导分流、现场帮办、自助协办、全程代办服务。主要用于综合受理、即办、证照发放、大厅咨询引导、帮办代办等政务服务辅助工作劳务外包。</w:t>
            </w:r>
          </w:p>
        </w:tc>
        <w:tc>
          <w:tcPr>
            <w:tcW w:w="576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2020年，行政服务大厅将办事咨询、引导分流、现场帮办、自助协办、全程代办服务。主要用于综合受理、即办、证照发放、大厅咨询引导、帮办代办等政务服务辅助工作进行了劳务外包，使我局顺利完成了工作目标。</w:t>
            </w:r>
          </w:p>
        </w:tc>
      </w:tr>
      <w:tr>
        <w:tblPrEx>
          <w:tblCellMar>
            <w:top w:w="0" w:type="dxa"/>
            <w:left w:w="0" w:type="dxa"/>
            <w:bottom w:w="0" w:type="dxa"/>
            <w:right w:w="0" w:type="dxa"/>
          </w:tblCellMar>
        </w:tblPrEx>
        <w:trPr>
          <w:trHeight w:val="58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一级绩效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二级绩效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三级绩效指标</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年度指标值</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实际完成值</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c>
          <w:tcPr>
            <w:tcW w:w="23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偏差原因及改进</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措施简述</w:t>
            </w: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数量指标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政务服务日均办件数量</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1200项以上</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1280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数量指标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政务服务辅助劳务总工时</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390小时/天</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390小时/天</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劳务人员业务考核合格率</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07"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政务服务辅助处理事项准确率</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时效指标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劳务人员辅助受理及时性</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时效指标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受理事项当日办结率</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成本指标</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劳务外包费用</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412.5万</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412.36万</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07"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社会效益</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提高工作效率，提升服务质量</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大幅提升</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大幅提升</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6"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生态效益</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提高办事服务环境</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提高</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提高</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07"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可持续影响</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提高政务服务效能</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显著提高</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显著提高</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07" w:hRule="atLeast"/>
        </w:trPr>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满意度指标</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社会公众</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群众满意度</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6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70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96" w:hRule="atLeast"/>
        </w:trPr>
        <w:tc>
          <w:tcPr>
            <w:tcW w:w="676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绩 效 自 评 总 得 分</w:t>
            </w:r>
          </w:p>
        </w:tc>
        <w:tc>
          <w:tcPr>
            <w:tcW w:w="964"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100.00 </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优秀</w:t>
            </w:r>
          </w:p>
        </w:tc>
      </w:tr>
    </w:tbl>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tbl>
      <w:tblPr>
        <w:tblStyle w:val="5"/>
        <w:tblW w:w="10860" w:type="dxa"/>
        <w:tblInd w:w="0" w:type="dxa"/>
        <w:tblLayout w:type="autofit"/>
        <w:tblCellMar>
          <w:top w:w="0" w:type="dxa"/>
          <w:left w:w="0" w:type="dxa"/>
          <w:bottom w:w="0" w:type="dxa"/>
          <w:right w:w="0" w:type="dxa"/>
        </w:tblCellMar>
      </w:tblPr>
      <w:tblGrid>
        <w:gridCol w:w="951"/>
        <w:gridCol w:w="913"/>
        <w:gridCol w:w="2295"/>
        <w:gridCol w:w="1604"/>
        <w:gridCol w:w="1417"/>
        <w:gridCol w:w="849"/>
        <w:gridCol w:w="1014"/>
        <w:gridCol w:w="641"/>
        <w:gridCol w:w="1176"/>
      </w:tblGrid>
      <w:tr>
        <w:tblPrEx>
          <w:tblCellMar>
            <w:top w:w="0" w:type="dxa"/>
            <w:left w:w="0" w:type="dxa"/>
            <w:bottom w:w="0" w:type="dxa"/>
            <w:right w:w="0" w:type="dxa"/>
          </w:tblCellMar>
        </w:tblPrEx>
        <w:trPr>
          <w:trHeight w:val="533" w:hRule="atLeast"/>
        </w:trPr>
        <w:tc>
          <w:tcPr>
            <w:tcW w:w="10860"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default" w:ascii="宋体" w:hAnsi="宋体" w:cs="宋体"/>
                <w:b/>
                <w:bCs/>
                <w:color w:val="000000"/>
                <w:kern w:val="0"/>
                <w:sz w:val="20"/>
                <w:szCs w:val="20"/>
                <w:lang w:val="en-US" w:eastAsia="zh-CN"/>
              </w:rPr>
            </w:pPr>
            <w:r>
              <w:rPr>
                <w:rFonts w:hint="default" w:ascii="宋体" w:hAnsi="宋体" w:cs="宋体"/>
                <w:b/>
                <w:bCs/>
                <w:color w:val="000000"/>
                <w:kern w:val="0"/>
                <w:sz w:val="20"/>
                <w:szCs w:val="20"/>
                <w:lang w:val="en-US" w:eastAsia="zh-CN"/>
              </w:rPr>
              <w:t>项目支出绩效自评表</w:t>
            </w:r>
          </w:p>
        </w:tc>
      </w:tr>
      <w:tr>
        <w:tblPrEx>
          <w:tblCellMar>
            <w:top w:w="0" w:type="dxa"/>
            <w:left w:w="0" w:type="dxa"/>
            <w:bottom w:w="0" w:type="dxa"/>
            <w:right w:w="0" w:type="dxa"/>
          </w:tblCellMar>
        </w:tblPrEx>
        <w:trPr>
          <w:trHeight w:val="339" w:hRule="atLeast"/>
        </w:trPr>
        <w:tc>
          <w:tcPr>
            <w:tcW w:w="0" w:type="auto"/>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（2020年度）</w:t>
            </w:r>
          </w:p>
        </w:tc>
      </w:tr>
      <w:tr>
        <w:tblPrEx>
          <w:tblCellMar>
            <w:top w:w="0" w:type="dxa"/>
            <w:left w:w="0" w:type="dxa"/>
            <w:bottom w:w="0" w:type="dxa"/>
            <w:right w:w="0" w:type="dxa"/>
          </w:tblCellMar>
        </w:tblPrEx>
        <w:trPr>
          <w:trHeight w:val="503" w:hRule="atLeast"/>
        </w:trPr>
        <w:tc>
          <w:tcPr>
            <w:tcW w:w="0" w:type="auto"/>
            <w:gridSpan w:val="2"/>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项目联系人：郑金伟</w:t>
            </w:r>
          </w:p>
        </w:tc>
        <w:tc>
          <w:tcPr>
            <w:tcW w:w="0" w:type="auto"/>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项目联系电话：868976529</w:t>
            </w:r>
          </w:p>
        </w:tc>
        <w:tc>
          <w:tcPr>
            <w:tcW w:w="0" w:type="auto"/>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财务联系人：吴莹</w:t>
            </w:r>
          </w:p>
        </w:tc>
        <w:tc>
          <w:tcPr>
            <w:tcW w:w="0" w:type="auto"/>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财务联系电话：85166708</w:t>
            </w:r>
          </w:p>
        </w:tc>
      </w:tr>
      <w:tr>
        <w:tblPrEx>
          <w:tblCellMar>
            <w:top w:w="0" w:type="dxa"/>
            <w:left w:w="0" w:type="dxa"/>
            <w:bottom w:w="0" w:type="dxa"/>
            <w:right w:w="0"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项目名称</w:t>
            </w:r>
          </w:p>
        </w:tc>
        <w:tc>
          <w:tcPr>
            <w:tcW w:w="883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劳务派遣人员费用</w:t>
            </w:r>
          </w:p>
        </w:tc>
      </w:tr>
      <w:tr>
        <w:tblPrEx>
          <w:tblCellMar>
            <w:top w:w="0" w:type="dxa"/>
            <w:left w:w="0" w:type="dxa"/>
            <w:bottom w:w="0" w:type="dxa"/>
            <w:right w:w="0" w:type="dxa"/>
          </w:tblCellMar>
        </w:tblPrEx>
        <w:trPr>
          <w:trHeight w:val="513" w:hRule="atLeast"/>
        </w:trPr>
        <w:tc>
          <w:tcPr>
            <w:tcW w:w="20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预算部门和单位(盖章)</w:t>
            </w:r>
          </w:p>
        </w:tc>
        <w:tc>
          <w:tcPr>
            <w:tcW w:w="37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实施单位</w:t>
            </w:r>
          </w:p>
        </w:tc>
        <w:tc>
          <w:tcPr>
            <w:tcW w:w="36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r>
      <w:tr>
        <w:tblPrEx>
          <w:tblCellMar>
            <w:top w:w="0" w:type="dxa"/>
            <w:left w:w="0" w:type="dxa"/>
            <w:bottom w:w="0" w:type="dxa"/>
            <w:right w:w="0" w:type="dxa"/>
          </w:tblCellMar>
        </w:tblPrEx>
        <w:trPr>
          <w:trHeight w:val="513" w:hRule="atLeast"/>
        </w:trPr>
        <w:tc>
          <w:tcPr>
            <w:tcW w:w="20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项目资金（万元）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年初预算安排数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调整后全年预算数</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r>
      <w:tr>
        <w:tblPrEx>
          <w:tblCellMar>
            <w:top w:w="0" w:type="dxa"/>
            <w:left w:w="0" w:type="dxa"/>
            <w:bottom w:w="0" w:type="dxa"/>
            <w:right w:w="0" w:type="dxa"/>
          </w:tblCellMar>
        </w:tblPrEx>
        <w:trPr>
          <w:trHeight w:val="391"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资金合计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486.09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486.09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451.80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92.95%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9.29 </w:t>
            </w:r>
          </w:p>
        </w:tc>
      </w:tr>
      <w:tr>
        <w:tblPrEx>
          <w:tblCellMar>
            <w:top w:w="0" w:type="dxa"/>
            <w:left w:w="0" w:type="dxa"/>
            <w:bottom w:w="0" w:type="dxa"/>
            <w:right w:w="0" w:type="dxa"/>
          </w:tblCellMar>
        </w:tblPrEx>
        <w:trPr>
          <w:trHeight w:val="391"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其中：本级财政拨款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486.09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486.09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451.80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92.95%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91"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上级资金XXXX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91"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其他资金XXXX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391" w:hRule="atLeast"/>
        </w:trPr>
        <w:tc>
          <w:tcPr>
            <w:tcW w:w="10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预算年度</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绩效目标</w:t>
            </w:r>
          </w:p>
        </w:tc>
        <w:tc>
          <w:tcPr>
            <w:tcW w:w="4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实际完成情况</w:t>
            </w:r>
          </w:p>
        </w:tc>
      </w:tr>
      <w:tr>
        <w:tblPrEx>
          <w:tblCellMar>
            <w:top w:w="0" w:type="dxa"/>
            <w:left w:w="0" w:type="dxa"/>
            <w:bottom w:w="0" w:type="dxa"/>
            <w:right w:w="0" w:type="dxa"/>
          </w:tblCellMar>
        </w:tblPrEx>
        <w:trPr>
          <w:trHeight w:val="1774" w:hRule="atLeast"/>
        </w:trPr>
        <w:tc>
          <w:tcPr>
            <w:tcW w:w="10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4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我局工作人员严重不足，随着行政审批改革的深入推进，承担上级越来越多的委托、授权事项，2021年劳务派遣人员将在基层23个镇街便民大厅完成个体工商户和食品经营许可证的办理、引导、政策解答等工作，并在区级大厅的辅助审批、完成非税收入等工作中发挥巨大作用。 劳务派遣人员是我局完成工作目标的重要人员组成部分。</w:t>
            </w:r>
          </w:p>
        </w:tc>
        <w:tc>
          <w:tcPr>
            <w:tcW w:w="508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2020年劳务派遣人员在基层23个镇街便民大厅完成个体工商户和食品经营许可证的办理、引导、政策解答等工作，并在区级大厅的辅助审批、完成非税收入等工作中发挥了巨大作用。 劳务派遣人员2020年成为我局完成工作目标的重要人员组成部分。</w:t>
            </w:r>
          </w:p>
        </w:tc>
      </w:tr>
      <w:tr>
        <w:tblPrEx>
          <w:tblCellMar>
            <w:top w:w="0" w:type="dxa"/>
            <w:left w:w="0" w:type="dxa"/>
            <w:bottom w:w="0" w:type="dxa"/>
            <w:right w:w="0" w:type="dxa"/>
          </w:tblCellMar>
        </w:tblPrEx>
        <w:trPr>
          <w:trHeight w:val="59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一级绩效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二级绩效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三级绩效指标</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年度指标值</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实际完成值</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c>
          <w:tcPr>
            <w:tcW w:w="18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偏差原因及改进</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措施简述</w:t>
            </w:r>
          </w:p>
        </w:tc>
      </w:tr>
      <w:tr>
        <w:tblPrEx>
          <w:tblCellMar>
            <w:top w:w="0" w:type="dxa"/>
            <w:left w:w="0" w:type="dxa"/>
            <w:bottom w:w="0" w:type="dxa"/>
            <w:right w:w="0" w:type="dxa"/>
          </w:tblCellMar>
        </w:tblPrEx>
        <w:trPr>
          <w:trHeight w:val="299"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数量指标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劳务派遣人员数量</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91人</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83人</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9.29</w:t>
            </w:r>
          </w:p>
        </w:tc>
        <w:tc>
          <w:tcPr>
            <w:tcW w:w="18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其他原因</w:t>
            </w: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聘用人员素质与岗位要求符合度</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聘用人数与岗位数量吻合度</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聘用人员使用实际与计划符合度</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8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劳务派遣人员工资标准执行准确率</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100%达标</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100%达标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8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9"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时效指标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工资发放及时性</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及时</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及时</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成本指标</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劳务派遣人员工资标准执行准确率</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442万</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451.8</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9.29</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其他原因</w:t>
            </w: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收回资金</w:t>
            </w: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社会效益</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聘用人员岗位符合程度和办事准确率</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100%达标</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100%达标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9"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可持续影响</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聘用人员考评机制</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已完善</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已完善</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299"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可持续影响</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聘用人员退出机制</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已完善</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已完善</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13" w:hRule="atLeast"/>
        </w:trPr>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满意度指标</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受益对象</w:t>
            </w:r>
          </w:p>
        </w:tc>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办事群众对窗口工作人员的满意度</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9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1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401" w:hRule="atLeast"/>
        </w:trPr>
        <w:tc>
          <w:tcPr>
            <w:tcW w:w="719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绩 效 自 评 总 得 分</w:t>
            </w:r>
          </w:p>
        </w:tc>
        <w:tc>
          <w:tcPr>
            <w:tcW w:w="849"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97.87 </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优秀</w:t>
            </w:r>
          </w:p>
        </w:tc>
      </w:tr>
    </w:tbl>
    <w:p>
      <w:pPr>
        <w:spacing w:line="580" w:lineRule="exact"/>
        <w:ind w:firstLine="632" w:firstLineChars="200"/>
        <w:rPr>
          <w:rFonts w:hint="eastAsia" w:ascii="仿宋_GB2312" w:eastAsia="仿宋_GB2312"/>
          <w:szCs w:val="32"/>
        </w:rPr>
      </w:pPr>
    </w:p>
    <w:p>
      <w:pPr>
        <w:spacing w:line="580" w:lineRule="exact"/>
        <w:ind w:firstLine="632" w:firstLineChars="200"/>
        <w:rPr>
          <w:rFonts w:hint="eastAsia" w:ascii="仿宋_GB2312" w:eastAsia="仿宋_GB2312"/>
          <w:szCs w:val="32"/>
        </w:rPr>
      </w:pPr>
    </w:p>
    <w:tbl>
      <w:tblPr>
        <w:tblStyle w:val="5"/>
        <w:tblW w:w="10980" w:type="dxa"/>
        <w:tblInd w:w="0" w:type="dxa"/>
        <w:tblLayout w:type="autofit"/>
        <w:tblCellMar>
          <w:top w:w="0" w:type="dxa"/>
          <w:left w:w="0" w:type="dxa"/>
          <w:bottom w:w="0" w:type="dxa"/>
          <w:right w:w="0" w:type="dxa"/>
        </w:tblCellMar>
      </w:tblPr>
      <w:tblGrid>
        <w:gridCol w:w="1103"/>
        <w:gridCol w:w="914"/>
        <w:gridCol w:w="2295"/>
        <w:gridCol w:w="1604"/>
        <w:gridCol w:w="1395"/>
        <w:gridCol w:w="644"/>
        <w:gridCol w:w="1014"/>
        <w:gridCol w:w="641"/>
        <w:gridCol w:w="1370"/>
      </w:tblGrid>
      <w:tr>
        <w:tblPrEx>
          <w:tblCellMar>
            <w:top w:w="0" w:type="dxa"/>
            <w:left w:w="0" w:type="dxa"/>
            <w:bottom w:w="0" w:type="dxa"/>
            <w:right w:w="0" w:type="dxa"/>
          </w:tblCellMar>
        </w:tblPrEx>
        <w:trPr>
          <w:trHeight w:val="550" w:hRule="atLeast"/>
        </w:trPr>
        <w:tc>
          <w:tcPr>
            <w:tcW w:w="10980" w:type="dxa"/>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default" w:ascii="宋体" w:hAnsi="宋体" w:cs="宋体"/>
                <w:b/>
                <w:bCs/>
                <w:color w:val="000000"/>
                <w:kern w:val="0"/>
                <w:sz w:val="20"/>
                <w:szCs w:val="20"/>
                <w:lang w:val="en-US" w:eastAsia="zh-CN"/>
              </w:rPr>
              <w:t>项目支出绩效自评表</w:t>
            </w:r>
          </w:p>
        </w:tc>
      </w:tr>
      <w:tr>
        <w:tblPrEx>
          <w:tblCellMar>
            <w:top w:w="0" w:type="dxa"/>
            <w:left w:w="0" w:type="dxa"/>
            <w:bottom w:w="0" w:type="dxa"/>
            <w:right w:w="0" w:type="dxa"/>
          </w:tblCellMar>
        </w:tblPrEx>
        <w:trPr>
          <w:trHeight w:val="356" w:hRule="atLeast"/>
        </w:trPr>
        <w:tc>
          <w:tcPr>
            <w:tcW w:w="0" w:type="auto"/>
            <w:gridSpan w:val="9"/>
            <w:tcBorders>
              <w:top w:val="nil"/>
              <w:left w:val="nil"/>
              <w:bottom w:val="nil"/>
              <w:right w:val="nil"/>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（2020年度）</w:t>
            </w:r>
          </w:p>
        </w:tc>
      </w:tr>
      <w:tr>
        <w:tblPrEx>
          <w:tblCellMar>
            <w:top w:w="0" w:type="dxa"/>
            <w:left w:w="0" w:type="dxa"/>
            <w:bottom w:w="0" w:type="dxa"/>
            <w:right w:w="0" w:type="dxa"/>
          </w:tblCellMar>
        </w:tblPrEx>
        <w:trPr>
          <w:trHeight w:val="520" w:hRule="atLeast"/>
        </w:trPr>
        <w:tc>
          <w:tcPr>
            <w:tcW w:w="0" w:type="auto"/>
            <w:gridSpan w:val="2"/>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项目联系人：郑金伟</w:t>
            </w:r>
          </w:p>
        </w:tc>
        <w:tc>
          <w:tcPr>
            <w:tcW w:w="0" w:type="auto"/>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项目联系电话：868976529</w:t>
            </w:r>
          </w:p>
        </w:tc>
        <w:tc>
          <w:tcPr>
            <w:tcW w:w="0" w:type="auto"/>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财务联系人：吴莹</w:t>
            </w:r>
          </w:p>
        </w:tc>
        <w:tc>
          <w:tcPr>
            <w:tcW w:w="0" w:type="auto"/>
            <w:gridSpan w:val="3"/>
            <w:tcBorders>
              <w:top w:val="nil"/>
              <w:left w:val="nil"/>
              <w:bottom w:val="single" w:color="000000" w:sz="4" w:space="0"/>
              <w:right w:val="nil"/>
            </w:tcBorders>
            <w:noWrap/>
            <w:tcMar>
              <w:top w:w="15" w:type="dxa"/>
              <w:left w:w="15" w:type="dxa"/>
              <w:right w:w="15" w:type="dxa"/>
            </w:tcMar>
            <w:vAlign w:val="bottom"/>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财务联系电话：85166708</w:t>
            </w:r>
          </w:p>
        </w:tc>
      </w:tr>
      <w:tr>
        <w:tblPrEx>
          <w:tblCellMar>
            <w:top w:w="0" w:type="dxa"/>
            <w:left w:w="0" w:type="dxa"/>
            <w:bottom w:w="0" w:type="dxa"/>
            <w:right w:w="0"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项目名称</w:t>
            </w:r>
          </w:p>
        </w:tc>
        <w:tc>
          <w:tcPr>
            <w:tcW w:w="891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采购咨询服务智库专项经费</w:t>
            </w:r>
          </w:p>
        </w:tc>
      </w:tr>
      <w:tr>
        <w:tblPrEx>
          <w:tblCellMar>
            <w:top w:w="0" w:type="dxa"/>
            <w:left w:w="0" w:type="dxa"/>
            <w:bottom w:w="0" w:type="dxa"/>
            <w:right w:w="0" w:type="dxa"/>
          </w:tblCellMar>
        </w:tblPrEx>
        <w:trPr>
          <w:trHeight w:val="540" w:hRule="atLeast"/>
        </w:trPr>
        <w:tc>
          <w:tcPr>
            <w:tcW w:w="20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预算部门和单位(盖章)</w:t>
            </w:r>
          </w:p>
        </w:tc>
        <w:tc>
          <w:tcPr>
            <w:tcW w:w="3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实施单位</w:t>
            </w:r>
          </w:p>
        </w:tc>
        <w:tc>
          <w:tcPr>
            <w:tcW w:w="36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青岛市黄岛区行政审批服务局</w:t>
            </w:r>
          </w:p>
        </w:tc>
      </w:tr>
      <w:tr>
        <w:tblPrEx>
          <w:tblCellMar>
            <w:top w:w="0" w:type="dxa"/>
            <w:left w:w="0" w:type="dxa"/>
            <w:bottom w:w="0" w:type="dxa"/>
            <w:right w:w="0" w:type="dxa"/>
          </w:tblCellMar>
        </w:tblPrEx>
        <w:trPr>
          <w:trHeight w:val="540" w:hRule="atLeast"/>
        </w:trPr>
        <w:tc>
          <w:tcPr>
            <w:tcW w:w="20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项目资金（万元）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年初预算安排数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调整后全年预算数</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全年执行率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r>
      <w:tr>
        <w:tblPrEx>
          <w:tblCellMar>
            <w:top w:w="0" w:type="dxa"/>
            <w:left w:w="0" w:type="dxa"/>
            <w:bottom w:w="0" w:type="dxa"/>
            <w:right w:w="0" w:type="dxa"/>
          </w:tblCellMar>
        </w:tblPrEx>
        <w:trPr>
          <w:trHeight w:val="418" w:hRule="atLeast"/>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资金合计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29.75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29.75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10.00 </w:t>
            </w:r>
          </w:p>
        </w:tc>
      </w:tr>
      <w:tr>
        <w:tblPrEx>
          <w:tblCellMar>
            <w:top w:w="0" w:type="dxa"/>
            <w:left w:w="0" w:type="dxa"/>
            <w:bottom w:w="0" w:type="dxa"/>
            <w:right w:w="0" w:type="dxa"/>
          </w:tblCellMar>
        </w:tblPrEx>
        <w:trPr>
          <w:trHeight w:val="418" w:hRule="atLeast"/>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其中：本级财政拨款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29.75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29.75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418" w:hRule="atLeast"/>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上级资金XXXX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418" w:hRule="atLeast"/>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其他资金XXXX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w:t>
            </w:r>
          </w:p>
        </w:tc>
      </w:tr>
      <w:tr>
        <w:tblPrEx>
          <w:tblCellMar>
            <w:top w:w="0" w:type="dxa"/>
            <w:left w:w="0" w:type="dxa"/>
            <w:bottom w:w="0" w:type="dxa"/>
            <w:right w:w="0" w:type="dxa"/>
          </w:tblCellMar>
        </w:tblPrEx>
        <w:trPr>
          <w:trHeight w:val="418" w:hRule="atLeast"/>
        </w:trPr>
        <w:tc>
          <w:tcPr>
            <w:tcW w:w="11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预算年度</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绩效目标</w:t>
            </w:r>
          </w:p>
        </w:tc>
        <w:tc>
          <w:tcPr>
            <w:tcW w:w="48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实际完成情况</w:t>
            </w:r>
          </w:p>
        </w:tc>
      </w:tr>
      <w:tr>
        <w:tblPrEx>
          <w:tblCellMar>
            <w:top w:w="0" w:type="dxa"/>
            <w:left w:w="0" w:type="dxa"/>
            <w:bottom w:w="0" w:type="dxa"/>
            <w:right w:w="0" w:type="dxa"/>
          </w:tblCellMar>
        </w:tblPrEx>
        <w:trPr>
          <w:trHeight w:val="139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48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新区参加全国营商环境评价，采购咨询服务专业智库，为我局牵头的四个指标进行培训、辅助，力争全国迎评位于前列。</w:t>
            </w:r>
          </w:p>
        </w:tc>
        <w:tc>
          <w:tcPr>
            <w:tcW w:w="505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通过项目实施单位的培训，以及迎评材料的辅助准备工作，圆满完成了全国营商环境评价工作。</w:t>
            </w:r>
          </w:p>
        </w:tc>
      </w:tr>
      <w:tr>
        <w:tblPrEx>
          <w:tblCellMar>
            <w:top w:w="0" w:type="dxa"/>
            <w:left w:w="0" w:type="dxa"/>
            <w:bottom w:w="0" w:type="dxa"/>
            <w:right w:w="0" w:type="dxa"/>
          </w:tblCellMar>
        </w:tblPrEx>
        <w:trPr>
          <w:trHeight w:val="620"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一级绩效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二级绩效</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三级绩效指标</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年度指标值</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实际完成值</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赋分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得分</w:t>
            </w:r>
          </w:p>
        </w:tc>
        <w:tc>
          <w:tcPr>
            <w:tcW w:w="2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偏差原因及改进</w:t>
            </w:r>
            <w:r>
              <w:rPr>
                <w:rFonts w:hint="eastAsia" w:ascii="宋体" w:hAnsi="宋体" w:cs="宋体"/>
                <w:b/>
                <w:bCs/>
                <w:color w:val="000000"/>
                <w:kern w:val="0"/>
                <w:sz w:val="20"/>
                <w:szCs w:val="20"/>
                <w:lang w:val="en-US" w:eastAsia="zh-CN"/>
              </w:rPr>
              <w:br w:type="textWrapping"/>
            </w:r>
            <w:r>
              <w:rPr>
                <w:rFonts w:hint="eastAsia" w:ascii="宋体" w:hAnsi="宋体" w:cs="宋体"/>
                <w:b/>
                <w:bCs/>
                <w:color w:val="000000"/>
                <w:kern w:val="0"/>
                <w:sz w:val="20"/>
                <w:szCs w:val="20"/>
                <w:lang w:val="en-US" w:eastAsia="zh-CN"/>
              </w:rPr>
              <w:t>措施简述</w:t>
            </w: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数量指标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我局牵头指标四个</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4</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数量指标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总计培训课时</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5</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培训内容务实、条例清晰</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质量指标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材料整理规范、齐全</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时效指标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规定时间内完成工作任务</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成本指标</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采购咨询服务智库经费</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29.75万元</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29.75万元</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40"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社会效益</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企业开办时限缩短至平均半个工作日内</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完成</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已完成</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540"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社会效益</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缩减简易低风险项目审批时间</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10个工作日内</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10个工作日内</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服务对象</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服务对象满意</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326" w:hRule="atLeast"/>
        </w:trPr>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社会公众</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社会公众满意</w:t>
            </w:r>
          </w:p>
        </w:tc>
        <w:tc>
          <w:tcPr>
            <w:tcW w:w="1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64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p>
        </w:tc>
      </w:tr>
      <w:tr>
        <w:tblPrEx>
          <w:tblCellMar>
            <w:top w:w="0" w:type="dxa"/>
            <w:left w:w="0" w:type="dxa"/>
            <w:bottom w:w="0" w:type="dxa"/>
            <w:right w:w="0" w:type="dxa"/>
          </w:tblCellMar>
        </w:tblPrEx>
        <w:trPr>
          <w:trHeight w:val="438" w:hRule="atLeast"/>
        </w:trPr>
        <w:tc>
          <w:tcPr>
            <w:tcW w:w="732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绩 效 自 评 总 得 分</w:t>
            </w:r>
          </w:p>
        </w:tc>
        <w:tc>
          <w:tcPr>
            <w:tcW w:w="644"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100 </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pPr>
              <w:widowControl/>
              <w:spacing w:line="240" w:lineRule="exact"/>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优秀</w:t>
            </w:r>
          </w:p>
        </w:tc>
      </w:tr>
    </w:tbl>
    <w:p>
      <w:pPr>
        <w:spacing w:line="580" w:lineRule="exact"/>
        <w:ind w:firstLine="632" w:firstLineChars="200"/>
        <w:rPr>
          <w:rFonts w:hint="eastAsia" w:ascii="仿宋_GB2312" w:eastAsia="仿宋_GB2312"/>
          <w:szCs w:val="32"/>
        </w:rPr>
      </w:pPr>
    </w:p>
    <w:p/>
    <w:sectPr>
      <w:pgSz w:w="11906" w:h="16838"/>
      <w:pgMar w:top="1134" w:right="567" w:bottom="1134" w:left="567" w:header="0" w:footer="850" w:gutter="0"/>
      <w:cols w:space="720" w:num="1"/>
      <w:rtlGutter w:val="0"/>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11BEE"/>
    <w:multiLevelType w:val="singleLevel"/>
    <w:tmpl w:val="84D11BEE"/>
    <w:lvl w:ilvl="0" w:tentative="0">
      <w:start w:val="3"/>
      <w:numFmt w:val="decimal"/>
      <w:suff w:val="nothing"/>
      <w:lvlText w:val="%1、"/>
      <w:lvlJc w:val="left"/>
    </w:lvl>
  </w:abstractNum>
  <w:abstractNum w:abstractNumId="1">
    <w:nsid w:val="BFBE367A"/>
    <w:multiLevelType w:val="singleLevel"/>
    <w:tmpl w:val="BFBE367A"/>
    <w:lvl w:ilvl="0" w:tentative="0">
      <w:start w:val="11"/>
      <w:numFmt w:val="chineseCounting"/>
      <w:suff w:val="nothing"/>
      <w:lvlText w:val="%1、"/>
      <w:lvlJc w:val="left"/>
      <w:rPr>
        <w:rFonts w:hint="eastAsia"/>
      </w:rPr>
    </w:lvl>
  </w:abstractNum>
  <w:abstractNum w:abstractNumId="2">
    <w:nsid w:val="5248601D"/>
    <w:multiLevelType w:val="multilevel"/>
    <w:tmpl w:val="5248601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B68014"/>
    <w:multiLevelType w:val="singleLevel"/>
    <w:tmpl w:val="5AB68014"/>
    <w:lvl w:ilvl="0" w:tentative="0">
      <w:start w:val="9"/>
      <w:numFmt w:val="chineseCounting"/>
      <w:suff w:val="nothing"/>
      <w:lvlText w:val="（%1）"/>
      <w:lvlJc w:val="left"/>
      <w:rPr>
        <w:rFonts w:hint="eastAsia"/>
      </w:rPr>
    </w:lvl>
  </w:abstractNum>
  <w:abstractNum w:abstractNumId="4">
    <w:nsid w:val="5CA16BD7"/>
    <w:multiLevelType w:val="singleLevel"/>
    <w:tmpl w:val="5CA16BD7"/>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B586D"/>
    <w:rsid w:val="355C40E5"/>
    <w:rsid w:val="49E77C06"/>
    <w:rsid w:val="7E9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2021-09-16T06:39:00Z</dcterms:created>
  <dc:creator>Administrator</dc:creator>
  <cp:lastModifiedBy>Administrator</cp:lastModifiedBy>
  <dcterms:modified xsi:type="dcterms:W3CDTF">2021-09-23T08:21:57Z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