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B4CAF">
      <w:pPr>
        <w:pStyle w:val="24"/>
        <w:ind w:left="0" w:leftChars="0" w:firstLine="420"/>
        <w:jc w:val="right"/>
        <w:rPr>
          <w:rFonts w:ascii="黑体" w:eastAsia="黑体"/>
          <w:szCs w:val="32"/>
          <w:highlight w:val="none"/>
        </w:rPr>
      </w:pPr>
    </w:p>
    <w:p w14:paraId="0F4F7108">
      <w:pPr>
        <w:jc w:val="center"/>
        <w:rPr>
          <w:rFonts w:ascii="黑体" w:eastAsia="黑体"/>
          <w:sz w:val="32"/>
          <w:szCs w:val="32"/>
          <w:highlight w:val="none"/>
        </w:rPr>
      </w:pPr>
    </w:p>
    <w:p w14:paraId="5DC51FCA">
      <w:pPr>
        <w:jc w:val="center"/>
        <w:rPr>
          <w:rFonts w:ascii="黑体" w:eastAsia="黑体"/>
          <w:sz w:val="32"/>
          <w:szCs w:val="32"/>
          <w:highlight w:val="none"/>
        </w:rPr>
      </w:pPr>
    </w:p>
    <w:p w14:paraId="28D341E0">
      <w:pPr>
        <w:spacing w:line="360" w:lineRule="auto"/>
        <w:jc w:val="center"/>
        <w:rPr>
          <w:rFonts w:ascii="黑体" w:hAnsi="宋体" w:eastAsia="黑体"/>
          <w:bCs/>
          <w:sz w:val="52"/>
          <w:szCs w:val="52"/>
          <w:highlight w:val="none"/>
        </w:rPr>
      </w:pPr>
      <w:r>
        <w:rPr>
          <w:rFonts w:hint="eastAsia" w:ascii="黑体" w:hAnsi="宋体" w:eastAsia="黑体"/>
          <w:bCs/>
          <w:sz w:val="52"/>
          <w:szCs w:val="52"/>
          <w:highlight w:val="none"/>
          <w:u w:val="single"/>
          <w:lang w:eastAsia="zh-CN"/>
        </w:rPr>
        <w:t>青岛西海岸新区凤凰岛初级中学购买食堂帮厨服务项目</w:t>
      </w:r>
    </w:p>
    <w:p w14:paraId="6E99E0D2">
      <w:pPr>
        <w:jc w:val="center"/>
        <w:rPr>
          <w:rFonts w:ascii="黑体" w:hAnsi="宋体" w:eastAsia="黑体"/>
          <w:bCs/>
          <w:sz w:val="32"/>
          <w:szCs w:val="32"/>
          <w:highlight w:val="none"/>
        </w:rPr>
      </w:pPr>
    </w:p>
    <w:p w14:paraId="391208E9">
      <w:pPr>
        <w:jc w:val="center"/>
        <w:rPr>
          <w:rFonts w:ascii="黑体" w:hAnsi="宋体" w:eastAsia="黑体"/>
          <w:bCs/>
          <w:sz w:val="32"/>
          <w:szCs w:val="32"/>
          <w:highlight w:val="none"/>
        </w:rPr>
      </w:pPr>
    </w:p>
    <w:p w14:paraId="08BD8341">
      <w:pPr>
        <w:jc w:val="center"/>
        <w:rPr>
          <w:rFonts w:ascii="黑体" w:hAnsi="宋体" w:eastAsia="黑体"/>
          <w:bCs/>
          <w:sz w:val="32"/>
          <w:szCs w:val="32"/>
          <w:highlight w:val="none"/>
        </w:rPr>
      </w:pPr>
    </w:p>
    <w:p w14:paraId="528C61CF">
      <w:pPr>
        <w:jc w:val="center"/>
        <w:rPr>
          <w:rFonts w:ascii="黑体" w:hAnsi="宋体" w:eastAsia="黑体"/>
          <w:bCs/>
          <w:sz w:val="32"/>
          <w:szCs w:val="32"/>
          <w:highlight w:val="none"/>
        </w:rPr>
      </w:pPr>
    </w:p>
    <w:p w14:paraId="151D4DB8">
      <w:pPr>
        <w:jc w:val="center"/>
        <w:rPr>
          <w:rFonts w:ascii="黑体" w:hAnsi="宋体" w:eastAsia="黑体"/>
          <w:bCs/>
          <w:sz w:val="32"/>
          <w:szCs w:val="32"/>
          <w:highlight w:val="none"/>
        </w:rPr>
      </w:pPr>
    </w:p>
    <w:p w14:paraId="2B1C5EA8">
      <w:pPr>
        <w:jc w:val="center"/>
        <w:rPr>
          <w:rFonts w:ascii="黑体" w:hAnsi="宋体" w:eastAsia="黑体"/>
          <w:bCs/>
          <w:sz w:val="100"/>
          <w:szCs w:val="100"/>
          <w:highlight w:val="none"/>
        </w:rPr>
      </w:pPr>
      <w:r>
        <w:rPr>
          <w:rFonts w:hint="eastAsia" w:ascii="黑体" w:hAnsi="宋体" w:eastAsia="黑体"/>
          <w:bCs/>
          <w:sz w:val="100"/>
          <w:szCs w:val="100"/>
          <w:highlight w:val="none"/>
        </w:rPr>
        <w:t>招标文件</w:t>
      </w:r>
    </w:p>
    <w:p w14:paraId="20A9E190">
      <w:pPr>
        <w:jc w:val="center"/>
        <w:rPr>
          <w:rFonts w:ascii="黑体" w:hAnsi="宋体" w:eastAsia="黑体"/>
          <w:sz w:val="32"/>
          <w:szCs w:val="32"/>
          <w:highlight w:val="none"/>
        </w:rPr>
      </w:pPr>
    </w:p>
    <w:p w14:paraId="5020CBCB">
      <w:pPr>
        <w:jc w:val="center"/>
        <w:rPr>
          <w:rFonts w:ascii="黑体" w:hAnsi="宋体" w:eastAsia="黑体"/>
          <w:sz w:val="32"/>
          <w:szCs w:val="32"/>
          <w:highlight w:val="none"/>
        </w:rPr>
      </w:pPr>
    </w:p>
    <w:p w14:paraId="3C1FB399">
      <w:pPr>
        <w:jc w:val="center"/>
        <w:rPr>
          <w:rFonts w:ascii="黑体" w:hAnsi="宋体" w:eastAsia="黑体"/>
          <w:sz w:val="32"/>
          <w:szCs w:val="32"/>
          <w:highlight w:val="none"/>
        </w:rPr>
      </w:pPr>
    </w:p>
    <w:p w14:paraId="70555816">
      <w:pPr>
        <w:spacing w:line="360" w:lineRule="auto"/>
        <w:ind w:firstLine="1808" w:firstLineChars="565"/>
        <w:rPr>
          <w:rFonts w:ascii="黑体" w:hAnsi="宋体" w:eastAsia="黑体"/>
          <w:sz w:val="32"/>
          <w:szCs w:val="32"/>
          <w:highlight w:val="none"/>
        </w:rPr>
      </w:pPr>
    </w:p>
    <w:p w14:paraId="3E3E1D1A">
      <w:pPr>
        <w:spacing w:line="360" w:lineRule="auto"/>
        <w:ind w:firstLine="1808" w:firstLineChars="565"/>
        <w:rPr>
          <w:rFonts w:ascii="黑体" w:hAnsi="宋体" w:eastAsia="黑体"/>
          <w:sz w:val="32"/>
          <w:szCs w:val="32"/>
          <w:highlight w:val="none"/>
        </w:rPr>
      </w:pPr>
    </w:p>
    <w:p w14:paraId="3E2E76E1">
      <w:pPr>
        <w:spacing w:line="360" w:lineRule="auto"/>
        <w:ind w:firstLine="560" w:firstLineChars="200"/>
        <w:rPr>
          <w:rFonts w:hint="eastAsia" w:ascii="黑体" w:hAnsi="宋体" w:eastAsia="黑体"/>
          <w:sz w:val="28"/>
          <w:szCs w:val="28"/>
          <w:highlight w:val="none"/>
          <w:u w:val="single"/>
          <w:lang w:eastAsia="zh-CN"/>
        </w:rPr>
      </w:pPr>
      <w:r>
        <w:rPr>
          <w:rFonts w:hint="eastAsia" w:ascii="黑体" w:hAnsi="宋体" w:eastAsia="黑体"/>
          <w:sz w:val="28"/>
          <w:szCs w:val="28"/>
          <w:highlight w:val="none"/>
        </w:rPr>
        <w:t>招标人：</w:t>
      </w:r>
      <w:r>
        <w:rPr>
          <w:rFonts w:hint="eastAsia" w:ascii="黑体" w:hAnsi="宋体" w:eastAsia="黑体"/>
          <w:sz w:val="28"/>
          <w:szCs w:val="28"/>
          <w:highlight w:val="none"/>
          <w:u w:val="single"/>
          <w:lang w:eastAsia="zh-CN"/>
        </w:rPr>
        <w:t>青岛西海岸新区凤凰岛初级中学</w:t>
      </w:r>
    </w:p>
    <w:p w14:paraId="622AF2E7">
      <w:pPr>
        <w:spacing w:line="360" w:lineRule="auto"/>
        <w:ind w:firstLine="560" w:firstLineChars="200"/>
        <w:rPr>
          <w:rFonts w:ascii="黑体" w:hAnsi="宋体" w:eastAsia="黑体"/>
          <w:sz w:val="28"/>
          <w:szCs w:val="28"/>
          <w:highlight w:val="none"/>
          <w:u w:val="single"/>
        </w:rPr>
      </w:pPr>
      <w:r>
        <w:rPr>
          <w:rFonts w:hint="eastAsia" w:ascii="黑体" w:hAnsi="宋体" w:eastAsia="黑体"/>
          <w:sz w:val="28"/>
          <w:szCs w:val="28"/>
          <w:highlight w:val="none"/>
        </w:rPr>
        <w:t>代理机构：</w:t>
      </w:r>
      <w:r>
        <w:rPr>
          <w:rFonts w:hint="eastAsia" w:ascii="黑体" w:hAnsi="宋体" w:eastAsia="黑体"/>
          <w:sz w:val="28"/>
          <w:szCs w:val="28"/>
          <w:highlight w:val="none"/>
          <w:u w:val="single"/>
        </w:rPr>
        <w:t>山东富润工程造价咨询事务所有限责任公司青岛分公司</w:t>
      </w:r>
    </w:p>
    <w:p w14:paraId="6C741C2B">
      <w:pPr>
        <w:spacing w:line="360" w:lineRule="auto"/>
        <w:ind w:firstLine="560" w:firstLineChars="200"/>
        <w:rPr>
          <w:rFonts w:hint="eastAsia" w:ascii="黑体" w:hAnsi="仿宋_GB2312" w:eastAsia="黑体" w:cs="仿宋_GB2312"/>
          <w:sz w:val="28"/>
          <w:szCs w:val="28"/>
          <w:highlight w:val="none"/>
          <w:u w:val="single"/>
        </w:rPr>
      </w:pPr>
      <w:r>
        <w:rPr>
          <w:rFonts w:hint="eastAsia" w:ascii="黑体" w:hAnsi="宋体" w:eastAsia="黑体"/>
          <w:sz w:val="28"/>
          <w:szCs w:val="28"/>
          <w:highlight w:val="none"/>
        </w:rPr>
        <w:t>编制时间：</w:t>
      </w:r>
      <w:r>
        <w:rPr>
          <w:rFonts w:hint="eastAsia" w:ascii="黑体" w:hAnsi="宋体" w:eastAsia="黑体"/>
          <w:sz w:val="28"/>
          <w:szCs w:val="28"/>
          <w:highlight w:val="none"/>
          <w:u w:val="single"/>
        </w:rPr>
        <w:t>二</w:t>
      </w:r>
      <w:r>
        <w:rPr>
          <w:rFonts w:hint="eastAsia" w:ascii="黑体" w:hAnsi="宋体" w:eastAsia="黑体" w:cs="宋体"/>
          <w:sz w:val="28"/>
          <w:szCs w:val="28"/>
          <w:highlight w:val="none"/>
          <w:u w:val="single"/>
        </w:rPr>
        <w:t>〇</w:t>
      </w:r>
      <w:r>
        <w:rPr>
          <w:rFonts w:hint="eastAsia" w:ascii="黑体" w:hAnsi="宋体" w:eastAsia="黑体"/>
          <w:sz w:val="28"/>
          <w:szCs w:val="28"/>
          <w:highlight w:val="none"/>
          <w:u w:val="single"/>
        </w:rPr>
        <w:t>二</w:t>
      </w:r>
      <w:r>
        <w:rPr>
          <w:rFonts w:hint="eastAsia" w:ascii="黑体" w:hAnsi="宋体" w:eastAsia="黑体" w:cs="宋体"/>
          <w:sz w:val="28"/>
          <w:szCs w:val="28"/>
          <w:highlight w:val="none"/>
          <w:u w:val="single"/>
        </w:rPr>
        <w:t>〇</w:t>
      </w:r>
      <w:r>
        <w:rPr>
          <w:rFonts w:hint="eastAsia" w:ascii="黑体" w:hAnsi="仿宋_GB2312" w:eastAsia="黑体" w:cs="仿宋_GB2312"/>
          <w:sz w:val="28"/>
          <w:szCs w:val="28"/>
          <w:highlight w:val="none"/>
          <w:u w:val="single"/>
        </w:rPr>
        <w:t>年</w:t>
      </w:r>
      <w:r>
        <w:rPr>
          <w:rFonts w:hint="eastAsia" w:ascii="黑体" w:hAnsi="仿宋_GB2312" w:eastAsia="黑体" w:cs="仿宋_GB2312"/>
          <w:sz w:val="28"/>
          <w:szCs w:val="28"/>
          <w:highlight w:val="none"/>
          <w:u w:val="single"/>
          <w:lang w:eastAsia="zh-CN"/>
        </w:rPr>
        <w:t>十二</w:t>
      </w:r>
      <w:r>
        <w:rPr>
          <w:rFonts w:hint="eastAsia" w:ascii="黑体" w:hAnsi="仿宋_GB2312" w:eastAsia="黑体" w:cs="仿宋_GB2312"/>
          <w:sz w:val="28"/>
          <w:szCs w:val="28"/>
          <w:highlight w:val="none"/>
          <w:u w:val="single"/>
        </w:rPr>
        <w:t>月</w:t>
      </w:r>
    </w:p>
    <w:p w14:paraId="06082740">
      <w:pPr>
        <w:spacing w:beforeLines="50" w:afterLines="50"/>
        <w:jc w:val="center"/>
        <w:rPr>
          <w:rFonts w:ascii="黑体" w:hAnsi="宋体" w:eastAsia="黑体"/>
          <w:bCs/>
          <w:sz w:val="28"/>
          <w:szCs w:val="28"/>
          <w:highlight w:val="none"/>
        </w:rPr>
      </w:pPr>
      <w:r>
        <w:rPr>
          <w:highlight w:val="none"/>
        </w:rPr>
        <w:br w:type="page"/>
      </w:r>
      <w:r>
        <w:rPr>
          <w:rFonts w:hint="eastAsia" w:ascii="黑体" w:hAnsi="宋体" w:eastAsia="黑体"/>
          <w:bCs/>
          <w:sz w:val="36"/>
          <w:szCs w:val="36"/>
          <w:highlight w:val="none"/>
        </w:rPr>
        <w:t>目录</w:t>
      </w:r>
    </w:p>
    <w:p w14:paraId="76C9648D">
      <w:pPr>
        <w:pStyle w:val="29"/>
        <w:tabs>
          <w:tab w:val="right" w:leader="dot" w:pos="9060"/>
        </w:tabs>
        <w:spacing w:before="0" w:after="0"/>
        <w:rPr>
          <w:rFonts w:ascii="等线" w:hAnsi="等线" w:eastAsia="等线"/>
          <w:b w:val="0"/>
          <w:bCs/>
          <w:caps w:val="0"/>
          <w:sz w:val="24"/>
          <w:szCs w:val="24"/>
          <w:highlight w:val="none"/>
        </w:rPr>
      </w:pPr>
      <w:r>
        <w:rPr>
          <w:sz w:val="24"/>
          <w:szCs w:val="24"/>
          <w:highlight w:val="none"/>
        </w:rPr>
        <w:fldChar w:fldCharType="begin"/>
      </w:r>
      <w:r>
        <w:rPr>
          <w:sz w:val="24"/>
          <w:szCs w:val="24"/>
          <w:highlight w:val="none"/>
        </w:rPr>
        <w:instrText xml:space="preserve"> TOC \o "1-3" \h \z \u </w:instrText>
      </w:r>
      <w:r>
        <w:rPr>
          <w:sz w:val="24"/>
          <w:szCs w:val="24"/>
          <w:highlight w:val="none"/>
        </w:rPr>
        <w:fldChar w:fldCharType="separate"/>
      </w:r>
      <w:r>
        <w:rPr>
          <w:highlight w:val="none"/>
        </w:rPr>
        <w:fldChar w:fldCharType="begin"/>
      </w:r>
      <w:r>
        <w:rPr>
          <w:highlight w:val="none"/>
        </w:rPr>
        <w:instrText xml:space="preserve"> HYPERLINK \l "_Toc11851460" </w:instrText>
      </w:r>
      <w:r>
        <w:rPr>
          <w:highlight w:val="none"/>
        </w:rPr>
        <w:fldChar w:fldCharType="separate"/>
      </w:r>
      <w:r>
        <w:rPr>
          <w:rStyle w:val="48"/>
          <w:rFonts w:ascii="黑体" w:eastAsia="黑体"/>
          <w:b w:val="0"/>
          <w:bCs/>
          <w:color w:val="auto"/>
          <w:sz w:val="24"/>
          <w:szCs w:val="24"/>
          <w:highlight w:val="none"/>
        </w:rPr>
        <w:t>第一章招标公告</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_Toc11851460 \h </w:instrText>
      </w:r>
      <w:r>
        <w:rPr>
          <w:b w:val="0"/>
          <w:bCs/>
          <w:sz w:val="24"/>
          <w:szCs w:val="24"/>
          <w:highlight w:val="none"/>
        </w:rPr>
        <w:fldChar w:fldCharType="separate"/>
      </w:r>
      <w:r>
        <w:rPr>
          <w:b w:val="0"/>
          <w:bCs/>
          <w:sz w:val="24"/>
          <w:szCs w:val="24"/>
          <w:highlight w:val="none"/>
        </w:rPr>
        <w:t>3</w:t>
      </w:r>
      <w:r>
        <w:rPr>
          <w:b w:val="0"/>
          <w:bCs/>
          <w:sz w:val="24"/>
          <w:szCs w:val="24"/>
          <w:highlight w:val="none"/>
        </w:rPr>
        <w:fldChar w:fldCharType="end"/>
      </w:r>
      <w:r>
        <w:rPr>
          <w:b w:val="0"/>
          <w:bCs/>
          <w:sz w:val="24"/>
          <w:szCs w:val="24"/>
          <w:highlight w:val="none"/>
        </w:rPr>
        <w:fldChar w:fldCharType="end"/>
      </w:r>
    </w:p>
    <w:p w14:paraId="17433D47">
      <w:pPr>
        <w:pStyle w:val="29"/>
        <w:tabs>
          <w:tab w:val="right" w:leader="dot" w:pos="9060"/>
        </w:tabs>
        <w:spacing w:before="0" w:after="0"/>
        <w:rPr>
          <w:rFonts w:ascii="等线" w:hAnsi="等线" w:eastAsia="等线"/>
          <w:b w:val="0"/>
          <w:bCs/>
          <w:caps w:val="0"/>
          <w:sz w:val="24"/>
          <w:szCs w:val="24"/>
          <w:highlight w:val="none"/>
        </w:rPr>
      </w:pPr>
      <w:r>
        <w:rPr>
          <w:highlight w:val="none"/>
        </w:rPr>
        <w:fldChar w:fldCharType="begin"/>
      </w:r>
      <w:r>
        <w:rPr>
          <w:highlight w:val="none"/>
        </w:rPr>
        <w:instrText xml:space="preserve"> HYPERLINK \l "_Toc11851461" </w:instrText>
      </w:r>
      <w:r>
        <w:rPr>
          <w:highlight w:val="none"/>
        </w:rPr>
        <w:fldChar w:fldCharType="separate"/>
      </w:r>
      <w:r>
        <w:rPr>
          <w:rStyle w:val="48"/>
          <w:rFonts w:ascii="黑体" w:eastAsia="黑体"/>
          <w:b w:val="0"/>
          <w:bCs/>
          <w:color w:val="auto"/>
          <w:sz w:val="24"/>
          <w:szCs w:val="24"/>
          <w:highlight w:val="none"/>
        </w:rPr>
        <w:t>第二章投标人须知</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_Toc11851461 \h </w:instrText>
      </w:r>
      <w:r>
        <w:rPr>
          <w:b w:val="0"/>
          <w:bCs/>
          <w:sz w:val="24"/>
          <w:szCs w:val="24"/>
          <w:highlight w:val="none"/>
        </w:rPr>
        <w:fldChar w:fldCharType="separate"/>
      </w:r>
      <w:r>
        <w:rPr>
          <w:b w:val="0"/>
          <w:bCs/>
          <w:sz w:val="24"/>
          <w:szCs w:val="24"/>
          <w:highlight w:val="none"/>
        </w:rPr>
        <w:t>5</w:t>
      </w:r>
      <w:r>
        <w:rPr>
          <w:b w:val="0"/>
          <w:bCs/>
          <w:sz w:val="24"/>
          <w:szCs w:val="24"/>
          <w:highlight w:val="none"/>
        </w:rPr>
        <w:fldChar w:fldCharType="end"/>
      </w:r>
      <w:r>
        <w:rPr>
          <w:b w:val="0"/>
          <w:bCs/>
          <w:sz w:val="24"/>
          <w:szCs w:val="24"/>
          <w:highlight w:val="none"/>
        </w:rPr>
        <w:fldChar w:fldCharType="end"/>
      </w:r>
    </w:p>
    <w:p w14:paraId="0AC20D0C">
      <w:pPr>
        <w:pStyle w:val="178"/>
        <w:rPr>
          <w:rFonts w:ascii="等线" w:hAnsi="等线" w:eastAsia="等线"/>
          <w:sz w:val="24"/>
          <w:highlight w:val="none"/>
        </w:rPr>
      </w:pPr>
      <w:r>
        <w:rPr>
          <w:highlight w:val="none"/>
        </w:rPr>
        <w:fldChar w:fldCharType="begin"/>
      </w:r>
      <w:r>
        <w:rPr>
          <w:highlight w:val="none"/>
        </w:rPr>
        <w:instrText xml:space="preserve"> HYPERLINK \l "_Toc11851462" </w:instrText>
      </w:r>
      <w:r>
        <w:rPr>
          <w:highlight w:val="none"/>
        </w:rPr>
        <w:fldChar w:fldCharType="separate"/>
      </w:r>
      <w:r>
        <w:rPr>
          <w:rStyle w:val="48"/>
          <w:rFonts w:ascii="黑体" w:hAnsi="宋体" w:eastAsia="黑体"/>
          <w:bCs/>
          <w:color w:val="auto"/>
          <w:sz w:val="24"/>
          <w:highlight w:val="none"/>
        </w:rPr>
        <w:t>投标人须知前附表</w:t>
      </w:r>
      <w:r>
        <w:rPr>
          <w:sz w:val="24"/>
          <w:highlight w:val="none"/>
        </w:rPr>
        <w:tab/>
      </w:r>
      <w:r>
        <w:rPr>
          <w:sz w:val="24"/>
          <w:highlight w:val="none"/>
        </w:rPr>
        <w:fldChar w:fldCharType="begin"/>
      </w:r>
      <w:r>
        <w:rPr>
          <w:sz w:val="24"/>
          <w:highlight w:val="none"/>
        </w:rPr>
        <w:instrText xml:space="preserve"> PAGEREF _Toc11851462 \h </w:instrText>
      </w:r>
      <w:r>
        <w:rPr>
          <w:sz w:val="24"/>
          <w:highlight w:val="none"/>
        </w:rPr>
        <w:fldChar w:fldCharType="separate"/>
      </w:r>
      <w:r>
        <w:rPr>
          <w:sz w:val="24"/>
          <w:highlight w:val="none"/>
        </w:rPr>
        <w:t>5</w:t>
      </w:r>
      <w:r>
        <w:rPr>
          <w:sz w:val="24"/>
          <w:highlight w:val="none"/>
        </w:rPr>
        <w:fldChar w:fldCharType="end"/>
      </w:r>
      <w:r>
        <w:rPr>
          <w:sz w:val="24"/>
          <w:highlight w:val="none"/>
        </w:rPr>
        <w:fldChar w:fldCharType="end"/>
      </w:r>
    </w:p>
    <w:p w14:paraId="1777B4EE">
      <w:pPr>
        <w:pStyle w:val="178"/>
        <w:rPr>
          <w:rFonts w:ascii="等线" w:hAnsi="等线" w:eastAsia="等线"/>
          <w:sz w:val="24"/>
          <w:highlight w:val="none"/>
        </w:rPr>
      </w:pPr>
      <w:r>
        <w:rPr>
          <w:highlight w:val="none"/>
        </w:rPr>
        <w:fldChar w:fldCharType="begin"/>
      </w:r>
      <w:r>
        <w:rPr>
          <w:highlight w:val="none"/>
        </w:rPr>
        <w:instrText xml:space="preserve"> HYPERLINK \l "_Toc11851463" </w:instrText>
      </w:r>
      <w:r>
        <w:rPr>
          <w:highlight w:val="none"/>
        </w:rPr>
        <w:fldChar w:fldCharType="separate"/>
      </w:r>
      <w:r>
        <w:rPr>
          <w:rStyle w:val="48"/>
          <w:rFonts w:ascii="黑体" w:hAnsi="宋体" w:eastAsia="黑体"/>
          <w:bCs/>
          <w:color w:val="auto"/>
          <w:sz w:val="24"/>
          <w:highlight w:val="none"/>
        </w:rPr>
        <w:t>一、总则</w:t>
      </w:r>
      <w:r>
        <w:rPr>
          <w:sz w:val="24"/>
          <w:highlight w:val="none"/>
        </w:rPr>
        <w:tab/>
      </w:r>
      <w:r>
        <w:rPr>
          <w:sz w:val="24"/>
          <w:highlight w:val="none"/>
        </w:rPr>
        <w:fldChar w:fldCharType="begin"/>
      </w:r>
      <w:r>
        <w:rPr>
          <w:sz w:val="24"/>
          <w:highlight w:val="none"/>
        </w:rPr>
        <w:instrText xml:space="preserve"> PAGEREF _Toc11851463 \h </w:instrText>
      </w:r>
      <w:r>
        <w:rPr>
          <w:sz w:val="24"/>
          <w:highlight w:val="none"/>
        </w:rPr>
        <w:fldChar w:fldCharType="separate"/>
      </w:r>
      <w:r>
        <w:rPr>
          <w:sz w:val="24"/>
          <w:highlight w:val="none"/>
        </w:rPr>
        <w:t>8</w:t>
      </w:r>
      <w:r>
        <w:rPr>
          <w:sz w:val="24"/>
          <w:highlight w:val="none"/>
        </w:rPr>
        <w:fldChar w:fldCharType="end"/>
      </w:r>
      <w:r>
        <w:rPr>
          <w:sz w:val="24"/>
          <w:highlight w:val="none"/>
        </w:rPr>
        <w:fldChar w:fldCharType="end"/>
      </w:r>
    </w:p>
    <w:p w14:paraId="08B03485">
      <w:pPr>
        <w:pStyle w:val="178"/>
        <w:rPr>
          <w:rFonts w:ascii="等线" w:hAnsi="等线" w:eastAsia="等线"/>
          <w:sz w:val="24"/>
          <w:highlight w:val="none"/>
        </w:rPr>
      </w:pPr>
      <w:r>
        <w:rPr>
          <w:highlight w:val="none"/>
        </w:rPr>
        <w:fldChar w:fldCharType="begin"/>
      </w:r>
      <w:r>
        <w:rPr>
          <w:highlight w:val="none"/>
        </w:rPr>
        <w:instrText xml:space="preserve"> HYPERLINK \l "_Toc11851472" </w:instrText>
      </w:r>
      <w:r>
        <w:rPr>
          <w:highlight w:val="none"/>
        </w:rPr>
        <w:fldChar w:fldCharType="separate"/>
      </w:r>
      <w:r>
        <w:rPr>
          <w:rStyle w:val="48"/>
          <w:rFonts w:ascii="黑体" w:hAnsi="宋体" w:eastAsia="黑体"/>
          <w:bCs/>
          <w:color w:val="auto"/>
          <w:sz w:val="24"/>
          <w:highlight w:val="none"/>
        </w:rPr>
        <w:t>二、招标文件</w:t>
      </w:r>
      <w:r>
        <w:rPr>
          <w:sz w:val="24"/>
          <w:highlight w:val="none"/>
        </w:rPr>
        <w:tab/>
      </w:r>
      <w:r>
        <w:rPr>
          <w:sz w:val="24"/>
          <w:highlight w:val="none"/>
        </w:rPr>
        <w:fldChar w:fldCharType="begin"/>
      </w:r>
      <w:r>
        <w:rPr>
          <w:sz w:val="24"/>
          <w:highlight w:val="none"/>
        </w:rPr>
        <w:instrText xml:space="preserve"> PAGEREF _Toc11851472 \h </w:instrText>
      </w:r>
      <w:r>
        <w:rPr>
          <w:sz w:val="24"/>
          <w:highlight w:val="none"/>
        </w:rPr>
        <w:fldChar w:fldCharType="separate"/>
      </w:r>
      <w:r>
        <w:rPr>
          <w:sz w:val="24"/>
          <w:highlight w:val="none"/>
        </w:rPr>
        <w:t>10</w:t>
      </w:r>
      <w:r>
        <w:rPr>
          <w:sz w:val="24"/>
          <w:highlight w:val="none"/>
        </w:rPr>
        <w:fldChar w:fldCharType="end"/>
      </w:r>
      <w:r>
        <w:rPr>
          <w:sz w:val="24"/>
          <w:highlight w:val="none"/>
        </w:rPr>
        <w:fldChar w:fldCharType="end"/>
      </w:r>
    </w:p>
    <w:p w14:paraId="652932D4">
      <w:pPr>
        <w:pStyle w:val="178"/>
        <w:rPr>
          <w:rFonts w:ascii="等线" w:hAnsi="等线" w:eastAsia="等线"/>
          <w:sz w:val="24"/>
          <w:highlight w:val="none"/>
        </w:rPr>
      </w:pPr>
      <w:r>
        <w:rPr>
          <w:highlight w:val="none"/>
        </w:rPr>
        <w:fldChar w:fldCharType="begin"/>
      </w:r>
      <w:r>
        <w:rPr>
          <w:highlight w:val="none"/>
        </w:rPr>
        <w:instrText xml:space="preserve"> HYPERLINK \l "_Toc11851476" </w:instrText>
      </w:r>
      <w:r>
        <w:rPr>
          <w:highlight w:val="none"/>
        </w:rPr>
        <w:fldChar w:fldCharType="separate"/>
      </w:r>
      <w:r>
        <w:rPr>
          <w:rStyle w:val="48"/>
          <w:rFonts w:ascii="黑体" w:hAnsi="宋体" w:eastAsia="黑体"/>
          <w:bCs/>
          <w:color w:val="auto"/>
          <w:sz w:val="24"/>
          <w:highlight w:val="none"/>
        </w:rPr>
        <w:t>三、投标文件</w:t>
      </w:r>
      <w:r>
        <w:rPr>
          <w:sz w:val="24"/>
          <w:highlight w:val="none"/>
        </w:rPr>
        <w:tab/>
      </w:r>
      <w:r>
        <w:rPr>
          <w:sz w:val="24"/>
          <w:highlight w:val="none"/>
        </w:rPr>
        <w:fldChar w:fldCharType="begin"/>
      </w:r>
      <w:r>
        <w:rPr>
          <w:sz w:val="24"/>
          <w:highlight w:val="none"/>
        </w:rPr>
        <w:instrText xml:space="preserve"> PAGEREF _Toc11851476 \h </w:instrText>
      </w:r>
      <w:r>
        <w:rPr>
          <w:sz w:val="24"/>
          <w:highlight w:val="none"/>
        </w:rPr>
        <w:fldChar w:fldCharType="separate"/>
      </w:r>
      <w:r>
        <w:rPr>
          <w:sz w:val="24"/>
          <w:highlight w:val="none"/>
        </w:rPr>
        <w:t>11</w:t>
      </w:r>
      <w:r>
        <w:rPr>
          <w:sz w:val="24"/>
          <w:highlight w:val="none"/>
        </w:rPr>
        <w:fldChar w:fldCharType="end"/>
      </w:r>
      <w:r>
        <w:rPr>
          <w:sz w:val="24"/>
          <w:highlight w:val="none"/>
        </w:rPr>
        <w:fldChar w:fldCharType="end"/>
      </w:r>
    </w:p>
    <w:p w14:paraId="63CC5570">
      <w:pPr>
        <w:pStyle w:val="178"/>
        <w:rPr>
          <w:rFonts w:ascii="等线" w:hAnsi="等线" w:eastAsia="等线"/>
          <w:sz w:val="24"/>
          <w:highlight w:val="none"/>
        </w:rPr>
      </w:pPr>
      <w:r>
        <w:rPr>
          <w:highlight w:val="none"/>
        </w:rPr>
        <w:fldChar w:fldCharType="begin"/>
      </w:r>
      <w:r>
        <w:rPr>
          <w:highlight w:val="none"/>
        </w:rPr>
        <w:instrText xml:space="preserve"> HYPERLINK \l "_Toc11851481" </w:instrText>
      </w:r>
      <w:r>
        <w:rPr>
          <w:highlight w:val="none"/>
        </w:rPr>
        <w:fldChar w:fldCharType="separate"/>
      </w:r>
      <w:r>
        <w:rPr>
          <w:rStyle w:val="48"/>
          <w:rFonts w:ascii="黑体" w:hAnsi="宋体" w:eastAsia="黑体"/>
          <w:bCs/>
          <w:color w:val="auto"/>
          <w:sz w:val="24"/>
          <w:highlight w:val="none"/>
        </w:rPr>
        <w:t>四、投标</w:t>
      </w:r>
      <w:r>
        <w:rPr>
          <w:sz w:val="24"/>
          <w:highlight w:val="none"/>
        </w:rPr>
        <w:tab/>
      </w:r>
      <w:r>
        <w:rPr>
          <w:sz w:val="24"/>
          <w:highlight w:val="none"/>
        </w:rPr>
        <w:fldChar w:fldCharType="begin"/>
      </w:r>
      <w:r>
        <w:rPr>
          <w:sz w:val="24"/>
          <w:highlight w:val="none"/>
        </w:rPr>
        <w:instrText xml:space="preserve"> PAGEREF _Toc11851481 \h </w:instrText>
      </w:r>
      <w:r>
        <w:rPr>
          <w:sz w:val="24"/>
          <w:highlight w:val="none"/>
        </w:rPr>
        <w:fldChar w:fldCharType="separate"/>
      </w:r>
      <w:r>
        <w:rPr>
          <w:sz w:val="24"/>
          <w:highlight w:val="none"/>
        </w:rPr>
        <w:t>13</w:t>
      </w:r>
      <w:r>
        <w:rPr>
          <w:sz w:val="24"/>
          <w:highlight w:val="none"/>
        </w:rPr>
        <w:fldChar w:fldCharType="end"/>
      </w:r>
      <w:r>
        <w:rPr>
          <w:sz w:val="24"/>
          <w:highlight w:val="none"/>
        </w:rPr>
        <w:fldChar w:fldCharType="end"/>
      </w:r>
    </w:p>
    <w:p w14:paraId="4F77039A">
      <w:pPr>
        <w:pStyle w:val="178"/>
        <w:rPr>
          <w:rFonts w:ascii="等线" w:hAnsi="等线" w:eastAsia="等线"/>
          <w:sz w:val="24"/>
          <w:highlight w:val="none"/>
        </w:rPr>
      </w:pPr>
      <w:r>
        <w:rPr>
          <w:highlight w:val="none"/>
        </w:rPr>
        <w:fldChar w:fldCharType="begin"/>
      </w:r>
      <w:r>
        <w:rPr>
          <w:highlight w:val="none"/>
        </w:rPr>
        <w:instrText xml:space="preserve"> HYPERLINK \l "_Toc11851487" </w:instrText>
      </w:r>
      <w:r>
        <w:rPr>
          <w:highlight w:val="none"/>
        </w:rPr>
        <w:fldChar w:fldCharType="separate"/>
      </w:r>
      <w:r>
        <w:rPr>
          <w:rStyle w:val="48"/>
          <w:rFonts w:ascii="黑体" w:hAnsi="宋体" w:eastAsia="黑体"/>
          <w:bCs/>
          <w:color w:val="auto"/>
          <w:sz w:val="24"/>
          <w:highlight w:val="none"/>
        </w:rPr>
        <w:t>五、开标、评标与定标</w:t>
      </w:r>
      <w:r>
        <w:rPr>
          <w:sz w:val="24"/>
          <w:highlight w:val="none"/>
        </w:rPr>
        <w:tab/>
      </w:r>
      <w:r>
        <w:rPr>
          <w:sz w:val="24"/>
          <w:highlight w:val="none"/>
        </w:rPr>
        <w:fldChar w:fldCharType="begin"/>
      </w:r>
      <w:r>
        <w:rPr>
          <w:sz w:val="24"/>
          <w:highlight w:val="none"/>
        </w:rPr>
        <w:instrText xml:space="preserve"> PAGEREF _Toc11851487 \h </w:instrText>
      </w:r>
      <w:r>
        <w:rPr>
          <w:sz w:val="24"/>
          <w:highlight w:val="none"/>
        </w:rPr>
        <w:fldChar w:fldCharType="separate"/>
      </w:r>
      <w:r>
        <w:rPr>
          <w:sz w:val="24"/>
          <w:highlight w:val="none"/>
        </w:rPr>
        <w:t>14</w:t>
      </w:r>
      <w:r>
        <w:rPr>
          <w:sz w:val="24"/>
          <w:highlight w:val="none"/>
        </w:rPr>
        <w:fldChar w:fldCharType="end"/>
      </w:r>
      <w:r>
        <w:rPr>
          <w:sz w:val="24"/>
          <w:highlight w:val="none"/>
        </w:rPr>
        <w:fldChar w:fldCharType="end"/>
      </w:r>
    </w:p>
    <w:p w14:paraId="7159D2F1">
      <w:pPr>
        <w:pStyle w:val="178"/>
        <w:rPr>
          <w:rFonts w:ascii="等线" w:hAnsi="等线" w:eastAsia="等线"/>
          <w:sz w:val="24"/>
          <w:highlight w:val="none"/>
        </w:rPr>
      </w:pPr>
      <w:r>
        <w:rPr>
          <w:highlight w:val="none"/>
        </w:rPr>
        <w:fldChar w:fldCharType="begin"/>
      </w:r>
      <w:r>
        <w:rPr>
          <w:highlight w:val="none"/>
        </w:rPr>
        <w:instrText xml:space="preserve"> HYPERLINK \l "_Toc11851491" </w:instrText>
      </w:r>
      <w:r>
        <w:rPr>
          <w:highlight w:val="none"/>
        </w:rPr>
        <w:fldChar w:fldCharType="separate"/>
      </w:r>
      <w:r>
        <w:rPr>
          <w:rStyle w:val="48"/>
          <w:rFonts w:ascii="黑体" w:hAnsi="宋体" w:eastAsia="黑体"/>
          <w:bCs/>
          <w:color w:val="auto"/>
          <w:sz w:val="24"/>
          <w:highlight w:val="none"/>
        </w:rPr>
        <w:t>六、合同的授予</w:t>
      </w:r>
      <w:r>
        <w:rPr>
          <w:sz w:val="24"/>
          <w:highlight w:val="none"/>
        </w:rPr>
        <w:tab/>
      </w:r>
      <w:r>
        <w:rPr>
          <w:sz w:val="24"/>
          <w:highlight w:val="none"/>
        </w:rPr>
        <w:fldChar w:fldCharType="begin"/>
      </w:r>
      <w:r>
        <w:rPr>
          <w:sz w:val="24"/>
          <w:highlight w:val="none"/>
        </w:rPr>
        <w:instrText xml:space="preserve"> PAGEREF _Toc11851491 \h </w:instrText>
      </w:r>
      <w:r>
        <w:rPr>
          <w:sz w:val="24"/>
          <w:highlight w:val="none"/>
        </w:rPr>
        <w:fldChar w:fldCharType="separate"/>
      </w:r>
      <w:r>
        <w:rPr>
          <w:sz w:val="24"/>
          <w:highlight w:val="none"/>
        </w:rPr>
        <w:t>17</w:t>
      </w:r>
      <w:r>
        <w:rPr>
          <w:sz w:val="24"/>
          <w:highlight w:val="none"/>
        </w:rPr>
        <w:fldChar w:fldCharType="end"/>
      </w:r>
      <w:r>
        <w:rPr>
          <w:sz w:val="24"/>
          <w:highlight w:val="none"/>
        </w:rPr>
        <w:fldChar w:fldCharType="end"/>
      </w:r>
    </w:p>
    <w:p w14:paraId="66430844">
      <w:pPr>
        <w:pStyle w:val="178"/>
        <w:rPr>
          <w:rFonts w:ascii="等线" w:hAnsi="等线" w:eastAsia="等线"/>
          <w:sz w:val="24"/>
          <w:highlight w:val="none"/>
        </w:rPr>
      </w:pPr>
      <w:r>
        <w:rPr>
          <w:highlight w:val="none"/>
        </w:rPr>
        <w:fldChar w:fldCharType="begin"/>
      </w:r>
      <w:r>
        <w:rPr>
          <w:highlight w:val="none"/>
        </w:rPr>
        <w:instrText xml:space="preserve"> HYPERLINK \l "_Toc11851495" </w:instrText>
      </w:r>
      <w:r>
        <w:rPr>
          <w:highlight w:val="none"/>
        </w:rPr>
        <w:fldChar w:fldCharType="separate"/>
      </w:r>
      <w:r>
        <w:rPr>
          <w:rStyle w:val="48"/>
          <w:rFonts w:ascii="黑体" w:hAnsi="宋体" w:eastAsia="黑体"/>
          <w:bCs/>
          <w:color w:val="auto"/>
          <w:sz w:val="24"/>
          <w:highlight w:val="none"/>
        </w:rPr>
        <w:t>附表：</w:t>
      </w:r>
      <w:r>
        <w:rPr>
          <w:sz w:val="24"/>
          <w:highlight w:val="none"/>
        </w:rPr>
        <w:tab/>
      </w:r>
      <w:r>
        <w:rPr>
          <w:sz w:val="24"/>
          <w:highlight w:val="none"/>
        </w:rPr>
        <w:fldChar w:fldCharType="begin"/>
      </w:r>
      <w:r>
        <w:rPr>
          <w:sz w:val="24"/>
          <w:highlight w:val="none"/>
        </w:rPr>
        <w:instrText xml:space="preserve"> PAGEREF _Toc11851495 \h </w:instrText>
      </w:r>
      <w:r>
        <w:rPr>
          <w:sz w:val="24"/>
          <w:highlight w:val="none"/>
        </w:rPr>
        <w:fldChar w:fldCharType="separate"/>
      </w:r>
      <w:r>
        <w:rPr>
          <w:sz w:val="24"/>
          <w:highlight w:val="none"/>
        </w:rPr>
        <w:t>19</w:t>
      </w:r>
      <w:r>
        <w:rPr>
          <w:sz w:val="24"/>
          <w:highlight w:val="none"/>
        </w:rPr>
        <w:fldChar w:fldCharType="end"/>
      </w:r>
      <w:r>
        <w:rPr>
          <w:sz w:val="24"/>
          <w:highlight w:val="none"/>
        </w:rPr>
        <w:fldChar w:fldCharType="end"/>
      </w:r>
    </w:p>
    <w:p w14:paraId="515A3093">
      <w:pPr>
        <w:pStyle w:val="29"/>
        <w:tabs>
          <w:tab w:val="right" w:leader="dot" w:pos="9060"/>
        </w:tabs>
        <w:spacing w:before="0" w:after="0"/>
        <w:rPr>
          <w:rFonts w:ascii="等线" w:hAnsi="等线" w:eastAsia="等线"/>
          <w:b w:val="0"/>
          <w:bCs/>
          <w:caps w:val="0"/>
          <w:sz w:val="24"/>
          <w:szCs w:val="24"/>
          <w:highlight w:val="none"/>
        </w:rPr>
      </w:pPr>
      <w:r>
        <w:rPr>
          <w:highlight w:val="none"/>
        </w:rPr>
        <w:fldChar w:fldCharType="begin"/>
      </w:r>
      <w:r>
        <w:rPr>
          <w:highlight w:val="none"/>
        </w:rPr>
        <w:instrText xml:space="preserve"> HYPERLINK \l "_Toc11851496" </w:instrText>
      </w:r>
      <w:r>
        <w:rPr>
          <w:highlight w:val="none"/>
        </w:rPr>
        <w:fldChar w:fldCharType="separate"/>
      </w:r>
      <w:r>
        <w:rPr>
          <w:rStyle w:val="48"/>
          <w:rFonts w:ascii="黑体" w:eastAsia="黑体"/>
          <w:b w:val="0"/>
          <w:bCs/>
          <w:color w:val="auto"/>
          <w:sz w:val="24"/>
          <w:szCs w:val="24"/>
          <w:highlight w:val="none"/>
        </w:rPr>
        <w:t>第三章招标需求</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_Toc11851496 \h </w:instrText>
      </w:r>
      <w:r>
        <w:rPr>
          <w:b w:val="0"/>
          <w:bCs/>
          <w:sz w:val="24"/>
          <w:szCs w:val="24"/>
          <w:highlight w:val="none"/>
        </w:rPr>
        <w:fldChar w:fldCharType="separate"/>
      </w:r>
      <w:r>
        <w:rPr>
          <w:b w:val="0"/>
          <w:bCs/>
          <w:sz w:val="24"/>
          <w:szCs w:val="24"/>
          <w:highlight w:val="none"/>
        </w:rPr>
        <w:t>22</w:t>
      </w:r>
      <w:r>
        <w:rPr>
          <w:b w:val="0"/>
          <w:bCs/>
          <w:sz w:val="24"/>
          <w:szCs w:val="24"/>
          <w:highlight w:val="none"/>
        </w:rPr>
        <w:fldChar w:fldCharType="end"/>
      </w:r>
      <w:r>
        <w:rPr>
          <w:b w:val="0"/>
          <w:bCs/>
          <w:sz w:val="24"/>
          <w:szCs w:val="24"/>
          <w:highlight w:val="none"/>
        </w:rPr>
        <w:fldChar w:fldCharType="end"/>
      </w:r>
    </w:p>
    <w:p w14:paraId="62031A6A">
      <w:pPr>
        <w:pStyle w:val="29"/>
        <w:tabs>
          <w:tab w:val="right" w:leader="dot" w:pos="9060"/>
        </w:tabs>
        <w:spacing w:before="0" w:after="0"/>
        <w:rPr>
          <w:rFonts w:ascii="等线" w:hAnsi="等线" w:eastAsia="等线"/>
          <w:b w:val="0"/>
          <w:bCs/>
          <w:caps w:val="0"/>
          <w:sz w:val="24"/>
          <w:szCs w:val="24"/>
          <w:highlight w:val="none"/>
        </w:rPr>
      </w:pPr>
      <w:r>
        <w:rPr>
          <w:highlight w:val="none"/>
        </w:rPr>
        <w:fldChar w:fldCharType="begin"/>
      </w:r>
      <w:r>
        <w:rPr>
          <w:highlight w:val="none"/>
        </w:rPr>
        <w:instrText xml:space="preserve"> HYPERLINK \l "_Toc11851503" </w:instrText>
      </w:r>
      <w:r>
        <w:rPr>
          <w:highlight w:val="none"/>
        </w:rPr>
        <w:fldChar w:fldCharType="separate"/>
      </w:r>
      <w:r>
        <w:rPr>
          <w:rStyle w:val="48"/>
          <w:rFonts w:ascii="黑体" w:eastAsia="黑体"/>
          <w:b w:val="0"/>
          <w:bCs/>
          <w:color w:val="auto"/>
          <w:sz w:val="24"/>
          <w:szCs w:val="24"/>
          <w:highlight w:val="none"/>
        </w:rPr>
        <w:t>第四章合同</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_Toc11851503 \h </w:instrText>
      </w:r>
      <w:r>
        <w:rPr>
          <w:b w:val="0"/>
          <w:bCs/>
          <w:sz w:val="24"/>
          <w:szCs w:val="24"/>
          <w:highlight w:val="none"/>
        </w:rPr>
        <w:fldChar w:fldCharType="separate"/>
      </w:r>
      <w:r>
        <w:rPr>
          <w:b w:val="0"/>
          <w:bCs/>
          <w:sz w:val="24"/>
          <w:szCs w:val="24"/>
          <w:highlight w:val="none"/>
        </w:rPr>
        <w:t>29</w:t>
      </w:r>
      <w:r>
        <w:rPr>
          <w:b w:val="0"/>
          <w:bCs/>
          <w:sz w:val="24"/>
          <w:szCs w:val="24"/>
          <w:highlight w:val="none"/>
        </w:rPr>
        <w:fldChar w:fldCharType="end"/>
      </w:r>
      <w:r>
        <w:rPr>
          <w:b w:val="0"/>
          <w:bCs/>
          <w:sz w:val="24"/>
          <w:szCs w:val="24"/>
          <w:highlight w:val="none"/>
        </w:rPr>
        <w:fldChar w:fldCharType="end"/>
      </w:r>
    </w:p>
    <w:p w14:paraId="24945223">
      <w:pPr>
        <w:pStyle w:val="29"/>
        <w:tabs>
          <w:tab w:val="right" w:leader="dot" w:pos="9060"/>
        </w:tabs>
        <w:spacing w:before="0" w:after="0"/>
        <w:rPr>
          <w:rFonts w:ascii="等线" w:hAnsi="等线" w:eastAsia="等线"/>
          <w:b w:val="0"/>
          <w:bCs/>
          <w:caps w:val="0"/>
          <w:sz w:val="24"/>
          <w:szCs w:val="24"/>
          <w:highlight w:val="none"/>
        </w:rPr>
      </w:pPr>
      <w:r>
        <w:rPr>
          <w:highlight w:val="none"/>
        </w:rPr>
        <w:fldChar w:fldCharType="begin"/>
      </w:r>
      <w:r>
        <w:rPr>
          <w:highlight w:val="none"/>
        </w:rPr>
        <w:instrText xml:space="preserve"> HYPERLINK \l "_Toc11851507" </w:instrText>
      </w:r>
      <w:r>
        <w:rPr>
          <w:highlight w:val="none"/>
        </w:rPr>
        <w:fldChar w:fldCharType="separate"/>
      </w:r>
      <w:r>
        <w:rPr>
          <w:rStyle w:val="48"/>
          <w:rFonts w:ascii="黑体" w:eastAsia="黑体"/>
          <w:b w:val="0"/>
          <w:bCs/>
          <w:color w:val="auto"/>
          <w:sz w:val="24"/>
          <w:szCs w:val="24"/>
          <w:highlight w:val="none"/>
        </w:rPr>
        <w:t>第五章资格、资信等证明材料</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_Toc11851507 \h </w:instrText>
      </w:r>
      <w:r>
        <w:rPr>
          <w:b w:val="0"/>
          <w:bCs/>
          <w:sz w:val="24"/>
          <w:szCs w:val="24"/>
          <w:highlight w:val="none"/>
        </w:rPr>
        <w:fldChar w:fldCharType="separate"/>
      </w:r>
      <w:r>
        <w:rPr>
          <w:b w:val="0"/>
          <w:bCs/>
          <w:sz w:val="24"/>
          <w:szCs w:val="24"/>
          <w:highlight w:val="none"/>
        </w:rPr>
        <w:t>35</w:t>
      </w:r>
      <w:r>
        <w:rPr>
          <w:b w:val="0"/>
          <w:bCs/>
          <w:sz w:val="24"/>
          <w:szCs w:val="24"/>
          <w:highlight w:val="none"/>
        </w:rPr>
        <w:fldChar w:fldCharType="end"/>
      </w:r>
      <w:r>
        <w:rPr>
          <w:b w:val="0"/>
          <w:bCs/>
          <w:sz w:val="24"/>
          <w:szCs w:val="24"/>
          <w:highlight w:val="none"/>
        </w:rPr>
        <w:fldChar w:fldCharType="end"/>
      </w:r>
    </w:p>
    <w:p w14:paraId="5E8516DC">
      <w:pPr>
        <w:pStyle w:val="29"/>
        <w:tabs>
          <w:tab w:val="right" w:leader="dot" w:pos="9060"/>
        </w:tabs>
        <w:spacing w:before="0" w:after="0"/>
        <w:rPr>
          <w:sz w:val="24"/>
          <w:szCs w:val="24"/>
          <w:highlight w:val="none"/>
        </w:rPr>
      </w:pPr>
      <w:r>
        <w:rPr>
          <w:highlight w:val="none"/>
        </w:rPr>
        <w:fldChar w:fldCharType="begin"/>
      </w:r>
      <w:r>
        <w:rPr>
          <w:highlight w:val="none"/>
        </w:rPr>
        <w:instrText xml:space="preserve"> HYPERLINK \l "_Toc11851510" </w:instrText>
      </w:r>
      <w:r>
        <w:rPr>
          <w:highlight w:val="none"/>
        </w:rPr>
        <w:fldChar w:fldCharType="separate"/>
      </w:r>
      <w:r>
        <w:rPr>
          <w:rStyle w:val="48"/>
          <w:rFonts w:ascii="黑体" w:eastAsia="黑体"/>
          <w:b w:val="0"/>
          <w:bCs/>
          <w:color w:val="auto"/>
          <w:sz w:val="24"/>
          <w:szCs w:val="24"/>
          <w:highlight w:val="none"/>
        </w:rPr>
        <w:t>第六章投标文件格式</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_Toc11851510 \h </w:instrText>
      </w:r>
      <w:r>
        <w:rPr>
          <w:b w:val="0"/>
          <w:bCs/>
          <w:sz w:val="24"/>
          <w:szCs w:val="24"/>
          <w:highlight w:val="none"/>
        </w:rPr>
        <w:fldChar w:fldCharType="separate"/>
      </w:r>
      <w:r>
        <w:rPr>
          <w:b w:val="0"/>
          <w:bCs/>
          <w:sz w:val="24"/>
          <w:szCs w:val="24"/>
          <w:highlight w:val="none"/>
        </w:rPr>
        <w:t>37</w:t>
      </w:r>
      <w:r>
        <w:rPr>
          <w:b w:val="0"/>
          <w:bCs/>
          <w:sz w:val="24"/>
          <w:szCs w:val="24"/>
          <w:highlight w:val="none"/>
        </w:rPr>
        <w:fldChar w:fldCharType="end"/>
      </w:r>
      <w:r>
        <w:rPr>
          <w:b w:val="0"/>
          <w:bCs/>
          <w:sz w:val="24"/>
          <w:szCs w:val="24"/>
          <w:highlight w:val="none"/>
        </w:rPr>
        <w:fldChar w:fldCharType="end"/>
      </w:r>
      <w:r>
        <w:rPr>
          <w:b w:val="0"/>
          <w:bCs/>
          <w:sz w:val="24"/>
          <w:szCs w:val="24"/>
          <w:highlight w:val="none"/>
          <w:lang w:val="zh-CN"/>
        </w:rPr>
        <w:fldChar w:fldCharType="end"/>
      </w:r>
    </w:p>
    <w:p w14:paraId="7435F120">
      <w:pPr>
        <w:pStyle w:val="141"/>
        <w:keepNext w:val="0"/>
        <w:keepLines w:val="0"/>
        <w:spacing w:after="312"/>
        <w:rPr>
          <w:rFonts w:ascii="黑体" w:eastAsia="黑体"/>
          <w:b w:val="0"/>
          <w:highlight w:val="none"/>
        </w:rPr>
      </w:pPr>
      <w:r>
        <w:rPr>
          <w:rFonts w:hint="eastAsia" w:ascii="仿宋_GB2312" w:hAnsi="宋体"/>
          <w:b w:val="0"/>
          <w:bCs w:val="0"/>
          <w:szCs w:val="30"/>
          <w:highlight w:val="none"/>
        </w:rPr>
        <w:br w:type="page"/>
      </w:r>
      <w:bookmarkStart w:id="0" w:name="_Toc11851460"/>
      <w:bookmarkStart w:id="1" w:name="_Hlk12711088"/>
      <w:r>
        <w:rPr>
          <w:rFonts w:hint="eastAsia" w:ascii="黑体" w:eastAsia="黑体"/>
          <w:b w:val="0"/>
          <w:highlight w:val="none"/>
        </w:rPr>
        <w:t>第一章招标公告</w:t>
      </w:r>
      <w:bookmarkEnd w:id="0"/>
    </w:p>
    <w:p w14:paraId="37F07949">
      <w:pPr>
        <w:pStyle w:val="19"/>
        <w:spacing w:line="420" w:lineRule="exact"/>
        <w:rPr>
          <w:rFonts w:ascii="仿宋_GB2312" w:eastAsia="仿宋_GB2312"/>
          <w:highlight w:val="none"/>
        </w:rPr>
      </w:pPr>
      <w:r>
        <w:rPr>
          <w:rFonts w:hint="eastAsia" w:ascii="仿宋_GB2312" w:eastAsia="仿宋_GB2312"/>
          <w:highlight w:val="none"/>
          <w:u w:val="single"/>
          <w:lang w:eastAsia="zh-CN"/>
        </w:rPr>
        <w:t>青岛西海岸新区凤凰岛初级中学</w:t>
      </w:r>
      <w:r>
        <w:rPr>
          <w:rFonts w:hint="eastAsia" w:ascii="仿宋_GB2312" w:eastAsia="仿宋_GB2312"/>
          <w:highlight w:val="none"/>
        </w:rPr>
        <w:t>委托</w:t>
      </w:r>
      <w:r>
        <w:rPr>
          <w:rFonts w:hint="eastAsia" w:ascii="仿宋_GB2312" w:eastAsia="仿宋_GB2312"/>
          <w:highlight w:val="none"/>
          <w:u w:val="single"/>
        </w:rPr>
        <w:t>山东富润工程造价咨询事务所有限责任公司青岛分公司</w:t>
      </w:r>
      <w:r>
        <w:rPr>
          <w:rFonts w:hint="eastAsia" w:ascii="仿宋_GB2312" w:eastAsia="仿宋_GB2312"/>
          <w:highlight w:val="none"/>
        </w:rPr>
        <w:t>，就其</w:t>
      </w:r>
      <w:r>
        <w:rPr>
          <w:rFonts w:hint="eastAsia" w:ascii="仿宋_GB2312" w:eastAsia="仿宋_GB2312"/>
          <w:highlight w:val="none"/>
          <w:u w:val="single"/>
          <w:lang w:eastAsia="zh-CN"/>
        </w:rPr>
        <w:t>青岛西海岸新区凤凰岛初级中学购买食堂帮厨服务项目</w:t>
      </w:r>
      <w:r>
        <w:rPr>
          <w:rFonts w:hint="eastAsia" w:ascii="仿宋_GB2312" w:eastAsia="仿宋_GB2312"/>
          <w:highlight w:val="none"/>
        </w:rPr>
        <w:t>以</w:t>
      </w:r>
      <w:r>
        <w:rPr>
          <w:rFonts w:hint="eastAsia" w:ascii="仿宋_GB2312" w:eastAsia="仿宋_GB2312"/>
          <w:highlight w:val="none"/>
          <w:u w:val="single"/>
        </w:rPr>
        <w:t>公开招标</w:t>
      </w:r>
      <w:r>
        <w:rPr>
          <w:rFonts w:hint="eastAsia" w:ascii="仿宋_GB2312" w:eastAsia="仿宋_GB2312"/>
          <w:highlight w:val="none"/>
        </w:rPr>
        <w:t>方式组织采购，欢迎符合条件的合格投标人参加投标。</w:t>
      </w:r>
    </w:p>
    <w:p w14:paraId="4A03E7CD">
      <w:pPr>
        <w:spacing w:line="420" w:lineRule="exact"/>
        <w:ind w:firstLine="480" w:firstLineChars="200"/>
        <w:rPr>
          <w:rFonts w:hint="eastAsia" w:ascii="仿宋_GB2312" w:eastAsia="黑体" w:cs="宋体"/>
          <w:kern w:val="0"/>
          <w:sz w:val="24"/>
          <w:highlight w:val="none"/>
          <w:lang w:val="en-US" w:eastAsia="zh-CN"/>
        </w:rPr>
      </w:pPr>
      <w:r>
        <w:rPr>
          <w:rFonts w:hint="eastAsia" w:ascii="黑体" w:eastAsia="黑体" w:cs="宋体"/>
          <w:kern w:val="0"/>
          <w:sz w:val="24"/>
          <w:highlight w:val="none"/>
        </w:rPr>
        <w:t>1.</w:t>
      </w:r>
      <w:r>
        <w:rPr>
          <w:rFonts w:hint="eastAsia" w:ascii="黑体" w:eastAsia="黑体" w:cs="宋体"/>
          <w:kern w:val="0"/>
          <w:sz w:val="24"/>
          <w:highlight w:val="none"/>
          <w:lang w:val="zh-CN"/>
        </w:rPr>
        <w:t>项目编号：</w:t>
      </w:r>
      <w:r>
        <w:rPr>
          <w:rFonts w:hint="eastAsia" w:ascii="仿宋_GB2312" w:eastAsia="仿宋_GB2312" w:cs="宋体"/>
          <w:kern w:val="0"/>
          <w:sz w:val="24"/>
          <w:highlight w:val="none"/>
          <w:lang w:eastAsia="zh-CN"/>
        </w:rPr>
        <w:t>FRQD2020047</w:t>
      </w:r>
    </w:p>
    <w:p w14:paraId="73A4F195">
      <w:pPr>
        <w:spacing w:line="420" w:lineRule="exact"/>
        <w:ind w:firstLine="480" w:firstLineChars="200"/>
        <w:rPr>
          <w:rFonts w:ascii="仿宋_GB2312" w:eastAsia="仿宋_GB2312"/>
          <w:sz w:val="24"/>
          <w:highlight w:val="none"/>
          <w:lang w:val="zh-CN"/>
        </w:rPr>
      </w:pPr>
      <w:r>
        <w:rPr>
          <w:rFonts w:hint="eastAsia" w:ascii="黑体" w:eastAsia="黑体" w:cs="宋体"/>
          <w:kern w:val="0"/>
          <w:sz w:val="24"/>
          <w:highlight w:val="none"/>
        </w:rPr>
        <w:t>2.</w:t>
      </w:r>
      <w:r>
        <w:rPr>
          <w:rFonts w:hint="eastAsia" w:ascii="黑体" w:eastAsia="黑体" w:cs="宋体"/>
          <w:kern w:val="0"/>
          <w:sz w:val="24"/>
          <w:highlight w:val="none"/>
          <w:lang w:val="zh-CN"/>
        </w:rPr>
        <w:t>项目名称：</w:t>
      </w:r>
      <w:r>
        <w:rPr>
          <w:rFonts w:hint="eastAsia" w:ascii="仿宋_GB2312" w:eastAsia="仿宋_GB2312"/>
          <w:sz w:val="24"/>
          <w:highlight w:val="none"/>
          <w:lang w:eastAsia="zh-CN"/>
        </w:rPr>
        <w:t>青岛西海岸新区凤凰岛初级中学购买食堂帮厨服务项目</w:t>
      </w:r>
    </w:p>
    <w:p w14:paraId="5C077EC8">
      <w:pPr>
        <w:pStyle w:val="2"/>
        <w:ind w:firstLine="480" w:firstLineChars="200"/>
        <w:rPr>
          <w:rFonts w:ascii="黑体" w:hAnsi="Times New Roman" w:eastAsia="黑体" w:cs="宋体"/>
          <w:kern w:val="0"/>
          <w:szCs w:val="24"/>
          <w:highlight w:val="none"/>
        </w:rPr>
      </w:pPr>
      <w:r>
        <w:rPr>
          <w:rFonts w:hint="eastAsia" w:ascii="黑体" w:hAnsi="Times New Roman" w:eastAsia="黑体" w:cs="宋体"/>
          <w:kern w:val="0"/>
          <w:szCs w:val="24"/>
          <w:highlight w:val="none"/>
        </w:rPr>
        <w:t>3.项目预算</w:t>
      </w:r>
      <w:r>
        <w:rPr>
          <w:rFonts w:hint="eastAsia" w:ascii="仿宋_GB2312" w:hAnsi="Times New Roman" w:eastAsia="仿宋_GB2312"/>
          <w:szCs w:val="24"/>
          <w:highlight w:val="none"/>
        </w:rPr>
        <w:t>：</w:t>
      </w:r>
      <w:r>
        <w:rPr>
          <w:rFonts w:hint="eastAsia" w:ascii="仿宋_GB2312" w:hAnsi="Times New Roman" w:eastAsia="仿宋_GB2312"/>
          <w:szCs w:val="24"/>
          <w:highlight w:val="none"/>
          <w:lang w:val="zh-CN"/>
        </w:rPr>
        <w:t>总营业额收入</w:t>
      </w:r>
      <w:r>
        <w:rPr>
          <w:rFonts w:hint="eastAsia" w:ascii="仿宋_GB2312" w:hAnsi="Times New Roman" w:eastAsia="仿宋_GB2312"/>
          <w:szCs w:val="24"/>
          <w:highlight w:val="none"/>
        </w:rPr>
        <w:t>（毛利率）的24%</w:t>
      </w:r>
    </w:p>
    <w:p w14:paraId="49BBA22A">
      <w:pPr>
        <w:widowControl/>
        <w:shd w:val="clear" w:color="auto" w:fill="FFFFFF"/>
        <w:spacing w:line="420" w:lineRule="exact"/>
        <w:ind w:firstLine="480" w:firstLineChars="200"/>
        <w:jc w:val="left"/>
        <w:rPr>
          <w:rFonts w:ascii="仿宋_GB2312" w:eastAsia="仿宋_GB2312"/>
          <w:sz w:val="24"/>
          <w:highlight w:val="none"/>
        </w:rPr>
      </w:pPr>
      <w:r>
        <w:rPr>
          <w:rFonts w:hint="eastAsia" w:ascii="黑体" w:eastAsia="黑体" w:cs="宋体"/>
          <w:kern w:val="0"/>
          <w:sz w:val="24"/>
          <w:highlight w:val="none"/>
        </w:rPr>
        <w:t>4.</w:t>
      </w:r>
      <w:r>
        <w:rPr>
          <w:rFonts w:hint="eastAsia" w:ascii="黑体" w:eastAsia="黑体" w:cs="宋体"/>
          <w:kern w:val="0"/>
          <w:sz w:val="24"/>
          <w:highlight w:val="none"/>
          <w:lang w:val="zh-CN"/>
        </w:rPr>
        <w:t>项目概况及招标内容：</w:t>
      </w:r>
      <w:r>
        <w:rPr>
          <w:rFonts w:hint="eastAsia" w:ascii="仿宋_GB2312" w:eastAsia="仿宋_GB2312"/>
          <w:sz w:val="24"/>
          <w:highlight w:val="none"/>
        </w:rPr>
        <w:t>服务期1年，确定一家专业的餐饮服务管理单位，为学校师生供餐提供帮厨服务。</w:t>
      </w:r>
    </w:p>
    <w:p w14:paraId="20DB0A0B">
      <w:pPr>
        <w:widowControl/>
        <w:shd w:val="clear" w:color="auto" w:fill="FFFFFF"/>
        <w:spacing w:line="420" w:lineRule="exact"/>
        <w:ind w:firstLine="480" w:firstLineChars="200"/>
        <w:jc w:val="left"/>
        <w:rPr>
          <w:rFonts w:ascii="仿宋_GB2312" w:eastAsia="仿宋_GB2312" w:cs="宋体"/>
          <w:kern w:val="0"/>
          <w:sz w:val="24"/>
          <w:highlight w:val="none"/>
          <w:lang w:val="zh-CN"/>
        </w:rPr>
      </w:pPr>
      <w:r>
        <w:rPr>
          <w:rFonts w:hint="eastAsia" w:ascii="黑体" w:eastAsia="黑体" w:cs="宋体"/>
          <w:kern w:val="0"/>
          <w:sz w:val="24"/>
          <w:highlight w:val="none"/>
        </w:rPr>
        <w:t>5</w:t>
      </w:r>
      <w:r>
        <w:rPr>
          <w:rFonts w:hint="eastAsia" w:ascii="黑体" w:eastAsia="黑体" w:cs="宋体"/>
          <w:kern w:val="0"/>
          <w:sz w:val="24"/>
          <w:highlight w:val="none"/>
          <w:lang w:val="zh-CN"/>
        </w:rPr>
        <w:t>、项目资金来源：</w:t>
      </w:r>
      <w:r>
        <w:rPr>
          <w:rFonts w:hint="eastAsia" w:ascii="仿宋_GB2312" w:eastAsia="仿宋_GB2312" w:cs="宋体"/>
          <w:kern w:val="0"/>
          <w:sz w:val="24"/>
          <w:highlight w:val="none"/>
          <w:lang w:val="zh-CN"/>
        </w:rPr>
        <w:t>学校自筹资金。</w:t>
      </w:r>
    </w:p>
    <w:p w14:paraId="48ADA6D7">
      <w:pPr>
        <w:spacing w:line="420" w:lineRule="exact"/>
        <w:ind w:firstLine="480" w:firstLineChars="200"/>
        <w:rPr>
          <w:rFonts w:ascii="黑体" w:eastAsia="黑体" w:cs="宋体"/>
          <w:kern w:val="0"/>
          <w:sz w:val="24"/>
          <w:highlight w:val="none"/>
          <w:lang w:val="zh-CN"/>
        </w:rPr>
      </w:pPr>
      <w:r>
        <w:rPr>
          <w:rFonts w:hint="eastAsia" w:ascii="黑体" w:eastAsia="黑体" w:cs="宋体"/>
          <w:kern w:val="0"/>
          <w:sz w:val="24"/>
          <w:highlight w:val="none"/>
        </w:rPr>
        <w:t>6</w:t>
      </w:r>
      <w:r>
        <w:rPr>
          <w:rFonts w:hint="eastAsia" w:ascii="黑体" w:eastAsia="黑体" w:cs="宋体"/>
          <w:kern w:val="0"/>
          <w:sz w:val="24"/>
          <w:highlight w:val="none"/>
          <w:lang w:val="zh-CN"/>
        </w:rPr>
        <w:t>、投标人资格要求</w:t>
      </w:r>
    </w:p>
    <w:p w14:paraId="04571EEA">
      <w:pPr>
        <w:pStyle w:val="19"/>
        <w:spacing w:line="420" w:lineRule="exact"/>
        <w:rPr>
          <w:rFonts w:ascii="仿宋_GB2312" w:eastAsia="仿宋_GB2312"/>
          <w:highlight w:val="none"/>
        </w:rPr>
      </w:pPr>
      <w:r>
        <w:rPr>
          <w:rFonts w:hint="eastAsia" w:ascii="仿宋_GB2312" w:eastAsia="仿宋_GB2312"/>
          <w:highlight w:val="none"/>
        </w:rPr>
        <w:t>（1）投标人须为国内工商注册的法人单位，营业执照经营范围应具有餐饮或食堂管理或餐饮或食堂服务或餐饮咨询等与本项目相适应的内容；</w:t>
      </w:r>
    </w:p>
    <w:p w14:paraId="0EFECE71">
      <w:pPr>
        <w:pStyle w:val="19"/>
        <w:spacing w:line="420" w:lineRule="exact"/>
        <w:rPr>
          <w:rFonts w:hint="eastAsia" w:ascii="仿宋_GB2312" w:eastAsia="仿宋_GB2312"/>
          <w:highlight w:val="none"/>
        </w:rPr>
      </w:pPr>
      <w:r>
        <w:rPr>
          <w:rFonts w:hint="eastAsia" w:ascii="仿宋_GB2312" w:eastAsia="仿宋_GB2312"/>
          <w:highlight w:val="none"/>
          <w:lang w:eastAsia="zh-CN"/>
        </w:rPr>
        <w:t>（</w:t>
      </w:r>
      <w:r>
        <w:rPr>
          <w:rFonts w:hint="eastAsia" w:ascii="仿宋_GB2312" w:eastAsia="仿宋_GB2312"/>
          <w:highlight w:val="none"/>
          <w:lang w:val="en-US" w:eastAsia="zh-CN"/>
        </w:rPr>
        <w:t>2</w:t>
      </w:r>
      <w:r>
        <w:rPr>
          <w:rFonts w:hint="eastAsia" w:ascii="仿宋_GB2312" w:eastAsia="仿宋_GB2312"/>
          <w:highlight w:val="none"/>
          <w:lang w:eastAsia="zh-CN"/>
        </w:rPr>
        <w:t>）</w:t>
      </w:r>
      <w:r>
        <w:rPr>
          <w:rFonts w:hint="eastAsia" w:ascii="仿宋_GB2312" w:eastAsia="仿宋_GB2312"/>
          <w:highlight w:val="none"/>
        </w:rPr>
        <w:t>出具在经营活动中没有重大违法记录的书面声明；</w:t>
      </w:r>
    </w:p>
    <w:p w14:paraId="087895D7">
      <w:pPr>
        <w:pStyle w:val="19"/>
        <w:spacing w:line="420" w:lineRule="exact"/>
        <w:rPr>
          <w:rFonts w:hint="eastAsia" w:ascii="仿宋_GB2312" w:eastAsia="仿宋_GB2312"/>
          <w:highlight w:val="none"/>
        </w:rPr>
      </w:pPr>
      <w:r>
        <w:rPr>
          <w:rFonts w:hint="eastAsia" w:ascii="仿宋_GB2312" w:eastAsia="仿宋_GB2312"/>
          <w:highlight w:val="none"/>
          <w:lang w:eastAsia="zh-CN"/>
        </w:rPr>
        <w:t>（</w:t>
      </w:r>
      <w:r>
        <w:rPr>
          <w:rFonts w:hint="eastAsia" w:ascii="仿宋_GB2312" w:eastAsia="仿宋_GB2312"/>
          <w:highlight w:val="none"/>
          <w:lang w:val="en-US" w:eastAsia="zh-CN"/>
        </w:rPr>
        <w:t>3</w:t>
      </w:r>
      <w:r>
        <w:rPr>
          <w:rFonts w:hint="eastAsia" w:ascii="仿宋_GB2312" w:eastAsia="仿宋_GB2312"/>
          <w:highlight w:val="none"/>
          <w:lang w:eastAsia="zh-CN"/>
        </w:rPr>
        <w:t>）</w:t>
      </w:r>
      <w:r>
        <w:rPr>
          <w:rFonts w:hint="eastAsia" w:ascii="仿宋_GB2312" w:eastAsia="仿宋_GB2312"/>
          <w:highlight w:val="none"/>
        </w:rPr>
        <w:t>通过“信用中国”网站（www.creditchina.gov.cn）、中国政府采购网（www.ccgp.gov.cn）、“信用山东”（www.creditsd.gov.cn）及“信用青岛”（credit.qingdao.gov.cn）查询投标人信用记录，未被列入失信被执行人名单、重大税收违法案件当事人名单、政府采购严重违法失信行为记录名单；</w:t>
      </w:r>
    </w:p>
    <w:p w14:paraId="31682E06">
      <w:pPr>
        <w:pStyle w:val="19"/>
        <w:spacing w:line="420" w:lineRule="exact"/>
        <w:rPr>
          <w:rFonts w:hint="eastAsia" w:ascii="仿宋_GB2312" w:eastAsia="仿宋_GB2312"/>
          <w:highlight w:val="none"/>
        </w:rPr>
      </w:pPr>
      <w:r>
        <w:rPr>
          <w:rFonts w:hint="eastAsia" w:ascii="仿宋_GB2312" w:eastAsia="仿宋_GB2312"/>
          <w:highlight w:val="none"/>
          <w:lang w:eastAsia="zh-CN"/>
        </w:rPr>
        <w:t>（</w:t>
      </w:r>
      <w:r>
        <w:rPr>
          <w:rFonts w:hint="eastAsia" w:ascii="仿宋_GB2312" w:eastAsia="仿宋_GB2312"/>
          <w:highlight w:val="none"/>
          <w:lang w:val="en-US" w:eastAsia="zh-CN"/>
        </w:rPr>
        <w:t>4</w:t>
      </w:r>
      <w:r>
        <w:rPr>
          <w:rFonts w:hint="eastAsia" w:ascii="仿宋_GB2312" w:eastAsia="仿宋_GB2312"/>
          <w:highlight w:val="none"/>
          <w:lang w:eastAsia="zh-CN"/>
        </w:rPr>
        <w:t>）</w:t>
      </w:r>
      <w:r>
        <w:rPr>
          <w:rFonts w:hint="eastAsia" w:ascii="仿宋_GB2312" w:eastAsia="仿宋_GB2312"/>
          <w:highlight w:val="none"/>
        </w:rPr>
        <w:t>单位负责人为同一人或者存在直接控股、管理关系的不同投标人，不得参加同一合同项下的招标活动；</w:t>
      </w:r>
    </w:p>
    <w:p w14:paraId="10B24AA7">
      <w:pPr>
        <w:pStyle w:val="19"/>
        <w:spacing w:line="420" w:lineRule="exact"/>
        <w:rPr>
          <w:rFonts w:ascii="仿宋_GB2312" w:eastAsia="仿宋_GB2312"/>
          <w:highlight w:val="none"/>
        </w:rPr>
      </w:pPr>
      <w:r>
        <w:rPr>
          <w:rFonts w:hint="eastAsia" w:ascii="黑体" w:hAnsi="Arial" w:eastAsia="黑体" w:cs="宋体"/>
          <w:kern w:val="0"/>
          <w:szCs w:val="20"/>
          <w:highlight w:val="none"/>
        </w:rPr>
        <w:t>7.</w:t>
      </w:r>
      <w:r>
        <w:rPr>
          <w:rFonts w:hint="eastAsia" w:ascii="黑体" w:hAnsi="宋体" w:eastAsia="黑体"/>
          <w:highlight w:val="none"/>
        </w:rPr>
        <w:t>本项目不接受联合体投标。</w:t>
      </w:r>
    </w:p>
    <w:p w14:paraId="7CFB62AD">
      <w:pPr>
        <w:spacing w:line="420" w:lineRule="exact"/>
        <w:ind w:firstLine="480" w:firstLineChars="200"/>
        <w:rPr>
          <w:rFonts w:ascii="宋体" w:hAnsi="宋体" w:cs="宋体"/>
          <w:kern w:val="0"/>
          <w:sz w:val="24"/>
          <w:highlight w:val="none"/>
        </w:rPr>
      </w:pPr>
      <w:r>
        <w:rPr>
          <w:rFonts w:hint="eastAsia" w:ascii="黑体" w:hAnsi="宋体" w:eastAsia="黑体"/>
          <w:sz w:val="24"/>
          <w:highlight w:val="none"/>
        </w:rPr>
        <w:t>8.招标文件的获取：</w:t>
      </w:r>
    </w:p>
    <w:p w14:paraId="458D6326">
      <w:pPr>
        <w:spacing w:line="380" w:lineRule="exact"/>
        <w:ind w:firstLine="440" w:firstLineChars="200"/>
        <w:rPr>
          <w:rFonts w:ascii="仿宋_GB2312" w:hAnsi="宋体" w:eastAsia="仿宋_GB2312" w:cs="宋体"/>
          <w:kern w:val="0"/>
          <w:sz w:val="24"/>
          <w:highlight w:val="none"/>
        </w:rPr>
      </w:pPr>
      <w:r>
        <w:rPr>
          <w:rFonts w:hint="eastAsia" w:ascii="黑体" w:hAnsi="Arial" w:eastAsia="黑体" w:cs="宋体"/>
          <w:kern w:val="0"/>
          <w:sz w:val="22"/>
          <w:szCs w:val="22"/>
          <w:highlight w:val="none"/>
        </w:rPr>
        <w:t>8.1</w:t>
      </w:r>
      <w:r>
        <w:rPr>
          <w:rFonts w:hint="eastAsia" w:ascii="仿宋_GB2312" w:hAnsi="宋体" w:eastAsia="仿宋_GB2312" w:cs="宋体"/>
          <w:kern w:val="0"/>
          <w:sz w:val="24"/>
          <w:highlight w:val="none"/>
        </w:rPr>
        <w:t>报名单位请于2020年</w:t>
      </w:r>
      <w:r>
        <w:rPr>
          <w:rFonts w:hint="eastAsia" w:ascii="仿宋_GB2312" w:hAnsi="宋体" w:eastAsia="仿宋_GB2312" w:cs="宋体"/>
          <w:kern w:val="0"/>
          <w:sz w:val="24"/>
          <w:highlight w:val="none"/>
          <w:lang w:val="en-US" w:eastAsia="zh-CN"/>
        </w:rPr>
        <w:t>12</w:t>
      </w:r>
      <w:r>
        <w:rPr>
          <w:rFonts w:hint="eastAsia" w:ascii="仿宋_GB2312" w:hAnsi="宋体" w:eastAsia="仿宋_GB2312" w:cs="宋体"/>
          <w:kern w:val="0"/>
          <w:sz w:val="24"/>
          <w:highlight w:val="none"/>
        </w:rPr>
        <w:t>月</w:t>
      </w:r>
      <w:r>
        <w:rPr>
          <w:rFonts w:hint="eastAsia" w:ascii="仿宋_GB2312" w:hAnsi="宋体" w:eastAsia="仿宋_GB2312" w:cs="宋体"/>
          <w:kern w:val="0"/>
          <w:sz w:val="24"/>
          <w:highlight w:val="none"/>
          <w:lang w:val="en-US" w:eastAsia="zh-CN"/>
        </w:rPr>
        <w:t>21</w:t>
      </w:r>
      <w:r>
        <w:rPr>
          <w:rFonts w:hint="eastAsia" w:ascii="仿宋_GB2312" w:hAnsi="宋体" w:eastAsia="仿宋_GB2312" w:cs="宋体"/>
          <w:kern w:val="0"/>
          <w:sz w:val="24"/>
          <w:highlight w:val="none"/>
        </w:rPr>
        <w:t>日到2020年</w:t>
      </w:r>
      <w:r>
        <w:rPr>
          <w:rFonts w:hint="eastAsia" w:ascii="仿宋_GB2312" w:hAnsi="宋体" w:eastAsia="仿宋_GB2312" w:cs="宋体"/>
          <w:kern w:val="0"/>
          <w:sz w:val="24"/>
          <w:highlight w:val="none"/>
          <w:lang w:val="en-US" w:eastAsia="zh-CN"/>
        </w:rPr>
        <w:t>12</w:t>
      </w:r>
      <w:r>
        <w:rPr>
          <w:rFonts w:hint="eastAsia" w:ascii="仿宋_GB2312" w:hAnsi="宋体" w:eastAsia="仿宋_GB2312" w:cs="宋体"/>
          <w:kern w:val="0"/>
          <w:sz w:val="24"/>
          <w:highlight w:val="none"/>
        </w:rPr>
        <w:t>月</w:t>
      </w:r>
      <w:r>
        <w:rPr>
          <w:rFonts w:hint="eastAsia" w:ascii="仿宋_GB2312" w:hAnsi="宋体" w:eastAsia="仿宋_GB2312" w:cs="宋体"/>
          <w:kern w:val="0"/>
          <w:sz w:val="24"/>
          <w:highlight w:val="none"/>
          <w:lang w:val="en-US" w:eastAsia="zh-CN"/>
        </w:rPr>
        <w:t>25</w:t>
      </w:r>
      <w:r>
        <w:rPr>
          <w:rFonts w:hint="eastAsia" w:ascii="仿宋_GB2312" w:hAnsi="宋体" w:eastAsia="仿宋_GB2312" w:cs="宋体"/>
          <w:kern w:val="0"/>
          <w:sz w:val="24"/>
          <w:highlight w:val="none"/>
        </w:rPr>
        <w:t>日（节假日除外），每天9:00-11:00，14:00-16:00携带以下资料原件及复印件到山东富润工程造价咨询事务所有限责任公司青岛分公司报名并购买招标</w:t>
      </w:r>
      <w:r>
        <w:rPr>
          <w:rFonts w:hint="eastAsia" w:ascii="仿宋_GB2312" w:hAnsi="宋体" w:eastAsia="仿宋_GB2312" w:cs="宋体"/>
          <w:kern w:val="0"/>
          <w:sz w:val="24"/>
          <w:highlight w:val="none"/>
          <w:lang w:val="zh-CN"/>
        </w:rPr>
        <w:t>文件</w:t>
      </w:r>
      <w:r>
        <w:rPr>
          <w:rFonts w:hint="eastAsia" w:ascii="仿宋_GB2312" w:hAnsi="宋体" w:eastAsia="仿宋_GB2312" w:cs="宋体"/>
          <w:kern w:val="0"/>
          <w:sz w:val="24"/>
          <w:highlight w:val="none"/>
        </w:rPr>
        <w:t>（报名资料以原件为准，复印件每页加盖公章按下列顺序装订成册、复印件不予退还）。</w:t>
      </w:r>
    </w:p>
    <w:p w14:paraId="5F2A4467">
      <w:pPr>
        <w:pStyle w:val="2"/>
        <w:ind w:firstLine="480" w:firstLineChars="200"/>
        <w:rPr>
          <w:rFonts w:ascii="仿宋_GB2312" w:hAnsi="宋体" w:eastAsia="仿宋_GB2312" w:cs="宋体"/>
          <w:kern w:val="0"/>
          <w:szCs w:val="24"/>
          <w:highlight w:val="none"/>
        </w:rPr>
      </w:pPr>
      <w:r>
        <w:rPr>
          <w:rFonts w:hint="eastAsia" w:ascii="仿宋_GB2312" w:hAnsi="宋体" w:eastAsia="仿宋_GB2312" w:cs="宋体"/>
          <w:kern w:val="0"/>
          <w:szCs w:val="24"/>
          <w:highlight w:val="none"/>
        </w:rPr>
        <w:t>（1）法定代表人身份证明书和法定代表人身份证，或法定代表人授权委托书和授权代表身份证；</w:t>
      </w:r>
    </w:p>
    <w:p w14:paraId="352AFB94">
      <w:pPr>
        <w:widowControl/>
        <w:shd w:val="clear" w:color="auto" w:fill="FFFFFF"/>
        <w:spacing w:line="420" w:lineRule="exact"/>
        <w:ind w:firstLine="480" w:firstLineChars="2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（2）营业执照副本；</w:t>
      </w:r>
    </w:p>
    <w:p w14:paraId="720C758D">
      <w:pPr>
        <w:pStyle w:val="2"/>
        <w:keepNext w:val="0"/>
        <w:keepLines w:val="0"/>
        <w:pageBreakBefore w:val="0"/>
        <w:widowControl w:val="0"/>
        <w:kinsoku/>
        <w:wordWrap/>
        <w:overflowPunct/>
        <w:topLinePunct w:val="0"/>
        <w:autoSpaceDE/>
        <w:autoSpaceDN/>
        <w:bidi w:val="0"/>
        <w:adjustRightInd/>
        <w:snapToGrid/>
        <w:ind w:firstLine="440" w:firstLineChars="200"/>
        <w:textAlignment w:val="auto"/>
        <w:rPr>
          <w:rFonts w:ascii="仿宋_GB2312" w:hAnsi="宋体" w:eastAsia="仿宋_GB2312" w:cs="宋体"/>
          <w:kern w:val="0"/>
          <w:szCs w:val="24"/>
          <w:highlight w:val="none"/>
        </w:rPr>
      </w:pPr>
      <w:r>
        <w:rPr>
          <w:rFonts w:hint="eastAsia" w:ascii="黑体" w:hAnsi="宋体" w:eastAsia="黑体"/>
          <w:sz w:val="22"/>
          <w:szCs w:val="22"/>
          <w:highlight w:val="none"/>
        </w:rPr>
        <w:t>8.2</w:t>
      </w:r>
      <w:r>
        <w:rPr>
          <w:rFonts w:hint="eastAsia" w:ascii="仿宋_GB2312" w:hAnsi="宋体" w:eastAsia="仿宋_GB2312" w:cs="宋体"/>
          <w:kern w:val="0"/>
          <w:szCs w:val="24"/>
          <w:highlight w:val="none"/>
        </w:rPr>
        <w:t>地点：青岛市黄岛区衡山路14号鸿润金汇泉商务中心21楼2107。</w:t>
      </w:r>
    </w:p>
    <w:p w14:paraId="0986BE85">
      <w:pPr>
        <w:keepNext w:val="0"/>
        <w:keepLines w:val="0"/>
        <w:pageBreakBefore w:val="0"/>
        <w:widowControl w:val="0"/>
        <w:kinsoku/>
        <w:wordWrap/>
        <w:overflowPunct/>
        <w:topLinePunct w:val="0"/>
        <w:autoSpaceDE/>
        <w:autoSpaceDN/>
        <w:bidi w:val="0"/>
        <w:adjustRightInd/>
        <w:snapToGrid/>
        <w:ind w:firstLine="440" w:firstLineChars="200"/>
        <w:textAlignment w:val="auto"/>
        <w:rPr>
          <w:highlight w:val="none"/>
        </w:rPr>
      </w:pPr>
      <w:r>
        <w:rPr>
          <w:rFonts w:hint="eastAsia" w:ascii="黑体" w:hAnsi="宋体" w:eastAsia="黑体"/>
          <w:sz w:val="22"/>
          <w:szCs w:val="22"/>
          <w:highlight w:val="none"/>
        </w:rPr>
        <w:t>8.3</w:t>
      </w:r>
      <w:r>
        <w:rPr>
          <w:rFonts w:hint="eastAsia" w:ascii="仿宋_GB2312" w:hAnsi="宋体" w:eastAsia="仿宋_GB2312" w:cs="宋体"/>
          <w:kern w:val="0"/>
          <w:sz w:val="24"/>
          <w:highlight w:val="none"/>
        </w:rPr>
        <w:t>文件售价：每套200元</w:t>
      </w:r>
      <w:r>
        <w:rPr>
          <w:rFonts w:hint="eastAsia" w:ascii="仿宋_GB2312" w:hAnsi="宋体" w:eastAsia="仿宋_GB2312" w:cs="宋体"/>
          <w:kern w:val="0"/>
          <w:sz w:val="24"/>
          <w:highlight w:val="none"/>
          <w:lang w:eastAsia="zh-CN"/>
        </w:rPr>
        <w:t>（现金支付）</w:t>
      </w:r>
      <w:r>
        <w:rPr>
          <w:rFonts w:hint="eastAsia" w:ascii="仿宋_GB2312" w:hAnsi="宋体" w:eastAsia="仿宋_GB2312" w:cs="宋体"/>
          <w:kern w:val="0"/>
          <w:sz w:val="24"/>
          <w:highlight w:val="none"/>
        </w:rPr>
        <w:t>，售后不退。</w:t>
      </w:r>
    </w:p>
    <w:p w14:paraId="100AD07F">
      <w:pPr>
        <w:widowControl/>
        <w:shd w:val="clear" w:color="auto" w:fill="FFFFFF"/>
        <w:spacing w:line="420" w:lineRule="exact"/>
        <w:ind w:firstLine="480" w:firstLineChars="200"/>
        <w:jc w:val="left"/>
        <w:rPr>
          <w:rFonts w:hint="eastAsia" w:ascii="黑体" w:eastAsia="黑体" w:cs="宋体"/>
          <w:kern w:val="0"/>
          <w:sz w:val="24"/>
          <w:highlight w:val="none"/>
        </w:rPr>
      </w:pPr>
    </w:p>
    <w:p w14:paraId="1AC19DB0">
      <w:pPr>
        <w:widowControl/>
        <w:shd w:val="clear" w:color="auto" w:fill="FFFFFF"/>
        <w:spacing w:line="420" w:lineRule="exact"/>
        <w:ind w:firstLine="480" w:firstLineChars="200"/>
        <w:jc w:val="left"/>
        <w:rPr>
          <w:rFonts w:ascii="黑体" w:eastAsia="黑体" w:cs="宋体"/>
          <w:kern w:val="0"/>
          <w:sz w:val="24"/>
          <w:highlight w:val="none"/>
        </w:rPr>
      </w:pPr>
      <w:r>
        <w:rPr>
          <w:rFonts w:hint="eastAsia" w:ascii="黑体" w:eastAsia="黑体" w:cs="宋体"/>
          <w:kern w:val="0"/>
          <w:sz w:val="24"/>
          <w:highlight w:val="none"/>
        </w:rPr>
        <w:t>9.投标文件的递交</w:t>
      </w:r>
    </w:p>
    <w:p w14:paraId="047C27AA">
      <w:pPr>
        <w:widowControl/>
        <w:shd w:val="clear" w:color="auto" w:fill="FFFFFF"/>
        <w:spacing w:line="420" w:lineRule="exact"/>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lang w:val="en-US" w:eastAsia="zh-CN"/>
        </w:rPr>
        <w:t>9.1递交投标文件截止时间（投标截止时间，下同）为</w:t>
      </w:r>
      <w:r>
        <w:rPr>
          <w:rFonts w:ascii="仿宋_GB2312" w:hAnsi="宋体" w:eastAsia="仿宋_GB2312"/>
          <w:sz w:val="24"/>
          <w:highlight w:val="none"/>
        </w:rPr>
        <w:t>2020</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1</w:t>
      </w:r>
      <w:r>
        <w:rPr>
          <w:rFonts w:ascii="仿宋_GB2312" w:hAnsi="宋体" w:eastAsia="仿宋_GB2312"/>
          <w:sz w:val="24"/>
          <w:highlight w:val="none"/>
        </w:rPr>
        <w:t>月</w:t>
      </w:r>
      <w:r>
        <w:rPr>
          <w:rFonts w:hint="eastAsia" w:ascii="仿宋_GB2312" w:hAnsi="宋体" w:eastAsia="仿宋_GB2312"/>
          <w:sz w:val="24"/>
          <w:highlight w:val="none"/>
          <w:lang w:val="en-US" w:eastAsia="zh-CN"/>
        </w:rPr>
        <w:t>11</w:t>
      </w:r>
      <w:r>
        <w:rPr>
          <w:rFonts w:hint="eastAsia" w:ascii="仿宋_GB2312" w:hAnsi="宋体" w:eastAsia="仿宋_GB2312"/>
          <w:sz w:val="24"/>
          <w:highlight w:val="none"/>
        </w:rPr>
        <w:t>日</w:t>
      </w:r>
      <w:r>
        <w:rPr>
          <w:rFonts w:hint="eastAsia" w:ascii="仿宋_GB2312" w:hAnsi="宋体" w:eastAsia="仿宋_GB2312"/>
          <w:sz w:val="24"/>
          <w:highlight w:val="none"/>
          <w:lang w:val="en-US" w:eastAsia="zh-CN"/>
        </w:rPr>
        <w:t>09</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0</w:t>
      </w:r>
    </w:p>
    <w:p w14:paraId="27E06151">
      <w:pPr>
        <w:widowControl/>
        <w:shd w:val="clear" w:color="auto" w:fill="FFFFFF"/>
        <w:spacing w:line="420" w:lineRule="exact"/>
        <w:ind w:firstLine="440" w:firstLineChars="200"/>
        <w:jc w:val="left"/>
        <w:rPr>
          <w:rFonts w:ascii="仿宋_GB2312" w:hAnsi="宋体" w:eastAsia="仿宋_GB2312" w:cs="宋体"/>
          <w:kern w:val="0"/>
          <w:sz w:val="24"/>
          <w:highlight w:val="none"/>
        </w:rPr>
      </w:pPr>
      <w:r>
        <w:rPr>
          <w:rFonts w:hint="eastAsia" w:ascii="黑体" w:hAnsi="宋体" w:eastAsia="黑体"/>
          <w:sz w:val="22"/>
          <w:szCs w:val="22"/>
          <w:highlight w:val="none"/>
        </w:rPr>
        <w:t>9.2</w:t>
      </w:r>
      <w:r>
        <w:rPr>
          <w:rFonts w:hint="eastAsia" w:ascii="黑体" w:eastAsia="黑体" w:cs="宋体"/>
          <w:kern w:val="0"/>
          <w:sz w:val="24"/>
          <w:highlight w:val="none"/>
          <w:lang w:val="zh-CN"/>
        </w:rPr>
        <w:t>递交投标文件地点和开标地点：</w:t>
      </w:r>
      <w:r>
        <w:rPr>
          <w:rFonts w:hint="eastAsia" w:ascii="仿宋_GB2312" w:hAnsi="宋体" w:eastAsia="仿宋_GB2312" w:cs="宋体"/>
          <w:kern w:val="0"/>
          <w:sz w:val="24"/>
          <w:highlight w:val="none"/>
          <w:lang w:val="zh-CN"/>
        </w:rPr>
        <w:t>青岛西海岸新区凤凰岛初级中学</w:t>
      </w:r>
      <w:r>
        <w:rPr>
          <w:rFonts w:hint="eastAsia" w:ascii="仿宋_GB2312" w:hAnsi="宋体" w:eastAsia="仿宋_GB2312" w:cs="宋体"/>
          <w:kern w:val="0"/>
          <w:sz w:val="24"/>
          <w:highlight w:val="none"/>
          <w:lang w:val="en-US" w:eastAsia="zh-CN"/>
        </w:rPr>
        <w:t>会议室。</w:t>
      </w:r>
    </w:p>
    <w:p w14:paraId="0BAA5ED0">
      <w:pPr>
        <w:spacing w:line="380" w:lineRule="exact"/>
        <w:ind w:firstLine="440" w:firstLineChars="200"/>
        <w:rPr>
          <w:rFonts w:ascii="宋体"/>
          <w:kern w:val="0"/>
          <w:highlight w:val="none"/>
        </w:rPr>
      </w:pPr>
      <w:r>
        <w:rPr>
          <w:rFonts w:hint="eastAsia" w:ascii="黑体" w:hAnsi="宋体" w:eastAsia="黑体"/>
          <w:sz w:val="22"/>
          <w:szCs w:val="22"/>
          <w:highlight w:val="none"/>
        </w:rPr>
        <w:t>9.3</w:t>
      </w:r>
      <w:r>
        <w:rPr>
          <w:rFonts w:hint="eastAsia" w:ascii="仿宋_GB2312" w:hAnsi="宋体" w:eastAsia="仿宋_GB2312" w:cs="宋体"/>
          <w:kern w:val="0"/>
          <w:sz w:val="24"/>
          <w:highlight w:val="none"/>
        </w:rPr>
        <w:t>逾期送达或者未送达指定地点的，或者在提交响应文件时：响应文件未按本文件要求密封和标记的；法定代表人参加投标的，未出示法定代表人身份证明书原件和本人第二代身份证原件的；委托代理人参加投标的，未出示法定代表人签署的授权委托书原件和本人第二代身份证原件的，其响应文件将不予受理。</w:t>
      </w:r>
    </w:p>
    <w:p w14:paraId="7F64812F">
      <w:pPr>
        <w:spacing w:line="420" w:lineRule="exact"/>
        <w:ind w:firstLine="480" w:firstLineChars="200"/>
        <w:rPr>
          <w:rFonts w:ascii="黑体" w:hAnsi="宋体" w:eastAsia="黑体"/>
          <w:sz w:val="24"/>
          <w:highlight w:val="none"/>
        </w:rPr>
      </w:pPr>
      <w:r>
        <w:rPr>
          <w:rFonts w:hint="eastAsia" w:ascii="黑体" w:hAnsi="宋体" w:eastAsia="黑体"/>
          <w:sz w:val="24"/>
          <w:highlight w:val="none"/>
        </w:rPr>
        <w:t>10.其他说明</w:t>
      </w:r>
    </w:p>
    <w:p w14:paraId="211EA8F6">
      <w:pPr>
        <w:spacing w:line="380" w:lineRule="exact"/>
        <w:ind w:firstLine="480" w:firstLineChars="200"/>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rPr>
        <w:t>10.1</w:t>
      </w:r>
      <w:r>
        <w:rPr>
          <w:rFonts w:hint="eastAsia" w:ascii="仿宋_GB2312" w:hAnsi="宋体" w:eastAsia="仿宋_GB2312" w:cs="宋体"/>
          <w:kern w:val="0"/>
          <w:sz w:val="24"/>
          <w:highlight w:val="none"/>
          <w:lang w:val="zh-CN"/>
        </w:rPr>
        <w:t>本次招标公告在中国采购与招标网</w:t>
      </w:r>
      <w:r>
        <w:rPr>
          <w:rFonts w:hint="eastAsia" w:ascii="仿宋_GB2312" w:hAnsi="宋体" w:eastAsia="仿宋_GB2312" w:cs="宋体"/>
          <w:kern w:val="0"/>
          <w:sz w:val="24"/>
          <w:highlight w:val="none"/>
        </w:rPr>
        <w:t>（www.chinabidding.cn）</w:t>
      </w:r>
      <w:r>
        <w:rPr>
          <w:rFonts w:hint="eastAsia" w:ascii="仿宋_GB2312" w:hAnsi="宋体" w:eastAsia="仿宋_GB2312" w:cs="宋体"/>
          <w:kern w:val="0"/>
          <w:sz w:val="24"/>
          <w:highlight w:val="none"/>
          <w:lang w:val="zh-CN"/>
        </w:rPr>
        <w:t>上发布。</w:t>
      </w:r>
    </w:p>
    <w:p w14:paraId="1714E04B">
      <w:pPr>
        <w:spacing w:line="380" w:lineRule="exact"/>
        <w:ind w:firstLine="480" w:firstLineChars="200"/>
        <w:rPr>
          <w:rFonts w:ascii="仿宋_GB2312" w:hAnsi="宋体" w:eastAsia="仿宋_GB2312" w:cs="宋体"/>
          <w:kern w:val="0"/>
          <w:sz w:val="24"/>
          <w:highlight w:val="none"/>
          <w:lang w:val="zh-CN"/>
        </w:rPr>
      </w:pPr>
      <w:r>
        <w:rPr>
          <w:rFonts w:hint="eastAsia" w:ascii="仿宋_GB2312" w:hAnsi="宋体" w:eastAsia="仿宋_GB2312" w:cs="宋体"/>
          <w:kern w:val="0"/>
          <w:sz w:val="24"/>
          <w:highlight w:val="none"/>
        </w:rPr>
        <w:t>10.</w:t>
      </w:r>
      <w:r>
        <w:rPr>
          <w:rFonts w:hint="eastAsia" w:ascii="仿宋_GB2312" w:hAnsi="宋体" w:eastAsia="仿宋_GB2312" w:cs="宋体"/>
          <w:kern w:val="0"/>
          <w:sz w:val="24"/>
          <w:highlight w:val="none"/>
          <w:lang w:val="zh-CN"/>
        </w:rPr>
        <w:t>2投标人必须向招标代理机构购买招标文件并登记备案，未向招标代理机构购买招标文件并登记备案的潜在投标人均无资格参加本次招标。</w:t>
      </w:r>
    </w:p>
    <w:p w14:paraId="14026365">
      <w:pPr>
        <w:spacing w:line="440" w:lineRule="exact"/>
        <w:ind w:firstLine="480" w:firstLineChars="200"/>
        <w:rPr>
          <w:rFonts w:ascii="黑体" w:eastAsia="黑体" w:cs="宋体"/>
          <w:kern w:val="0"/>
          <w:sz w:val="24"/>
          <w:highlight w:val="none"/>
          <w:lang w:val="zh-CN"/>
        </w:rPr>
      </w:pPr>
      <w:r>
        <w:rPr>
          <w:rFonts w:hint="eastAsia" w:ascii="黑体" w:eastAsia="黑体" w:cs="宋体"/>
          <w:kern w:val="0"/>
          <w:sz w:val="24"/>
          <w:highlight w:val="none"/>
        </w:rPr>
        <w:t>11.</w:t>
      </w:r>
      <w:r>
        <w:rPr>
          <w:rFonts w:hint="eastAsia" w:ascii="黑体" w:eastAsia="黑体" w:cs="宋体"/>
          <w:kern w:val="0"/>
          <w:sz w:val="24"/>
          <w:highlight w:val="none"/>
          <w:lang w:val="zh-CN"/>
        </w:rPr>
        <w:t>联系方式：</w:t>
      </w:r>
    </w:p>
    <w:p w14:paraId="2E5AAFD7">
      <w:pPr>
        <w:widowControl/>
        <w:shd w:val="clear" w:color="auto" w:fill="FFFFFF"/>
        <w:spacing w:line="420" w:lineRule="exact"/>
        <w:ind w:firstLine="440" w:firstLineChars="200"/>
        <w:jc w:val="left"/>
        <w:rPr>
          <w:rFonts w:ascii="仿宋_GB2312" w:hAnsi="宋体" w:eastAsia="仿宋_GB2312" w:cs="宋体"/>
          <w:kern w:val="0"/>
          <w:sz w:val="24"/>
          <w:highlight w:val="none"/>
        </w:rPr>
      </w:pPr>
      <w:r>
        <w:rPr>
          <w:rFonts w:hint="eastAsia" w:ascii="黑体" w:hAnsi="宋体" w:eastAsia="黑体"/>
          <w:sz w:val="22"/>
          <w:szCs w:val="22"/>
          <w:highlight w:val="none"/>
        </w:rPr>
        <w:t>11.1</w:t>
      </w:r>
      <w:r>
        <w:rPr>
          <w:rFonts w:hint="eastAsia" w:ascii="仿宋_GB2312" w:hAnsi="宋体" w:eastAsia="仿宋_GB2312" w:cs="宋体"/>
          <w:kern w:val="0"/>
          <w:sz w:val="24"/>
          <w:highlight w:val="none"/>
          <w:lang w:val="zh-CN"/>
        </w:rPr>
        <w:t>招标人：青岛西海岸新区凤凰岛初级中学</w:t>
      </w:r>
    </w:p>
    <w:p w14:paraId="2561B33F">
      <w:pPr>
        <w:widowControl/>
        <w:shd w:val="clear" w:color="auto" w:fill="FFFFFF"/>
        <w:spacing w:line="420" w:lineRule="exact"/>
        <w:ind w:firstLine="960" w:firstLineChars="400"/>
        <w:jc w:val="left"/>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zh-CN"/>
        </w:rPr>
        <w:t>地址：青岛西海岸新区珠江路</w:t>
      </w:r>
      <w:r>
        <w:rPr>
          <w:rFonts w:hint="eastAsia" w:ascii="仿宋_GB2312" w:hAnsi="宋体" w:eastAsia="仿宋_GB2312" w:cs="宋体"/>
          <w:kern w:val="0"/>
          <w:sz w:val="24"/>
          <w:highlight w:val="none"/>
          <w:lang w:val="en-US" w:eastAsia="zh-CN"/>
        </w:rPr>
        <w:t>7号</w:t>
      </w:r>
    </w:p>
    <w:p w14:paraId="66197DE5">
      <w:pPr>
        <w:widowControl/>
        <w:shd w:val="clear" w:color="auto" w:fill="FFFFFF"/>
        <w:spacing w:line="420" w:lineRule="exact"/>
        <w:ind w:firstLine="960" w:firstLineChars="400"/>
        <w:jc w:val="left"/>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zh-CN"/>
        </w:rPr>
        <w:t>联系人：薛主任</w:t>
      </w:r>
      <w:r>
        <w:rPr>
          <w:rFonts w:hint="eastAsia" w:ascii="仿宋_GB2312" w:hAnsi="宋体" w:eastAsia="仿宋_GB2312" w:cs="宋体"/>
          <w:kern w:val="0"/>
          <w:sz w:val="24"/>
          <w:highlight w:val="none"/>
          <w:lang w:val="en-US" w:eastAsia="zh-CN"/>
        </w:rPr>
        <w:t xml:space="preserve"> </w:t>
      </w:r>
    </w:p>
    <w:p w14:paraId="71911E4E">
      <w:pPr>
        <w:widowControl/>
        <w:shd w:val="clear" w:color="auto" w:fill="FFFFFF"/>
        <w:spacing w:line="420" w:lineRule="exact"/>
        <w:ind w:firstLine="960" w:firstLineChars="400"/>
        <w:jc w:val="left"/>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zh-CN"/>
        </w:rPr>
        <w:t>电话：</w:t>
      </w:r>
      <w:r>
        <w:rPr>
          <w:rFonts w:hint="eastAsia" w:ascii="仿宋_GB2312" w:hAnsi="宋体" w:eastAsia="仿宋_GB2312" w:cs="宋体"/>
          <w:kern w:val="0"/>
          <w:sz w:val="24"/>
          <w:highlight w:val="none"/>
          <w:lang w:val="en-US" w:eastAsia="zh-CN"/>
        </w:rPr>
        <w:t>13969793036</w:t>
      </w:r>
    </w:p>
    <w:p w14:paraId="469CD190">
      <w:pPr>
        <w:widowControl/>
        <w:shd w:val="clear" w:color="auto" w:fill="FFFFFF"/>
        <w:spacing w:line="420" w:lineRule="exact"/>
        <w:ind w:firstLine="440" w:firstLineChars="200"/>
        <w:jc w:val="left"/>
        <w:rPr>
          <w:rFonts w:ascii="宋体" w:hAnsi="宋体" w:eastAsia="仿宋_GB2312" w:cs="宋体"/>
          <w:kern w:val="0"/>
          <w:sz w:val="24"/>
          <w:highlight w:val="none"/>
        </w:rPr>
      </w:pPr>
      <w:r>
        <w:rPr>
          <w:rFonts w:hint="eastAsia" w:ascii="黑体" w:hAnsi="宋体" w:eastAsia="黑体"/>
          <w:sz w:val="22"/>
          <w:szCs w:val="22"/>
          <w:highlight w:val="none"/>
        </w:rPr>
        <w:t>11.2</w:t>
      </w:r>
      <w:r>
        <w:rPr>
          <w:rFonts w:hint="eastAsia" w:ascii="仿宋_GB2312" w:hAnsi="宋体" w:eastAsia="仿宋_GB2312" w:cs="宋体"/>
          <w:kern w:val="0"/>
          <w:sz w:val="24"/>
          <w:highlight w:val="none"/>
          <w:lang w:val="zh-CN"/>
        </w:rPr>
        <w:t>代理机构：</w:t>
      </w:r>
      <w:r>
        <w:rPr>
          <w:rFonts w:hint="eastAsia" w:ascii="仿宋_GB2312" w:hAnsi="宋体" w:eastAsia="仿宋_GB2312" w:cs="宋体"/>
          <w:kern w:val="0"/>
          <w:sz w:val="24"/>
          <w:highlight w:val="none"/>
        </w:rPr>
        <w:t>山东富润工程造价咨询事务所有限责任公司青岛分公司</w:t>
      </w:r>
    </w:p>
    <w:p w14:paraId="1C7B2E1D">
      <w:pPr>
        <w:widowControl/>
        <w:shd w:val="clear" w:color="auto" w:fill="FFFFFF"/>
        <w:spacing w:line="420" w:lineRule="exact"/>
        <w:ind w:firstLine="960" w:firstLineChars="400"/>
        <w:jc w:val="left"/>
        <w:rPr>
          <w:rFonts w:ascii="宋体" w:hAnsi="宋体" w:eastAsia="仿宋_GB2312" w:cs="宋体"/>
          <w:kern w:val="0"/>
          <w:sz w:val="24"/>
          <w:highlight w:val="none"/>
        </w:rPr>
      </w:pPr>
      <w:r>
        <w:rPr>
          <w:rFonts w:hint="eastAsia" w:ascii="仿宋_GB2312" w:hAnsi="宋体" w:eastAsia="仿宋_GB2312" w:cs="宋体"/>
          <w:kern w:val="0"/>
          <w:sz w:val="24"/>
          <w:highlight w:val="none"/>
        </w:rPr>
        <w:t>地址：青岛市黄岛区衡山路14号鸿润金汇泉商务中心21楼</w:t>
      </w:r>
    </w:p>
    <w:p w14:paraId="00B12B80">
      <w:pPr>
        <w:widowControl/>
        <w:shd w:val="clear" w:color="auto" w:fill="FFFFFF"/>
        <w:spacing w:line="420" w:lineRule="exact"/>
        <w:ind w:firstLine="960" w:firstLineChars="400"/>
        <w:jc w:val="left"/>
        <w:rPr>
          <w:rFonts w:ascii="宋体" w:hAnsi="宋体" w:cs="宋体"/>
          <w:kern w:val="0"/>
          <w:sz w:val="24"/>
          <w:highlight w:val="none"/>
        </w:rPr>
      </w:pPr>
      <w:r>
        <w:rPr>
          <w:rFonts w:hint="eastAsia" w:ascii="仿宋_GB2312" w:hAnsi="宋体" w:eastAsia="仿宋_GB2312" w:cs="宋体"/>
          <w:kern w:val="0"/>
          <w:sz w:val="24"/>
          <w:highlight w:val="none"/>
          <w:lang w:val="zh-CN"/>
        </w:rPr>
        <w:t>联系人：赵日敏、滕晓洋</w:t>
      </w:r>
    </w:p>
    <w:p w14:paraId="3505007C">
      <w:pPr>
        <w:widowControl/>
        <w:shd w:val="clear" w:color="auto" w:fill="FFFFFF"/>
        <w:spacing w:line="420" w:lineRule="exact"/>
        <w:ind w:firstLine="960" w:firstLineChars="4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zh-CN"/>
        </w:rPr>
        <w:t>电话</w:t>
      </w:r>
      <w:r>
        <w:rPr>
          <w:rFonts w:hint="eastAsia" w:ascii="仿宋_GB2312" w:hAnsi="宋体" w:eastAsia="仿宋_GB2312" w:cs="宋体"/>
          <w:kern w:val="0"/>
          <w:sz w:val="24"/>
          <w:highlight w:val="none"/>
        </w:rPr>
        <w:t>：13105138503、15244231178</w:t>
      </w:r>
    </w:p>
    <w:p w14:paraId="625BEDA4">
      <w:pPr>
        <w:widowControl/>
        <w:shd w:val="clear" w:color="auto" w:fill="FFFFFF"/>
        <w:spacing w:line="420" w:lineRule="exact"/>
        <w:ind w:firstLine="960" w:firstLineChars="4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电子邮件：</w:t>
      </w:r>
      <w:r>
        <w:rPr>
          <w:highlight w:val="none"/>
        </w:rPr>
        <w:fldChar w:fldCharType="begin"/>
      </w:r>
      <w:r>
        <w:rPr>
          <w:highlight w:val="none"/>
        </w:rPr>
        <w:instrText xml:space="preserve"> HYPERLINK "mailto:furunqingdao123@163.com" </w:instrText>
      </w:r>
      <w:r>
        <w:rPr>
          <w:highlight w:val="none"/>
        </w:rPr>
        <w:fldChar w:fldCharType="separate"/>
      </w:r>
      <w:r>
        <w:rPr>
          <w:rStyle w:val="48"/>
          <w:rFonts w:hint="eastAsia" w:ascii="仿宋_GB2312" w:hAnsi="宋体" w:eastAsia="仿宋_GB2312" w:cs="宋体"/>
          <w:kern w:val="0"/>
          <w:sz w:val="24"/>
          <w:highlight w:val="none"/>
        </w:rPr>
        <w:t>furunqingdao123@163.com</w:t>
      </w:r>
      <w:r>
        <w:rPr>
          <w:rStyle w:val="48"/>
          <w:rFonts w:hint="eastAsia" w:ascii="仿宋_GB2312" w:hAnsi="宋体" w:eastAsia="仿宋_GB2312" w:cs="宋体"/>
          <w:kern w:val="0"/>
          <w:sz w:val="24"/>
          <w:highlight w:val="none"/>
        </w:rPr>
        <w:fldChar w:fldCharType="end"/>
      </w:r>
    </w:p>
    <w:p w14:paraId="08BB12EB">
      <w:pPr>
        <w:widowControl/>
        <w:shd w:val="clear" w:color="auto" w:fill="FFFFFF"/>
        <w:spacing w:line="420" w:lineRule="exact"/>
        <w:ind w:firstLine="960" w:firstLineChars="4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zh-CN"/>
        </w:rPr>
        <w:t>户名：</w:t>
      </w:r>
      <w:r>
        <w:rPr>
          <w:rFonts w:hint="eastAsia" w:ascii="仿宋_GB2312" w:hAnsi="宋体" w:eastAsia="仿宋_GB2312" w:cs="宋体"/>
          <w:kern w:val="0"/>
          <w:sz w:val="24"/>
          <w:highlight w:val="none"/>
        </w:rPr>
        <w:t>山东富润工程造价咨询事务所有限责任公司青岛分公司</w:t>
      </w:r>
    </w:p>
    <w:p w14:paraId="3CE81D57">
      <w:pPr>
        <w:widowControl/>
        <w:shd w:val="clear" w:color="auto" w:fill="FFFFFF"/>
        <w:spacing w:line="420" w:lineRule="exact"/>
        <w:ind w:firstLine="960" w:firstLineChars="400"/>
        <w:jc w:val="left"/>
        <w:rPr>
          <w:rFonts w:ascii="仿宋_GB2312" w:hAnsi="宋体" w:eastAsia="仿宋_GB2312" w:cs="宋体"/>
          <w:kern w:val="0"/>
          <w:sz w:val="24"/>
          <w:highlight w:val="none"/>
          <w:lang w:val="zh-CN"/>
        </w:rPr>
      </w:pPr>
      <w:r>
        <w:rPr>
          <w:rFonts w:hint="eastAsia" w:ascii="仿宋_GB2312" w:hAnsi="宋体" w:eastAsia="仿宋_GB2312" w:cs="宋体"/>
          <w:kern w:val="0"/>
          <w:sz w:val="24"/>
          <w:highlight w:val="none"/>
          <w:lang w:val="zh-CN"/>
        </w:rPr>
        <w:t>开户行：山东张店农村商业银行股份有限公司青岛西海岸支行</w:t>
      </w:r>
    </w:p>
    <w:p w14:paraId="70E5F5C1">
      <w:pPr>
        <w:widowControl/>
        <w:shd w:val="clear" w:color="auto" w:fill="FFFFFF"/>
        <w:spacing w:line="420" w:lineRule="exact"/>
        <w:ind w:firstLine="960" w:firstLineChars="400"/>
        <w:jc w:val="left"/>
        <w:rPr>
          <w:rFonts w:ascii="仿宋_GB2312" w:hAnsi="宋体" w:eastAsia="仿宋_GB2312" w:cs="宋体"/>
          <w:kern w:val="0"/>
          <w:sz w:val="24"/>
          <w:highlight w:val="none"/>
          <w:lang w:val="zh-CN"/>
        </w:rPr>
      </w:pPr>
      <w:r>
        <w:rPr>
          <w:rFonts w:hint="eastAsia" w:ascii="仿宋_GB2312" w:hAnsi="宋体" w:eastAsia="仿宋_GB2312" w:cs="宋体"/>
          <w:kern w:val="0"/>
          <w:sz w:val="24"/>
          <w:highlight w:val="none"/>
          <w:lang w:val="zh-CN"/>
        </w:rPr>
        <w:t>账号：2070010074205000010812</w:t>
      </w:r>
    </w:p>
    <w:p w14:paraId="7F3CE0AA">
      <w:pPr>
        <w:tabs>
          <w:tab w:val="left" w:pos="4860"/>
        </w:tabs>
        <w:spacing w:line="460" w:lineRule="exact"/>
        <w:ind w:right="120" w:firstLine="480" w:firstLineChars="200"/>
        <w:jc w:val="right"/>
        <w:rPr>
          <w:rFonts w:ascii="仿宋_GB2312" w:eastAsia="仿宋_GB2312"/>
          <w:sz w:val="24"/>
          <w:highlight w:val="none"/>
        </w:rPr>
      </w:pPr>
    </w:p>
    <w:p w14:paraId="55CC7A26">
      <w:pPr>
        <w:tabs>
          <w:tab w:val="left" w:pos="4860"/>
        </w:tabs>
        <w:spacing w:line="460" w:lineRule="exact"/>
        <w:ind w:right="120" w:firstLine="480" w:firstLineChars="200"/>
        <w:jc w:val="right"/>
        <w:rPr>
          <w:rFonts w:ascii="仿宋_GB2312" w:hAnsi="宋体" w:eastAsia="仿宋_GB2312"/>
          <w:sz w:val="24"/>
          <w:highlight w:val="none"/>
        </w:rPr>
      </w:pPr>
      <w:r>
        <w:rPr>
          <w:rFonts w:ascii="仿宋_GB2312" w:eastAsia="仿宋_GB2312"/>
          <w:sz w:val="24"/>
          <w:highlight w:val="none"/>
        </w:rPr>
        <w:t>2020</w:t>
      </w:r>
      <w:r>
        <w:rPr>
          <w:rFonts w:hint="eastAsia" w:ascii="仿宋_GB2312" w:eastAsia="仿宋_GB2312"/>
          <w:sz w:val="24"/>
          <w:highlight w:val="none"/>
        </w:rPr>
        <w:t>年</w:t>
      </w:r>
      <w:r>
        <w:rPr>
          <w:rFonts w:hint="eastAsia" w:ascii="仿宋_GB2312" w:eastAsia="仿宋_GB2312"/>
          <w:sz w:val="24"/>
          <w:highlight w:val="none"/>
          <w:lang w:val="en-US" w:eastAsia="zh-CN"/>
        </w:rPr>
        <w:t>12</w:t>
      </w:r>
      <w:r>
        <w:rPr>
          <w:rFonts w:ascii="仿宋_GB2312" w:eastAsia="仿宋_GB2312"/>
          <w:sz w:val="24"/>
          <w:highlight w:val="none"/>
        </w:rPr>
        <w:t>月</w:t>
      </w:r>
      <w:r>
        <w:rPr>
          <w:rFonts w:hint="eastAsia" w:ascii="仿宋_GB2312" w:eastAsia="仿宋_GB2312"/>
          <w:sz w:val="24"/>
          <w:highlight w:val="none"/>
          <w:lang w:val="en-US" w:eastAsia="zh-CN"/>
        </w:rPr>
        <w:t>21</w:t>
      </w:r>
      <w:r>
        <w:rPr>
          <w:rFonts w:hint="eastAsia" w:ascii="仿宋_GB2312" w:eastAsia="仿宋_GB2312"/>
          <w:sz w:val="24"/>
          <w:highlight w:val="none"/>
        </w:rPr>
        <w:t>日</w:t>
      </w:r>
      <w:bookmarkEnd w:id="1"/>
    </w:p>
    <w:p w14:paraId="3B057C6C">
      <w:pPr>
        <w:pStyle w:val="141"/>
        <w:keepNext w:val="0"/>
        <w:keepLines w:val="0"/>
        <w:spacing w:after="312"/>
        <w:rPr>
          <w:rFonts w:ascii="黑体" w:hAnsi="宋体" w:eastAsia="黑体"/>
          <w:sz w:val="28"/>
          <w:szCs w:val="28"/>
          <w:highlight w:val="none"/>
        </w:rPr>
      </w:pPr>
      <w:r>
        <w:rPr>
          <w:rFonts w:ascii="仿宋_GB2312" w:hAnsi="宋体"/>
          <w:sz w:val="24"/>
          <w:highlight w:val="none"/>
        </w:rPr>
        <w:br w:type="page"/>
      </w:r>
      <w:bookmarkStart w:id="2" w:name="_Toc11851461"/>
      <w:r>
        <w:rPr>
          <w:rFonts w:hint="eastAsia" w:ascii="黑体" w:eastAsia="黑体"/>
          <w:b w:val="0"/>
          <w:highlight w:val="none"/>
        </w:rPr>
        <w:t>第二章投标人须知</w:t>
      </w:r>
      <w:bookmarkEnd w:id="2"/>
    </w:p>
    <w:p w14:paraId="334388DF">
      <w:pPr>
        <w:spacing w:before="100" w:beforeAutospacing="1" w:after="100" w:afterAutospacing="1"/>
        <w:jc w:val="center"/>
        <w:outlineLvl w:val="1"/>
        <w:rPr>
          <w:rFonts w:ascii="黑体" w:hAnsi="宋体" w:eastAsia="黑体"/>
          <w:sz w:val="28"/>
          <w:szCs w:val="28"/>
          <w:highlight w:val="none"/>
        </w:rPr>
      </w:pPr>
      <w:bookmarkStart w:id="3" w:name="_Toc11851462"/>
      <w:r>
        <w:rPr>
          <w:rFonts w:hint="eastAsia" w:ascii="黑体" w:hAnsi="宋体" w:eastAsia="黑体"/>
          <w:sz w:val="28"/>
          <w:szCs w:val="28"/>
          <w:highlight w:val="none"/>
        </w:rPr>
        <w:t>投标人须知前附表</w:t>
      </w:r>
      <w:bookmarkEnd w:id="3"/>
    </w:p>
    <w:tbl>
      <w:tblPr>
        <w:tblStyle w:val="40"/>
        <w:tblW w:w="9054" w:type="dxa"/>
        <w:tblInd w:w="0" w:type="dxa"/>
        <w:tblLayout w:type="fixed"/>
        <w:tblCellMar>
          <w:top w:w="0" w:type="dxa"/>
          <w:left w:w="10" w:type="dxa"/>
          <w:bottom w:w="0" w:type="dxa"/>
          <w:right w:w="10" w:type="dxa"/>
        </w:tblCellMar>
      </w:tblPr>
      <w:tblGrid>
        <w:gridCol w:w="807"/>
        <w:gridCol w:w="280"/>
        <w:gridCol w:w="2414"/>
        <w:gridCol w:w="428"/>
        <w:gridCol w:w="5125"/>
      </w:tblGrid>
      <w:tr w14:paraId="5A10B315">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1F21EC68">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序号</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4E97AE4A">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条款名称</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626D3CF4">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编列内容</w:t>
            </w:r>
          </w:p>
        </w:tc>
      </w:tr>
      <w:tr w14:paraId="673ECD5B">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0B29535D">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4243FD3A">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招标人</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64709C68">
            <w:pPr>
              <w:snapToGrid w:val="0"/>
              <w:jc w:val="left"/>
              <w:rPr>
                <w:rFonts w:ascii="仿宋_GB2312" w:hAnsi="宋体" w:eastAsia="仿宋_GB2312" w:cs="仿宋"/>
                <w:sz w:val="24"/>
                <w:highlight w:val="none"/>
                <w:lang w:val="zh-CN"/>
              </w:rPr>
            </w:pPr>
            <w:r>
              <w:rPr>
                <w:rFonts w:hint="eastAsia" w:ascii="仿宋_GB2312" w:hAnsi="宋体" w:eastAsia="仿宋_GB2312" w:cs="宋体"/>
                <w:kern w:val="0"/>
                <w:sz w:val="24"/>
                <w:highlight w:val="none"/>
                <w:lang w:val="zh-CN"/>
              </w:rPr>
              <w:t>青岛西海岸新区凤凰岛初级中学</w:t>
            </w:r>
          </w:p>
        </w:tc>
      </w:tr>
      <w:tr w14:paraId="1A18C76C">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1B9D594F">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2</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7FD72A4F">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招标代理机构</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09A978D4">
            <w:pPr>
              <w:snapToGrid w:val="0"/>
              <w:jc w:val="left"/>
              <w:rPr>
                <w:rFonts w:ascii="仿宋_GB2312" w:hAnsi="宋体" w:eastAsia="仿宋_GB2312" w:cs="仿宋"/>
                <w:sz w:val="24"/>
                <w:highlight w:val="none"/>
              </w:rPr>
            </w:pPr>
            <w:r>
              <w:rPr>
                <w:rFonts w:hint="eastAsia" w:ascii="仿宋_GB2312" w:hAnsi="宋体" w:eastAsia="仿宋_GB2312" w:cs="仿宋"/>
                <w:sz w:val="24"/>
                <w:highlight w:val="none"/>
              </w:rPr>
              <w:t>山东富润工程造价咨询事务所有限责任公司青岛分公司</w:t>
            </w:r>
          </w:p>
        </w:tc>
      </w:tr>
      <w:tr w14:paraId="27F16343">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33A2F648">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3</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177CFF79">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招标项目名称</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46387A51">
            <w:pPr>
              <w:snapToGrid w:val="0"/>
              <w:rPr>
                <w:rFonts w:ascii="仿宋_GB2312" w:hAnsi="宋体" w:eastAsia="仿宋_GB2312" w:cs="仿宋"/>
                <w:sz w:val="24"/>
                <w:highlight w:val="none"/>
                <w:lang w:val="zh-CN"/>
              </w:rPr>
            </w:pPr>
            <w:r>
              <w:rPr>
                <w:rFonts w:hint="eastAsia" w:ascii="仿宋_GB2312" w:hAnsi="宋体" w:eastAsia="仿宋_GB2312" w:cs="宋体"/>
                <w:kern w:val="0"/>
                <w:sz w:val="24"/>
                <w:highlight w:val="none"/>
                <w:lang w:val="zh-CN"/>
              </w:rPr>
              <w:t>青岛西海岸新区凤凰岛初级中学购买食堂帮厨服务项目</w:t>
            </w:r>
          </w:p>
        </w:tc>
      </w:tr>
      <w:tr w14:paraId="54372C81">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15001301">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4</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73849A99">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招标项目编号</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7FB90159">
            <w:pPr>
              <w:snapToGrid w:val="0"/>
              <w:jc w:val="left"/>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eastAsia="zh-CN"/>
              </w:rPr>
              <w:t>FRQD2020047</w:t>
            </w:r>
          </w:p>
        </w:tc>
      </w:tr>
      <w:tr w14:paraId="78DFC282">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13738514">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5</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169F3E17">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投标人资格要求</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69C6C86C">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见第一章“招标公告”。</w:t>
            </w:r>
          </w:p>
        </w:tc>
      </w:tr>
      <w:tr w14:paraId="1D685C61">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4CCBAF0A">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6</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286AFA60">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是否接受联合体投标</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0143FFE9">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见第一章“招标公告”。</w:t>
            </w:r>
          </w:p>
        </w:tc>
      </w:tr>
      <w:tr w14:paraId="70AF2BD1">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6713150C">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7</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6902DE9B">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现场考察</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11FBD167">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fldChar w:fldCharType="begin"/>
            </w:r>
            <w:r>
              <w:rPr>
                <w:rFonts w:hint="eastAsia" w:ascii="仿宋_GB2312" w:hAnsi="宋体" w:eastAsia="仿宋_GB2312" w:cs="仿宋"/>
                <w:sz w:val="24"/>
                <w:highlight w:val="none"/>
                <w:lang w:val="zh-CN"/>
              </w:rPr>
              <w:instrText xml:space="preserve"> eq \o\ac(□,√)</w:instrText>
            </w:r>
            <w:r>
              <w:rPr>
                <w:rFonts w:hint="eastAsia" w:ascii="仿宋_GB2312" w:hAnsi="宋体" w:eastAsia="仿宋_GB2312" w:cs="仿宋"/>
                <w:sz w:val="24"/>
                <w:highlight w:val="none"/>
                <w:lang w:val="zh-CN"/>
              </w:rPr>
              <w:fldChar w:fldCharType="end"/>
            </w:r>
            <w:r>
              <w:rPr>
                <w:rFonts w:hint="eastAsia" w:ascii="仿宋_GB2312" w:hAnsi="宋体" w:eastAsia="仿宋_GB2312" w:cs="仿宋"/>
                <w:sz w:val="24"/>
                <w:highlight w:val="none"/>
                <w:lang w:val="zh-CN"/>
              </w:rPr>
              <w:t>不组织。</w:t>
            </w:r>
          </w:p>
          <w:p w14:paraId="3F3AF275">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□组织，考察时间：；</w:t>
            </w:r>
          </w:p>
          <w:p w14:paraId="1A4CEC68">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考察集中地点：。</w:t>
            </w:r>
          </w:p>
        </w:tc>
      </w:tr>
      <w:tr w14:paraId="5831C332">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5ACF8471">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8</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6B5160B0">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投标人要求澄清招标文件的截止时间和方式</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7A43804A">
            <w:pPr>
              <w:snapToGrid w:val="0"/>
              <w:jc w:val="left"/>
              <w:rPr>
                <w:rFonts w:ascii="仿宋_GB2312" w:hAnsi="宋体" w:eastAsia="仿宋_GB2312" w:cs="仿宋"/>
                <w:sz w:val="24"/>
                <w:highlight w:val="none"/>
              </w:rPr>
            </w:pPr>
            <w:r>
              <w:rPr>
                <w:rFonts w:hint="eastAsia" w:ascii="仿宋_GB2312" w:hAnsi="宋体" w:eastAsia="仿宋_GB2312" w:cs="仿宋"/>
                <w:sz w:val="24"/>
                <w:highlight w:val="none"/>
                <w:lang w:val="zh-CN"/>
              </w:rPr>
              <w:t>1.截止时间：</w:t>
            </w:r>
            <w:r>
              <w:rPr>
                <w:rFonts w:ascii="仿宋_GB2312" w:hAnsi="宋体" w:eastAsia="仿宋_GB2312" w:cs="仿宋"/>
                <w:sz w:val="24"/>
                <w:highlight w:val="none"/>
                <w:lang w:val="zh-CN"/>
              </w:rPr>
              <w:t>2020</w:t>
            </w:r>
            <w:r>
              <w:rPr>
                <w:rFonts w:hint="eastAsia" w:ascii="仿宋_GB2312" w:hAnsi="宋体" w:eastAsia="仿宋_GB2312" w:cs="仿宋"/>
                <w:sz w:val="24"/>
                <w:highlight w:val="none"/>
                <w:lang w:val="zh-CN"/>
              </w:rPr>
              <w:t>年</w:t>
            </w:r>
            <w:r>
              <w:rPr>
                <w:rFonts w:hint="eastAsia" w:ascii="仿宋_GB2312" w:hAnsi="宋体" w:eastAsia="仿宋_GB2312" w:cs="仿宋"/>
                <w:sz w:val="24"/>
                <w:highlight w:val="none"/>
                <w:lang w:val="en-US" w:eastAsia="zh-CN"/>
              </w:rPr>
              <w:t>12</w:t>
            </w:r>
            <w:r>
              <w:rPr>
                <w:rFonts w:ascii="仿宋_GB2312" w:hAnsi="宋体" w:eastAsia="仿宋_GB2312" w:cs="仿宋"/>
                <w:sz w:val="24"/>
                <w:highlight w:val="none"/>
                <w:lang w:val="zh-CN"/>
              </w:rPr>
              <w:t>月</w:t>
            </w:r>
            <w:r>
              <w:rPr>
                <w:rFonts w:hint="eastAsia" w:ascii="仿宋_GB2312" w:hAnsi="宋体" w:eastAsia="仿宋_GB2312" w:cs="仿宋"/>
                <w:sz w:val="24"/>
                <w:highlight w:val="none"/>
                <w:lang w:val="en-US" w:eastAsia="zh-CN"/>
              </w:rPr>
              <w:t>26</w:t>
            </w:r>
            <w:r>
              <w:rPr>
                <w:rFonts w:ascii="仿宋_GB2312" w:hAnsi="宋体" w:eastAsia="仿宋_GB2312" w:cs="仿宋"/>
                <w:sz w:val="24"/>
                <w:highlight w:val="none"/>
                <w:lang w:val="zh-CN"/>
              </w:rPr>
              <w:t>日</w:t>
            </w:r>
            <w:r>
              <w:rPr>
                <w:rFonts w:hint="eastAsia" w:ascii="仿宋_GB2312" w:hAnsi="宋体" w:eastAsia="仿宋_GB2312" w:cs="仿宋"/>
                <w:sz w:val="24"/>
                <w:highlight w:val="none"/>
              </w:rPr>
              <w:t>16：00</w:t>
            </w:r>
          </w:p>
          <w:p w14:paraId="085B2514">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2.澄清方式：投标人将澄清要求以电子邮件附件形式发至邮箱：</w:t>
            </w:r>
            <w:r>
              <w:rPr>
                <w:highlight w:val="none"/>
              </w:rPr>
              <w:fldChar w:fldCharType="begin"/>
            </w:r>
            <w:r>
              <w:rPr>
                <w:highlight w:val="none"/>
              </w:rPr>
              <w:instrText xml:space="preserve"> HYPERLINK "mailto:furunqingdao123@163.com" </w:instrText>
            </w:r>
            <w:r>
              <w:rPr>
                <w:highlight w:val="none"/>
              </w:rPr>
              <w:fldChar w:fldCharType="separate"/>
            </w:r>
            <w:r>
              <w:rPr>
                <w:rStyle w:val="48"/>
                <w:rFonts w:hint="eastAsia" w:ascii="仿宋_GB2312" w:hAnsi="宋体" w:eastAsia="仿宋_GB2312" w:cs="宋体"/>
                <w:kern w:val="0"/>
                <w:sz w:val="24"/>
                <w:highlight w:val="none"/>
              </w:rPr>
              <w:t>furunqingdao123@163.com</w:t>
            </w:r>
            <w:r>
              <w:rPr>
                <w:rStyle w:val="48"/>
                <w:rFonts w:hint="eastAsia" w:ascii="仿宋_GB2312" w:hAnsi="宋体" w:eastAsia="仿宋_GB2312" w:cs="宋体"/>
                <w:kern w:val="0"/>
                <w:sz w:val="24"/>
                <w:highlight w:val="none"/>
              </w:rPr>
              <w:fldChar w:fldCharType="end"/>
            </w:r>
            <w:r>
              <w:rPr>
                <w:rFonts w:hint="eastAsia" w:ascii="仿宋_GB2312" w:hAnsi="宋体" w:eastAsia="仿宋_GB2312" w:cs="仿宋"/>
                <w:sz w:val="24"/>
                <w:highlight w:val="none"/>
                <w:lang w:val="zh-CN"/>
              </w:rPr>
              <w:t>（澄清要求文件为word格式，注明项目名称、项目编号；电子邮件主题：对“项目编号”项目的疑问），逾期不予受理。</w:t>
            </w:r>
          </w:p>
        </w:tc>
      </w:tr>
      <w:tr w14:paraId="37DFD20B">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793082C7">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9</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45B7794E">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投标截止时间</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6499961E">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同提交投标文件的截止时间，见第一章“招标公告”。</w:t>
            </w:r>
          </w:p>
        </w:tc>
      </w:tr>
      <w:tr w14:paraId="2D235743">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724192A6">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10</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5E0CABEC">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投标报价</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2CBC5F68">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1.</w:t>
            </w:r>
            <w:r>
              <w:rPr>
                <w:rFonts w:hint="eastAsia" w:ascii="仿宋_GB2312" w:hAnsi="宋体" w:eastAsia="仿宋_GB2312" w:cs="仿宋"/>
                <w:sz w:val="24"/>
                <w:highlight w:val="none"/>
                <w:u w:val="single"/>
                <w:lang w:val="zh-CN"/>
              </w:rPr>
              <w:t>以百分比方式报价。投标人承诺每月按照食堂总营业额收入百分比作为帮厨服务费，报价不低于每月营业总收入的20%，不高于每月营业总收入的</w:t>
            </w:r>
            <w:r>
              <w:rPr>
                <w:rFonts w:hint="eastAsia" w:ascii="仿宋_GB2312" w:hAnsi="宋体" w:eastAsia="仿宋_GB2312" w:cs="仿宋"/>
                <w:sz w:val="24"/>
                <w:highlight w:val="none"/>
                <w:u w:val="single"/>
              </w:rPr>
              <w:t>24</w:t>
            </w:r>
            <w:r>
              <w:rPr>
                <w:rFonts w:hint="eastAsia" w:ascii="仿宋_GB2312" w:hAnsi="宋体" w:eastAsia="仿宋_GB2312" w:cs="仿宋"/>
                <w:sz w:val="24"/>
                <w:highlight w:val="none"/>
                <w:u w:val="single"/>
                <w:lang w:val="zh-CN"/>
              </w:rPr>
              <w:t>%，否则无效投标。本次报价包括但不限于服务人员工资（含基本工资和补贴、劳动保护费、社会保险费等）、福利费（含伙食费和其他福利等）、投标人自愿投入本项目设备费、加班费、服务人员意外保险费、管理费、税费、合理利润以及服务过程可能发生的不可预见的一切费用。</w:t>
            </w:r>
          </w:p>
          <w:p w14:paraId="1183F569">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2.投标报价的次数：1次，不接受选择性报价和附有条件的报价，且报价是一次性的，否则其投标无效。</w:t>
            </w:r>
          </w:p>
        </w:tc>
      </w:tr>
      <w:tr w14:paraId="140442AC">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2A882400">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11</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1B37CAC2">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投标有效期</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09659FA5">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自提交投标文件截止之日起 90 个日历天。</w:t>
            </w:r>
          </w:p>
        </w:tc>
      </w:tr>
      <w:tr w14:paraId="6019C3E8">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1550EF34">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12</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29DE0804">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投标保证金</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1A22672E">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□无需提交投标保证金。</w:t>
            </w:r>
          </w:p>
          <w:p w14:paraId="0B4052FA">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fldChar w:fldCharType="begin"/>
            </w:r>
            <w:r>
              <w:rPr>
                <w:rFonts w:hint="eastAsia" w:ascii="仿宋_GB2312" w:hAnsi="宋体" w:eastAsia="仿宋_GB2312" w:cs="仿宋"/>
                <w:sz w:val="24"/>
                <w:highlight w:val="none"/>
                <w:lang w:val="zh-CN"/>
              </w:rPr>
              <w:instrText xml:space="preserve"> eq \o\ac(□,</w:instrText>
            </w:r>
            <w:r>
              <w:rPr>
                <w:rFonts w:hint="eastAsia" w:ascii="仿宋_GB2312" w:hAnsi="宋体" w:eastAsia="仿宋_GB2312" w:cs="仿宋"/>
                <w:position w:val="2"/>
                <w:sz w:val="16"/>
                <w:highlight w:val="none"/>
                <w:lang w:val="zh-CN"/>
              </w:rPr>
              <w:instrText xml:space="preserve">√</w:instrText>
            </w:r>
            <w:r>
              <w:rPr>
                <w:rFonts w:hint="eastAsia" w:ascii="仿宋_GB2312" w:hAnsi="宋体" w:eastAsia="仿宋_GB2312" w:cs="仿宋"/>
                <w:sz w:val="24"/>
                <w:highlight w:val="none"/>
                <w:lang w:val="zh-CN"/>
              </w:rPr>
              <w:instrText xml:space="preserve">)</w:instrText>
            </w:r>
            <w:r>
              <w:rPr>
                <w:rFonts w:hint="eastAsia" w:ascii="仿宋_GB2312" w:hAnsi="宋体" w:eastAsia="仿宋_GB2312" w:cs="仿宋"/>
                <w:sz w:val="24"/>
                <w:highlight w:val="none"/>
                <w:lang w:val="zh-CN"/>
              </w:rPr>
              <w:fldChar w:fldCharType="end"/>
            </w:r>
            <w:r>
              <w:rPr>
                <w:rFonts w:hint="eastAsia" w:ascii="仿宋_GB2312" w:hAnsi="宋体" w:eastAsia="仿宋_GB2312" w:cs="仿宋"/>
                <w:sz w:val="24"/>
                <w:highlight w:val="none"/>
                <w:lang w:val="zh-CN"/>
              </w:rPr>
              <w:t>要求提交投标保证金：</w:t>
            </w:r>
          </w:p>
          <w:p w14:paraId="1674D214">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1.提交金额：</w:t>
            </w:r>
            <w:r>
              <w:rPr>
                <w:rFonts w:hint="eastAsia" w:ascii="仿宋_GB2312" w:hAnsi="宋体" w:eastAsia="仿宋_GB2312" w:cs="仿宋"/>
                <w:sz w:val="24"/>
                <w:highlight w:val="none"/>
              </w:rPr>
              <w:t>10000.00</w:t>
            </w:r>
            <w:r>
              <w:rPr>
                <w:rFonts w:hint="eastAsia" w:ascii="仿宋_GB2312" w:hAnsi="宋体" w:eastAsia="仿宋_GB2312" w:cs="仿宋"/>
                <w:sz w:val="24"/>
                <w:highlight w:val="none"/>
                <w:lang w:val="zh-CN"/>
              </w:rPr>
              <w:t>（¥元）；</w:t>
            </w:r>
          </w:p>
          <w:p w14:paraId="4953DD22">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2.提交方式：投标人以转账汇款等非现金方式交纳投标保证金（在交款备注栏注明“…项目保证金”或“…项目编号保证金”，否则招标代理机构对不能及时退还保证金不负责任），收款账户信息如下：</w:t>
            </w:r>
          </w:p>
          <w:p w14:paraId="3230249D">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户名：山东富润工程造价咨询事务所有限责任公司青岛分公司</w:t>
            </w:r>
          </w:p>
          <w:p w14:paraId="144F1831">
            <w:pP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开户行：山东张店农村商业银行股份有限公司青岛西海岸支行</w:t>
            </w:r>
          </w:p>
          <w:p w14:paraId="5663A18B">
            <w:pP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账号：2070010074205000010812</w:t>
            </w:r>
          </w:p>
          <w:p w14:paraId="7690076C">
            <w:pP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电话：18953229481</w:t>
            </w:r>
          </w:p>
          <w:p w14:paraId="696B3914">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3.投标保证金提交单位应与投标人名称相一致，且必须在2021年</w:t>
            </w:r>
            <w:r>
              <w:rPr>
                <w:rFonts w:hint="eastAsia" w:ascii="仿宋_GB2312" w:hAnsi="宋体" w:eastAsia="仿宋_GB2312" w:cs="仿宋"/>
                <w:sz w:val="24"/>
                <w:highlight w:val="none"/>
                <w:lang w:val="en-US" w:eastAsia="zh-CN"/>
              </w:rPr>
              <w:t>1</w:t>
            </w:r>
            <w:r>
              <w:rPr>
                <w:rFonts w:hint="eastAsia" w:ascii="仿宋_GB2312" w:hAnsi="宋体" w:eastAsia="仿宋_GB2312" w:cs="仿宋"/>
                <w:sz w:val="24"/>
                <w:highlight w:val="none"/>
                <w:lang w:val="zh-CN"/>
              </w:rPr>
              <w:t>月</w:t>
            </w:r>
            <w:r>
              <w:rPr>
                <w:rFonts w:hint="eastAsia" w:ascii="仿宋_GB2312" w:hAnsi="宋体" w:eastAsia="仿宋_GB2312" w:cs="仿宋"/>
                <w:sz w:val="24"/>
                <w:highlight w:val="none"/>
                <w:lang w:val="en-US" w:eastAsia="zh-CN"/>
              </w:rPr>
              <w:t>11</w:t>
            </w:r>
            <w:r>
              <w:rPr>
                <w:rFonts w:hint="eastAsia" w:ascii="仿宋_GB2312" w:hAnsi="宋体" w:eastAsia="仿宋_GB2312" w:cs="仿宋"/>
                <w:sz w:val="24"/>
                <w:highlight w:val="none"/>
                <w:lang w:val="zh-CN"/>
              </w:rPr>
              <w:t>日</w:t>
            </w:r>
            <w:r>
              <w:rPr>
                <w:rFonts w:hint="eastAsia" w:ascii="仿宋_GB2312" w:hAnsi="宋体" w:eastAsia="仿宋_GB2312" w:cs="仿宋"/>
                <w:sz w:val="24"/>
                <w:highlight w:val="none"/>
                <w:lang w:val="en-US" w:eastAsia="zh-CN"/>
              </w:rPr>
              <w:t>9</w:t>
            </w:r>
            <w:r>
              <w:rPr>
                <w:rFonts w:hint="eastAsia" w:ascii="仿宋_GB2312" w:hAnsi="宋体" w:eastAsia="仿宋_GB2312" w:cs="仿宋"/>
                <w:sz w:val="24"/>
                <w:highlight w:val="none"/>
              </w:rPr>
              <w:t>：30</w:t>
            </w:r>
            <w:r>
              <w:rPr>
                <w:rFonts w:hint="eastAsia" w:ascii="仿宋_GB2312" w:hAnsi="宋体" w:eastAsia="仿宋_GB2312" w:cs="仿宋"/>
                <w:sz w:val="24"/>
                <w:highlight w:val="none"/>
                <w:lang w:val="zh-CN"/>
              </w:rPr>
              <w:t>前到账。</w:t>
            </w:r>
          </w:p>
        </w:tc>
      </w:tr>
      <w:tr w14:paraId="60AA56DB">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692AC566">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13</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3A56C566">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是否允许提交备选投标方案</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632CB700">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fldChar w:fldCharType="begin"/>
            </w:r>
            <w:r>
              <w:rPr>
                <w:rFonts w:hint="eastAsia" w:ascii="仿宋_GB2312" w:hAnsi="宋体" w:eastAsia="仿宋_GB2312" w:cs="仿宋"/>
                <w:sz w:val="24"/>
                <w:highlight w:val="none"/>
                <w:lang w:val="zh-CN"/>
              </w:rPr>
              <w:instrText xml:space="preserve"> eq \o\ac(□,√)</w:instrText>
            </w:r>
            <w:r>
              <w:rPr>
                <w:rFonts w:hint="eastAsia" w:ascii="仿宋_GB2312" w:hAnsi="宋体" w:eastAsia="仿宋_GB2312" w:cs="仿宋"/>
                <w:sz w:val="24"/>
                <w:highlight w:val="none"/>
                <w:lang w:val="zh-CN"/>
              </w:rPr>
              <w:fldChar w:fldCharType="end"/>
            </w:r>
            <w:r>
              <w:rPr>
                <w:rFonts w:hint="eastAsia" w:ascii="仿宋_GB2312" w:hAnsi="宋体" w:eastAsia="仿宋_GB2312" w:cs="仿宋"/>
                <w:sz w:val="24"/>
                <w:highlight w:val="none"/>
                <w:lang w:val="zh-CN"/>
              </w:rPr>
              <w:t>不允许</w:t>
            </w:r>
          </w:p>
          <w:p w14:paraId="7F241469">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□允许，备选投标方案的编制要求、评标办法：</w:t>
            </w:r>
          </w:p>
        </w:tc>
      </w:tr>
      <w:tr w14:paraId="6BEDE724">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0A55D0FD">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w:t>
            </w:r>
            <w:r>
              <w:rPr>
                <w:rFonts w:hint="eastAsia" w:ascii="仿宋_GB2312" w:hAnsi="宋体" w:eastAsia="仿宋_GB2312" w:cs="仿宋"/>
                <w:sz w:val="24"/>
                <w:highlight w:val="none"/>
                <w:lang w:val="zh-CN"/>
              </w:rPr>
              <w:t>4</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380CE694">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投标文件份数等要求</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68E4A695">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投标文件：正本壹份，副本捌份</w:t>
            </w:r>
          </w:p>
        </w:tc>
      </w:tr>
      <w:tr w14:paraId="7A393762">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50B5091E">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15</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3BD144D8">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rPr>
              <w:t>投标文件的</w:t>
            </w:r>
            <w:r>
              <w:rPr>
                <w:rFonts w:hint="eastAsia" w:ascii="仿宋_GB2312" w:hAnsi="宋体" w:eastAsia="仿宋_GB2312" w:cs="仿宋"/>
                <w:sz w:val="24"/>
                <w:highlight w:val="none"/>
                <w:lang w:val="zh-CN"/>
              </w:rPr>
              <w:t>密封</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13723E53">
            <w:pPr>
              <w:snapToGrid w:val="0"/>
              <w:jc w:val="left"/>
              <w:rPr>
                <w:rFonts w:ascii="仿宋_GB2312" w:hAnsi="宋体" w:eastAsia="仿宋_GB2312" w:cs="仿宋"/>
                <w:sz w:val="24"/>
                <w:highlight w:val="none"/>
              </w:rPr>
            </w:pPr>
            <w:r>
              <w:rPr>
                <w:rFonts w:hint="eastAsia" w:ascii="仿宋_GB2312" w:hAnsi="宋体" w:eastAsia="仿宋_GB2312" w:cs="仿宋"/>
                <w:sz w:val="24"/>
                <w:highlight w:val="none"/>
              </w:rPr>
              <w:t>1.供应商应将响应文件和资格、资信等证明文件（包括响应文件电子版&lt;若需&gt;）用档案盒、牛皮纸等材料分别单独密封，并在密封件最外层加盖供应商单位公章，由法定代表人或其委托代理人签署（封套、封签格式参考</w:t>
            </w:r>
            <w:r>
              <w:rPr>
                <w:rFonts w:hint="eastAsia" w:ascii="仿宋_GB2312" w:hAnsi="宋体" w:eastAsia="仿宋_GB2312" w:cs="仿宋"/>
                <w:sz w:val="24"/>
                <w:highlight w:val="none"/>
                <w:lang w:eastAsia="zh-CN"/>
              </w:rPr>
              <w:t>招标</w:t>
            </w:r>
            <w:r>
              <w:rPr>
                <w:rFonts w:hint="eastAsia" w:ascii="仿宋_GB2312" w:hAnsi="宋体" w:eastAsia="仿宋_GB2312" w:cs="仿宋"/>
                <w:sz w:val="24"/>
                <w:highlight w:val="none"/>
              </w:rPr>
              <w:t>文件附件）。</w:t>
            </w:r>
          </w:p>
          <w:p w14:paraId="7318D34B">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2.一个包（或者未分包项目）两个密封件：响应文件密封件、资格资信等证明文件密封件（响应多个包的，资格、资信等证明文件用一个密封件）。响应文件或资格、资信等证明文件用一个密封件确实无法密封的，可分开密封。</w:t>
            </w:r>
          </w:p>
        </w:tc>
      </w:tr>
      <w:tr w14:paraId="31761E97">
        <w:tblPrEx>
          <w:tblCellMar>
            <w:top w:w="0" w:type="dxa"/>
            <w:left w:w="10" w:type="dxa"/>
            <w:bottom w:w="0" w:type="dxa"/>
            <w:right w:w="10" w:type="dxa"/>
          </w:tblCellMar>
        </w:tblPrEx>
        <w:trPr>
          <w:trHeight w:val="1661" w:hRule="atLeast"/>
        </w:trPr>
        <w:tc>
          <w:tcPr>
            <w:tcW w:w="807" w:type="dxa"/>
            <w:tcBorders>
              <w:top w:val="single" w:color="auto" w:sz="6" w:space="0"/>
              <w:left w:val="single" w:color="auto" w:sz="6" w:space="0"/>
              <w:bottom w:val="single" w:color="auto" w:sz="6" w:space="0"/>
              <w:right w:val="single" w:color="auto" w:sz="6" w:space="0"/>
            </w:tcBorders>
            <w:vAlign w:val="center"/>
          </w:tcPr>
          <w:p w14:paraId="1AA3B123">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16</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4AE5D9E3">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rPr>
              <w:t>投标文件的</w:t>
            </w:r>
            <w:r>
              <w:rPr>
                <w:rFonts w:hint="eastAsia" w:ascii="仿宋_GB2312" w:hAnsi="宋体" w:eastAsia="仿宋_GB2312" w:cs="仿宋"/>
                <w:sz w:val="24"/>
                <w:highlight w:val="none"/>
                <w:lang w:val="zh-CN"/>
              </w:rPr>
              <w:t>标识</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251811F8">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投标</w:t>
            </w:r>
            <w:r>
              <w:rPr>
                <w:rFonts w:hint="eastAsia" w:ascii="仿宋_GB2312" w:hAnsi="宋体" w:eastAsia="仿宋_GB2312" w:cs="仿宋"/>
                <w:sz w:val="24"/>
                <w:highlight w:val="none"/>
                <w:lang w:val="zh-CN"/>
              </w:rPr>
              <w:t>文件密封套上标明收件人、项目名称、项目编号、供应商名称、响应包号等，并在“□”处标注“资信文件/响应文件/电子</w:t>
            </w:r>
            <w:r>
              <w:rPr>
                <w:rFonts w:hint="eastAsia" w:ascii="仿宋_GB2312" w:hAnsi="宋体" w:eastAsia="仿宋_GB2312" w:cs="仿宋"/>
                <w:sz w:val="24"/>
                <w:highlight w:val="none"/>
              </w:rPr>
              <w:t>投标</w:t>
            </w:r>
            <w:r>
              <w:rPr>
                <w:rFonts w:hint="eastAsia" w:ascii="仿宋_GB2312" w:hAnsi="宋体" w:eastAsia="仿宋_GB2312" w:cs="仿宋"/>
                <w:sz w:val="24"/>
                <w:highlight w:val="none"/>
                <w:lang w:val="zh-CN"/>
              </w:rPr>
              <w:t>文件”；在封签上标注“请勿在XX年X月X日X时之前启封”字样（此处时间指响应截止时间）；封套和封签均应加盖供应商公章以及法定代表人或者委托代理人签字或盖章。</w:t>
            </w:r>
          </w:p>
        </w:tc>
      </w:tr>
      <w:tr w14:paraId="0C642274">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129D1809">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17</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6907573F">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是否退还投标文件</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25FBCFD8">
            <w:pPr>
              <w:topLinePunct/>
              <w:adjustRightInd w:val="0"/>
              <w:snapToGrid w:val="0"/>
              <w:rPr>
                <w:rFonts w:ascii="宋体" w:hAnsi="宋体"/>
                <w:szCs w:val="21"/>
                <w:highlight w:val="none"/>
                <w:lang w:val="zh-CN"/>
              </w:rPr>
            </w:pPr>
            <w:r>
              <w:rPr>
                <w:rFonts w:hint="eastAsia" w:ascii="仿宋_GB2312" w:hAnsi="宋体" w:eastAsia="仿宋_GB2312" w:cs="仿宋"/>
                <w:sz w:val="24"/>
                <w:highlight w:val="none"/>
                <w:lang w:val="zh-CN"/>
              </w:rPr>
              <w:t>响应文件（营业执照等证明材料原件除外）概不退还。</w:t>
            </w:r>
          </w:p>
        </w:tc>
      </w:tr>
      <w:tr w14:paraId="1FD2B41A">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1B783A91">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18</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62ACA4A6">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rPr>
              <w:t>投标文件开启时间</w:t>
            </w:r>
            <w:r>
              <w:rPr>
                <w:rFonts w:hint="eastAsia" w:ascii="仿宋_GB2312" w:hAnsi="宋体" w:eastAsia="仿宋_GB2312" w:cs="仿宋"/>
                <w:sz w:val="24"/>
                <w:highlight w:val="none"/>
                <w:lang w:val="zh-CN"/>
              </w:rPr>
              <w:t>和地点</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3BEF1D70">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1.开标时间：见第一章“招标公告”；</w:t>
            </w:r>
          </w:p>
          <w:p w14:paraId="2C50E4E7">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2.开标地点：见第一章“招标公告”。</w:t>
            </w:r>
          </w:p>
        </w:tc>
      </w:tr>
      <w:tr w14:paraId="3E037572">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5CD59238">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19</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4B57EFD6">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评标委员会的组建</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7FD132C5">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21人，其中家长代表（12人），教师代表（5人），专家（从专家库中随机抽取）（3人），校领导干部1人。其中：专家作为评标委员会参与全过程评审，家长代表、教师代表、校领导干部仅参与企业阐述评审分。</w:t>
            </w:r>
          </w:p>
        </w:tc>
      </w:tr>
      <w:tr w14:paraId="6CA2E469">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0964279C">
            <w:pPr>
              <w:snapToGrid w:val="0"/>
              <w:jc w:val="center"/>
              <w:rPr>
                <w:rFonts w:ascii="仿宋_GB2312" w:hAnsi="宋体" w:eastAsia="仿宋_GB2312" w:cs="仿宋"/>
                <w:sz w:val="24"/>
                <w:highlight w:val="none"/>
              </w:rPr>
            </w:pPr>
            <w:r>
              <w:rPr>
                <w:rFonts w:hint="eastAsia" w:ascii="仿宋_GB2312" w:hAnsi="宋体" w:eastAsia="仿宋_GB2312" w:cs="仿宋"/>
                <w:sz w:val="24"/>
                <w:highlight w:val="none"/>
              </w:rPr>
              <w:t>20</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38CF9D01">
            <w:pPr>
              <w:snapToGrid w:val="0"/>
              <w:jc w:val="center"/>
              <w:rPr>
                <w:rFonts w:ascii="仿宋_GB2312" w:hAnsi="宋体" w:eastAsia="仿宋_GB2312" w:cs="仿宋"/>
                <w:sz w:val="24"/>
                <w:highlight w:val="none"/>
              </w:rPr>
            </w:pPr>
            <w:r>
              <w:rPr>
                <w:rFonts w:hint="eastAsia" w:ascii="仿宋_GB2312" w:hAnsi="宋体" w:eastAsia="仿宋_GB2312" w:cs="仿宋"/>
                <w:sz w:val="24"/>
                <w:highlight w:val="none"/>
              </w:rPr>
              <w:t>评审方法</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72EF0349">
            <w:pPr>
              <w:snapToGrid w:val="0"/>
              <w:rPr>
                <w:rFonts w:ascii="仿宋_GB2312" w:hAnsi="宋体" w:eastAsia="仿宋_GB2312" w:cs="仿宋"/>
                <w:sz w:val="24"/>
                <w:highlight w:val="none"/>
              </w:rPr>
            </w:pPr>
            <w:r>
              <w:rPr>
                <w:rFonts w:hint="eastAsia" w:ascii="仿宋_GB2312" w:hAnsi="宋体" w:eastAsia="仿宋_GB2312" w:cs="仿宋"/>
                <w:sz w:val="24"/>
                <w:highlight w:val="none"/>
              </w:rPr>
              <w:sym w:font="Wingdings 2" w:char="0052"/>
            </w:r>
            <w:r>
              <w:rPr>
                <w:rFonts w:hint="eastAsia" w:ascii="仿宋_GB2312" w:hAnsi="宋体" w:eastAsia="仿宋_GB2312" w:cs="仿宋"/>
                <w:sz w:val="24"/>
                <w:highlight w:val="none"/>
              </w:rPr>
              <w:t>综合评分法</w:t>
            </w:r>
          </w:p>
          <w:p w14:paraId="680D2088">
            <w:pPr>
              <w:snapToGrid w:val="0"/>
              <w:rPr>
                <w:rFonts w:ascii="宋体" w:hAnsi="宋体"/>
                <w:szCs w:val="21"/>
                <w:highlight w:val="none"/>
                <w:lang w:val="zh-CN"/>
              </w:rPr>
            </w:pPr>
            <w:r>
              <w:rPr>
                <w:rFonts w:hint="eastAsia" w:ascii="仿宋_GB2312" w:hAnsi="宋体" w:eastAsia="仿宋_GB2312" w:cs="仿宋"/>
                <w:sz w:val="24"/>
                <w:highlight w:val="none"/>
              </w:rPr>
              <w:fldChar w:fldCharType="begin"/>
            </w:r>
            <w:r>
              <w:rPr>
                <w:rFonts w:hint="eastAsia" w:ascii="仿宋_GB2312" w:hAnsi="宋体" w:eastAsia="仿宋_GB2312" w:cs="仿宋"/>
                <w:sz w:val="24"/>
                <w:highlight w:val="none"/>
              </w:rPr>
              <w:instrText xml:space="preserve"> eq \o\ac(□)</w:instrText>
            </w:r>
            <w:r>
              <w:rPr>
                <w:rFonts w:hint="eastAsia" w:ascii="仿宋_GB2312" w:hAnsi="宋体" w:eastAsia="仿宋_GB2312" w:cs="仿宋"/>
                <w:sz w:val="24"/>
                <w:highlight w:val="none"/>
              </w:rPr>
              <w:fldChar w:fldCharType="end"/>
            </w:r>
            <w:r>
              <w:rPr>
                <w:rFonts w:hint="eastAsia" w:ascii="仿宋_GB2312" w:hAnsi="宋体" w:eastAsia="仿宋_GB2312" w:cs="仿宋"/>
                <w:sz w:val="24"/>
                <w:highlight w:val="none"/>
              </w:rPr>
              <w:t>最低评标价法（最终报价优惠率最高的响应单位成交）</w:t>
            </w:r>
          </w:p>
        </w:tc>
      </w:tr>
      <w:tr w14:paraId="62D57706">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7F8A67A8">
            <w:pPr>
              <w:snapToGrid w:val="0"/>
              <w:jc w:val="center"/>
              <w:rPr>
                <w:rFonts w:ascii="仿宋_GB2312" w:hAnsi="宋体" w:eastAsia="仿宋_GB2312" w:cs="仿宋"/>
                <w:sz w:val="24"/>
                <w:highlight w:val="none"/>
                <w:lang w:val="zh-CN"/>
              </w:rPr>
            </w:pPr>
            <w:r>
              <w:rPr>
                <w:rFonts w:ascii="仿宋_GB2312" w:hAnsi="宋体" w:eastAsia="仿宋_GB2312" w:cs="仿宋"/>
                <w:sz w:val="24"/>
                <w:highlight w:val="none"/>
                <w:lang w:val="zh-CN"/>
              </w:rPr>
              <w:t>2</w:t>
            </w:r>
            <w:r>
              <w:rPr>
                <w:rFonts w:hint="eastAsia" w:ascii="仿宋_GB2312" w:hAnsi="宋体" w:eastAsia="仿宋_GB2312" w:cs="仿宋"/>
                <w:sz w:val="24"/>
                <w:highlight w:val="none"/>
              </w:rPr>
              <w:t>1</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18998503">
            <w:pPr>
              <w:snapToGrid w:val="0"/>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是否授权评标委员会确定中标人</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46E4B169">
            <w:pPr>
              <w:snapToGrid w:val="0"/>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fldChar w:fldCharType="begin"/>
            </w:r>
            <w:r>
              <w:rPr>
                <w:rFonts w:hint="eastAsia" w:ascii="仿宋_GB2312" w:hAnsi="宋体" w:eastAsia="仿宋_GB2312" w:cs="仿宋"/>
                <w:sz w:val="24"/>
                <w:highlight w:val="none"/>
                <w:lang w:val="zh-CN"/>
              </w:rPr>
              <w:instrText xml:space="preserve"> eq \o\ac(□,√)</w:instrText>
            </w:r>
            <w:r>
              <w:rPr>
                <w:rFonts w:hint="eastAsia" w:ascii="仿宋_GB2312" w:hAnsi="宋体" w:eastAsia="仿宋_GB2312" w:cs="仿宋"/>
                <w:sz w:val="24"/>
                <w:highlight w:val="none"/>
                <w:lang w:val="zh-CN"/>
              </w:rPr>
              <w:fldChar w:fldCharType="end"/>
            </w:r>
            <w:r>
              <w:rPr>
                <w:rFonts w:hint="eastAsia" w:ascii="仿宋_GB2312" w:hAnsi="宋体" w:eastAsia="仿宋_GB2312" w:cs="仿宋"/>
                <w:sz w:val="24"/>
                <w:highlight w:val="none"/>
                <w:lang w:val="zh-CN"/>
              </w:rPr>
              <w:t>是</w:t>
            </w:r>
          </w:p>
          <w:p w14:paraId="217989FD">
            <w:pPr>
              <w:snapToGrid w:val="0"/>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□否</w:t>
            </w:r>
          </w:p>
        </w:tc>
      </w:tr>
      <w:tr w14:paraId="5F3B257E">
        <w:tblPrEx>
          <w:tblCellMar>
            <w:top w:w="0" w:type="dxa"/>
            <w:left w:w="10" w:type="dxa"/>
            <w:bottom w:w="0" w:type="dxa"/>
            <w:right w:w="10" w:type="dxa"/>
          </w:tblCellMar>
        </w:tblPrEx>
        <w:trPr>
          <w:trHeight w:val="510" w:hRule="atLeast"/>
        </w:trPr>
        <w:tc>
          <w:tcPr>
            <w:tcW w:w="807" w:type="dxa"/>
            <w:tcBorders>
              <w:top w:val="single" w:color="auto" w:sz="6" w:space="0"/>
              <w:left w:val="single" w:color="auto" w:sz="6" w:space="0"/>
              <w:bottom w:val="single" w:color="auto" w:sz="6" w:space="0"/>
              <w:right w:val="single" w:color="auto" w:sz="6" w:space="0"/>
            </w:tcBorders>
            <w:vAlign w:val="center"/>
          </w:tcPr>
          <w:p w14:paraId="167299BA">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2</w:t>
            </w:r>
            <w:r>
              <w:rPr>
                <w:rFonts w:hint="eastAsia" w:ascii="仿宋_GB2312" w:hAnsi="宋体" w:eastAsia="仿宋_GB2312" w:cs="仿宋"/>
                <w:sz w:val="24"/>
                <w:highlight w:val="none"/>
              </w:rPr>
              <w:t>2</w:t>
            </w:r>
          </w:p>
        </w:tc>
        <w:tc>
          <w:tcPr>
            <w:tcW w:w="2694" w:type="dxa"/>
            <w:gridSpan w:val="2"/>
            <w:tcBorders>
              <w:top w:val="single" w:color="auto" w:sz="6" w:space="0"/>
              <w:left w:val="single" w:color="auto" w:sz="6" w:space="0"/>
              <w:bottom w:val="single" w:color="auto" w:sz="6" w:space="0"/>
              <w:right w:val="single" w:color="auto" w:sz="6" w:space="0"/>
            </w:tcBorders>
            <w:vAlign w:val="center"/>
          </w:tcPr>
          <w:p w14:paraId="4E6850B1">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中标人履约保证金</w:t>
            </w:r>
          </w:p>
        </w:tc>
        <w:tc>
          <w:tcPr>
            <w:tcW w:w="5553" w:type="dxa"/>
            <w:gridSpan w:val="2"/>
            <w:tcBorders>
              <w:top w:val="single" w:color="auto" w:sz="6" w:space="0"/>
              <w:left w:val="single" w:color="auto" w:sz="6" w:space="0"/>
              <w:bottom w:val="single" w:color="auto" w:sz="6" w:space="0"/>
              <w:right w:val="single" w:color="auto" w:sz="6" w:space="0"/>
            </w:tcBorders>
            <w:vAlign w:val="center"/>
          </w:tcPr>
          <w:p w14:paraId="53D786A7">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☑无需交纳履约保证金。</w:t>
            </w:r>
          </w:p>
          <w:p w14:paraId="3BEF4CCA">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fldChar w:fldCharType="begin"/>
            </w:r>
            <w:r>
              <w:rPr>
                <w:rFonts w:hint="eastAsia" w:ascii="仿宋_GB2312" w:hAnsi="宋体" w:eastAsia="仿宋_GB2312" w:cs="仿宋"/>
                <w:sz w:val="24"/>
                <w:highlight w:val="none"/>
                <w:lang w:val="zh-CN"/>
              </w:rPr>
              <w:instrText xml:space="preserve"> eq \o\ac(□)</w:instrText>
            </w:r>
            <w:r>
              <w:rPr>
                <w:rFonts w:hint="eastAsia" w:ascii="仿宋_GB2312" w:hAnsi="宋体" w:eastAsia="仿宋_GB2312" w:cs="仿宋"/>
                <w:sz w:val="24"/>
                <w:highlight w:val="none"/>
                <w:lang w:val="zh-CN"/>
              </w:rPr>
              <w:fldChar w:fldCharType="end"/>
            </w:r>
            <w:r>
              <w:rPr>
                <w:rFonts w:hint="eastAsia" w:ascii="仿宋_GB2312" w:hAnsi="宋体" w:eastAsia="仿宋_GB2312" w:cs="仿宋"/>
                <w:sz w:val="24"/>
                <w:highlight w:val="none"/>
                <w:lang w:val="zh-CN"/>
              </w:rPr>
              <w:t>要求交纳履约保证金：</w:t>
            </w:r>
          </w:p>
          <w:p w14:paraId="38D3E9CD">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1.交纳金额：</w:t>
            </w:r>
            <w:r>
              <w:rPr>
                <w:rFonts w:hint="eastAsia" w:ascii="仿宋_GB2312" w:hAnsi="宋体" w:eastAsia="仿宋_GB2312" w:cs="仿宋"/>
                <w:sz w:val="24"/>
                <w:highlight w:val="none"/>
              </w:rPr>
              <w:t>/</w:t>
            </w:r>
            <w:r>
              <w:rPr>
                <w:rFonts w:hint="eastAsia" w:ascii="仿宋_GB2312" w:hAnsi="宋体" w:eastAsia="仿宋_GB2312" w:cs="仿宋"/>
                <w:sz w:val="24"/>
                <w:highlight w:val="none"/>
                <w:lang w:val="zh-CN"/>
              </w:rPr>
              <w:t>（¥元）；</w:t>
            </w:r>
          </w:p>
          <w:p w14:paraId="64606E4F">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2</w:t>
            </w:r>
            <w:r>
              <w:rPr>
                <w:rFonts w:ascii="仿宋_GB2312" w:hAnsi="宋体" w:eastAsia="仿宋_GB2312" w:cs="仿宋"/>
                <w:sz w:val="24"/>
                <w:highlight w:val="none"/>
                <w:lang w:val="zh-CN"/>
              </w:rPr>
              <w:t>.</w:t>
            </w:r>
            <w:r>
              <w:rPr>
                <w:rFonts w:hint="eastAsia" w:ascii="仿宋_GB2312" w:hAnsi="宋体" w:eastAsia="仿宋_GB2312" w:cs="仿宋"/>
                <w:sz w:val="24"/>
                <w:highlight w:val="none"/>
                <w:lang w:val="zh-CN"/>
              </w:rPr>
              <w:t>交纳时间：中标人在签订合同时交纳；</w:t>
            </w:r>
          </w:p>
          <w:p w14:paraId="2ED7E612">
            <w:pPr>
              <w:snapToGrid w:val="0"/>
              <w:jc w:val="left"/>
              <w:rPr>
                <w:rFonts w:ascii="仿宋_GB2312" w:hAnsi="宋体" w:eastAsia="仿宋_GB2312" w:cs="仿宋"/>
                <w:sz w:val="24"/>
                <w:highlight w:val="none"/>
                <w:lang w:val="zh-CN"/>
              </w:rPr>
            </w:pPr>
            <w:r>
              <w:rPr>
                <w:rFonts w:ascii="仿宋_GB2312" w:hAnsi="宋体" w:eastAsia="仿宋_GB2312" w:cs="仿宋"/>
                <w:sz w:val="24"/>
                <w:highlight w:val="none"/>
                <w:lang w:val="zh-CN"/>
              </w:rPr>
              <w:t>3</w:t>
            </w:r>
            <w:r>
              <w:rPr>
                <w:rFonts w:hint="eastAsia" w:ascii="仿宋_GB2312" w:hAnsi="宋体" w:eastAsia="仿宋_GB2312" w:cs="仿宋"/>
                <w:sz w:val="24"/>
                <w:highlight w:val="none"/>
                <w:lang w:val="zh-CN"/>
              </w:rPr>
              <w:t>.交纳方式：中标人以现金或转账方式交纳，否则视为自动放弃中标资格。</w:t>
            </w:r>
          </w:p>
        </w:tc>
      </w:tr>
      <w:tr w14:paraId="57D9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vAlign w:val="center"/>
          </w:tcPr>
          <w:p w14:paraId="6E35B77F">
            <w:pPr>
              <w:jc w:val="left"/>
              <w:rPr>
                <w:rFonts w:ascii="仿宋_GB2312" w:hAnsi="宋体" w:eastAsia="仿宋_GB2312"/>
                <w:sz w:val="24"/>
                <w:highlight w:val="none"/>
              </w:rPr>
            </w:pPr>
            <w:r>
              <w:rPr>
                <w:rFonts w:ascii="仿宋_GB2312" w:hAnsi="宋体" w:eastAsia="仿宋_GB2312"/>
                <w:sz w:val="24"/>
                <w:highlight w:val="none"/>
              </w:rPr>
              <w:t>22</w:t>
            </w:r>
            <w:r>
              <w:rPr>
                <w:rFonts w:hint="eastAsia" w:ascii="仿宋_GB2312" w:hAnsi="宋体" w:eastAsia="仿宋_GB2312"/>
                <w:sz w:val="24"/>
                <w:highlight w:val="none"/>
              </w:rPr>
              <w:t>.需要补充的其他内容</w:t>
            </w:r>
          </w:p>
        </w:tc>
      </w:tr>
      <w:tr w14:paraId="171C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vAlign w:val="center"/>
          </w:tcPr>
          <w:p w14:paraId="5E777084">
            <w:pPr>
              <w:jc w:val="left"/>
              <w:rPr>
                <w:rFonts w:ascii="仿宋_GB2312" w:hAnsi="宋体" w:eastAsia="仿宋_GB2312"/>
                <w:sz w:val="24"/>
                <w:highlight w:val="none"/>
              </w:rPr>
            </w:pPr>
            <w:r>
              <w:rPr>
                <w:rFonts w:ascii="仿宋_GB2312" w:hAnsi="宋体" w:eastAsia="仿宋_GB2312"/>
                <w:sz w:val="24"/>
                <w:highlight w:val="none"/>
              </w:rPr>
              <w:t>22</w:t>
            </w:r>
            <w:r>
              <w:rPr>
                <w:rFonts w:hint="eastAsia" w:ascii="仿宋_GB2312" w:hAnsi="宋体" w:eastAsia="仿宋_GB2312"/>
                <w:sz w:val="24"/>
                <w:highlight w:val="none"/>
              </w:rPr>
              <w:t>.1词语定义</w:t>
            </w:r>
          </w:p>
        </w:tc>
      </w:tr>
      <w:tr w14:paraId="30C1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vAlign w:val="center"/>
          </w:tcPr>
          <w:p w14:paraId="2B7F09F7">
            <w:pPr>
              <w:jc w:val="center"/>
              <w:rPr>
                <w:rFonts w:ascii="仿宋_GB2312" w:hAnsi="宋体" w:eastAsia="仿宋_GB2312"/>
                <w:sz w:val="24"/>
                <w:highlight w:val="none"/>
              </w:rPr>
            </w:pPr>
            <w:r>
              <w:rPr>
                <w:rFonts w:ascii="仿宋_GB2312" w:hAnsi="宋体" w:eastAsia="仿宋_GB2312"/>
                <w:sz w:val="24"/>
                <w:highlight w:val="none"/>
              </w:rPr>
              <w:t>22.1.1</w:t>
            </w:r>
          </w:p>
        </w:tc>
        <w:tc>
          <w:tcPr>
            <w:tcW w:w="2842" w:type="dxa"/>
            <w:gridSpan w:val="2"/>
            <w:vAlign w:val="center"/>
          </w:tcPr>
          <w:p w14:paraId="5B65E791">
            <w:pPr>
              <w:pStyle w:val="17"/>
              <w:spacing w:after="0"/>
              <w:jc w:val="left"/>
              <w:rPr>
                <w:rFonts w:ascii="仿宋_GB2312" w:hAnsi="宋体" w:eastAsia="仿宋_GB2312"/>
                <w:sz w:val="24"/>
                <w:szCs w:val="24"/>
                <w:highlight w:val="none"/>
              </w:rPr>
            </w:pPr>
            <w:r>
              <w:rPr>
                <w:rFonts w:hint="eastAsia" w:ascii="仿宋_GB2312" w:hAnsi="宋体" w:eastAsia="仿宋_GB2312"/>
                <w:sz w:val="24"/>
                <w:szCs w:val="24"/>
                <w:highlight w:val="none"/>
              </w:rPr>
              <w:t>原件</w:t>
            </w:r>
          </w:p>
        </w:tc>
        <w:tc>
          <w:tcPr>
            <w:tcW w:w="5125" w:type="dxa"/>
            <w:vAlign w:val="center"/>
          </w:tcPr>
          <w:p w14:paraId="662D6149">
            <w:pPr>
              <w:pStyle w:val="17"/>
              <w:spacing w:after="0"/>
              <w:jc w:val="left"/>
              <w:rPr>
                <w:rFonts w:ascii="仿宋_GB2312" w:hAnsi="宋体" w:eastAsia="仿宋_GB2312"/>
                <w:sz w:val="24"/>
                <w:szCs w:val="24"/>
                <w:highlight w:val="none"/>
              </w:rPr>
            </w:pPr>
            <w:r>
              <w:rPr>
                <w:rFonts w:hint="eastAsia" w:ascii="仿宋_GB2312" w:hAnsi="宋体" w:eastAsia="仿宋_GB2312"/>
                <w:sz w:val="24"/>
                <w:szCs w:val="24"/>
                <w:highlight w:val="none"/>
              </w:rPr>
              <w:t>最初产生的区别于复制件的原始文件或文件的原本或公证部门出具的文件复制件公证书。</w:t>
            </w:r>
          </w:p>
        </w:tc>
      </w:tr>
      <w:tr w14:paraId="5B92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vAlign w:val="center"/>
          </w:tcPr>
          <w:p w14:paraId="42DE5538">
            <w:pPr>
              <w:jc w:val="center"/>
              <w:rPr>
                <w:rFonts w:ascii="仿宋_GB2312" w:hAnsi="宋体" w:eastAsia="仿宋_GB2312"/>
                <w:sz w:val="24"/>
                <w:highlight w:val="none"/>
              </w:rPr>
            </w:pPr>
            <w:r>
              <w:rPr>
                <w:rFonts w:ascii="仿宋_GB2312" w:hAnsi="宋体" w:eastAsia="仿宋_GB2312"/>
                <w:sz w:val="24"/>
                <w:highlight w:val="none"/>
              </w:rPr>
              <w:t>22.1.2</w:t>
            </w:r>
          </w:p>
        </w:tc>
        <w:tc>
          <w:tcPr>
            <w:tcW w:w="2842" w:type="dxa"/>
            <w:gridSpan w:val="2"/>
            <w:vAlign w:val="center"/>
          </w:tcPr>
          <w:p w14:paraId="50EDD0A0">
            <w:pPr>
              <w:pStyle w:val="17"/>
              <w:spacing w:after="0"/>
              <w:jc w:val="left"/>
              <w:rPr>
                <w:rFonts w:ascii="仿宋_GB2312" w:hAnsi="宋体" w:eastAsia="仿宋_GB2312"/>
                <w:sz w:val="24"/>
                <w:szCs w:val="24"/>
                <w:highlight w:val="none"/>
              </w:rPr>
            </w:pPr>
            <w:r>
              <w:rPr>
                <w:rFonts w:hint="eastAsia" w:ascii="仿宋_GB2312" w:hAnsi="宋体" w:eastAsia="仿宋_GB2312"/>
                <w:sz w:val="24"/>
                <w:szCs w:val="24"/>
                <w:highlight w:val="none"/>
              </w:rPr>
              <w:t>书面形式</w:t>
            </w:r>
          </w:p>
        </w:tc>
        <w:tc>
          <w:tcPr>
            <w:tcW w:w="5125" w:type="dxa"/>
            <w:vAlign w:val="center"/>
          </w:tcPr>
          <w:p w14:paraId="3DE057A6">
            <w:pPr>
              <w:pStyle w:val="17"/>
              <w:spacing w:after="0"/>
              <w:jc w:val="left"/>
              <w:rPr>
                <w:rFonts w:ascii="仿宋_GB2312" w:hAnsi="宋体" w:eastAsia="仿宋_GB2312"/>
                <w:sz w:val="24"/>
                <w:szCs w:val="24"/>
                <w:highlight w:val="none"/>
              </w:rPr>
            </w:pPr>
            <w:r>
              <w:rPr>
                <w:rFonts w:hint="eastAsia" w:ascii="仿宋_GB2312" w:hAnsi="宋体" w:eastAsia="仿宋_GB2312"/>
                <w:sz w:val="24"/>
                <w:szCs w:val="24"/>
                <w:highlight w:val="none"/>
              </w:rPr>
              <w:t>包括文字的打印或复印件、传真、信函、电传、电子邮件、在第一章“招标公告”明确的公告发布媒体上发布的公告等可以有形地表现所载内容的形式。</w:t>
            </w:r>
          </w:p>
        </w:tc>
      </w:tr>
      <w:tr w14:paraId="722E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vAlign w:val="center"/>
          </w:tcPr>
          <w:p w14:paraId="5EAE8B73">
            <w:pPr>
              <w:jc w:val="center"/>
              <w:rPr>
                <w:rFonts w:ascii="仿宋_GB2312" w:hAnsi="宋体" w:eastAsia="仿宋_GB2312"/>
                <w:sz w:val="24"/>
                <w:highlight w:val="none"/>
              </w:rPr>
            </w:pPr>
            <w:r>
              <w:rPr>
                <w:rFonts w:ascii="仿宋_GB2312" w:hAnsi="宋体" w:eastAsia="仿宋_GB2312"/>
                <w:sz w:val="24"/>
                <w:highlight w:val="none"/>
              </w:rPr>
              <w:t>22.1.3</w:t>
            </w:r>
          </w:p>
        </w:tc>
        <w:tc>
          <w:tcPr>
            <w:tcW w:w="2842" w:type="dxa"/>
            <w:gridSpan w:val="2"/>
            <w:vAlign w:val="center"/>
          </w:tcPr>
          <w:p w14:paraId="2B6DEFD9">
            <w:pPr>
              <w:pStyle w:val="17"/>
              <w:spacing w:after="0"/>
              <w:jc w:val="left"/>
              <w:rPr>
                <w:rFonts w:ascii="仿宋_GB2312" w:hAnsi="宋体" w:eastAsia="仿宋_GB2312"/>
                <w:sz w:val="24"/>
                <w:szCs w:val="24"/>
                <w:highlight w:val="none"/>
              </w:rPr>
            </w:pPr>
            <w:r>
              <w:rPr>
                <w:rFonts w:hint="eastAsia" w:ascii="仿宋_GB2312" w:hAnsi="宋体" w:eastAsia="仿宋_GB2312"/>
                <w:sz w:val="24"/>
                <w:szCs w:val="24"/>
                <w:highlight w:val="none"/>
              </w:rPr>
              <w:t>社保证明</w:t>
            </w:r>
          </w:p>
        </w:tc>
        <w:tc>
          <w:tcPr>
            <w:tcW w:w="5125" w:type="dxa"/>
            <w:vAlign w:val="center"/>
          </w:tcPr>
          <w:p w14:paraId="5F946AEA">
            <w:pPr>
              <w:pStyle w:val="17"/>
              <w:spacing w:after="0"/>
              <w:jc w:val="left"/>
              <w:rPr>
                <w:rFonts w:ascii="仿宋_GB2312" w:hAnsi="宋体" w:eastAsia="仿宋_GB2312"/>
                <w:sz w:val="24"/>
                <w:szCs w:val="24"/>
                <w:highlight w:val="none"/>
              </w:rPr>
            </w:pPr>
            <w:r>
              <w:rPr>
                <w:rFonts w:hint="eastAsia" w:ascii="仿宋_GB2312" w:hAnsi="宋体" w:eastAsia="仿宋_GB2312"/>
                <w:sz w:val="24"/>
                <w:szCs w:val="24"/>
                <w:highlight w:val="none"/>
              </w:rPr>
              <w:t>社保部门出具的证明或社保部门网站查询打印件。</w:t>
            </w:r>
          </w:p>
        </w:tc>
      </w:tr>
      <w:tr w14:paraId="1558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vAlign w:val="center"/>
          </w:tcPr>
          <w:p w14:paraId="41AECB92">
            <w:pPr>
              <w:jc w:val="center"/>
              <w:rPr>
                <w:rFonts w:ascii="仿宋_GB2312" w:hAnsi="宋体" w:eastAsia="仿宋_GB2312"/>
                <w:sz w:val="24"/>
                <w:highlight w:val="none"/>
              </w:rPr>
            </w:pPr>
            <w:r>
              <w:rPr>
                <w:rFonts w:hint="eastAsia" w:ascii="仿宋_GB2312" w:hAnsi="宋体" w:eastAsia="仿宋_GB2312"/>
                <w:sz w:val="24"/>
                <w:highlight w:val="none"/>
              </w:rPr>
              <w:t>2</w:t>
            </w:r>
            <w:r>
              <w:rPr>
                <w:rFonts w:ascii="仿宋_GB2312" w:hAnsi="宋体" w:eastAsia="仿宋_GB2312"/>
                <w:sz w:val="24"/>
                <w:highlight w:val="none"/>
              </w:rPr>
              <w:t>2.1.4</w:t>
            </w:r>
          </w:p>
        </w:tc>
        <w:tc>
          <w:tcPr>
            <w:tcW w:w="7967" w:type="dxa"/>
            <w:gridSpan w:val="3"/>
            <w:vAlign w:val="center"/>
          </w:tcPr>
          <w:p w14:paraId="6E885692">
            <w:pPr>
              <w:pStyle w:val="17"/>
              <w:spacing w:after="0"/>
              <w:jc w:val="left"/>
              <w:rPr>
                <w:rFonts w:hint="eastAsia" w:ascii="仿宋_GB2312" w:hAnsi="宋体" w:eastAsia="仿宋_GB2312"/>
                <w:sz w:val="24"/>
                <w:szCs w:val="24"/>
                <w:highlight w:val="none"/>
                <w:lang w:eastAsia="zh-CN"/>
              </w:rPr>
            </w:pPr>
            <w:r>
              <w:rPr>
                <w:rFonts w:hint="eastAsia" w:ascii="仿宋_GB2312" w:hAnsi="宋体" w:eastAsia="仿宋_GB2312"/>
                <w:sz w:val="24"/>
                <w:szCs w:val="24"/>
                <w:highlight w:val="none"/>
              </w:rPr>
              <w:t>专家评审费：开标结束后，由成交供应商现场支付</w:t>
            </w:r>
            <w:r>
              <w:rPr>
                <w:rFonts w:hint="eastAsia" w:ascii="仿宋_GB2312" w:hAnsi="宋体" w:eastAsia="仿宋_GB2312"/>
                <w:sz w:val="24"/>
                <w:szCs w:val="24"/>
                <w:highlight w:val="none"/>
                <w:lang w:eastAsia="zh-CN"/>
              </w:rPr>
              <w:t>。</w:t>
            </w:r>
          </w:p>
          <w:p w14:paraId="29F5941C">
            <w:pPr>
              <w:pStyle w:val="17"/>
              <w:spacing w:after="0"/>
              <w:jc w:val="left"/>
              <w:rPr>
                <w:rFonts w:ascii="仿宋_GB2312" w:hAnsi="宋体" w:eastAsia="仿宋_GB2312"/>
                <w:sz w:val="24"/>
                <w:szCs w:val="24"/>
                <w:highlight w:val="none"/>
              </w:rPr>
            </w:pPr>
            <w:r>
              <w:rPr>
                <w:rFonts w:hint="eastAsia" w:ascii="仿宋_GB2312" w:hAnsi="宋体" w:eastAsia="仿宋_GB2312"/>
                <w:sz w:val="24"/>
                <w:szCs w:val="24"/>
                <w:highlight w:val="none"/>
                <w:lang w:eastAsia="zh-CN"/>
              </w:rPr>
              <w:t>中标服务费：</w:t>
            </w:r>
            <w:r>
              <w:rPr>
                <w:rFonts w:hint="eastAsia" w:ascii="仿宋_GB2312" w:hAnsi="宋体" w:eastAsia="仿宋_GB2312"/>
                <w:sz w:val="24"/>
                <w:szCs w:val="24"/>
                <w:highlight w:val="none"/>
              </w:rPr>
              <w:t>中标人应在签订合同后五个工作日内，按</w:t>
            </w:r>
            <w:r>
              <w:rPr>
                <w:rFonts w:hint="eastAsia" w:ascii="仿宋_GB2312" w:hAnsi="宋体" w:eastAsia="仿宋_GB2312"/>
                <w:sz w:val="24"/>
                <w:szCs w:val="24"/>
                <w:highlight w:val="none"/>
                <w:u w:val="single"/>
              </w:rPr>
              <w:t>10000</w:t>
            </w:r>
            <w:r>
              <w:rPr>
                <w:rFonts w:hint="eastAsia" w:ascii="仿宋_GB2312" w:hAnsi="宋体" w:eastAsia="仿宋_GB2312"/>
                <w:sz w:val="24"/>
                <w:szCs w:val="24"/>
                <w:highlight w:val="none"/>
              </w:rPr>
              <w:t>元的标准向招标代理机构交纳中标服务费。</w:t>
            </w:r>
          </w:p>
        </w:tc>
      </w:tr>
      <w:tr w14:paraId="6C03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vAlign w:val="center"/>
          </w:tcPr>
          <w:p w14:paraId="3DA77EED">
            <w:pPr>
              <w:pStyle w:val="17"/>
              <w:spacing w:after="0"/>
              <w:jc w:val="left"/>
              <w:rPr>
                <w:rFonts w:ascii="仿宋_GB2312" w:hAnsi="宋体" w:eastAsia="仿宋_GB2312"/>
                <w:sz w:val="24"/>
                <w:szCs w:val="24"/>
                <w:highlight w:val="none"/>
              </w:rPr>
            </w:pPr>
            <w:r>
              <w:rPr>
                <w:rFonts w:ascii="仿宋_GB2312" w:hAnsi="宋体" w:eastAsia="仿宋_GB2312"/>
                <w:sz w:val="24"/>
                <w:szCs w:val="24"/>
                <w:highlight w:val="none"/>
              </w:rPr>
              <w:t>22</w:t>
            </w:r>
            <w:r>
              <w:rPr>
                <w:rFonts w:hint="eastAsia" w:ascii="仿宋_GB2312" w:hAnsi="宋体" w:eastAsia="仿宋_GB2312"/>
                <w:sz w:val="24"/>
                <w:szCs w:val="24"/>
                <w:highlight w:val="none"/>
              </w:rPr>
              <w:t>.2本招标文件使用</w:t>
            </w:r>
            <w:bookmarkStart w:id="4" w:name="_Hlk484017297"/>
            <w:r>
              <w:rPr>
                <w:rFonts w:hint="eastAsia" w:ascii="仿宋_GB2312" w:hAnsi="宋体" w:eastAsia="仿宋_GB2312"/>
                <w:sz w:val="24"/>
                <w:szCs w:val="24"/>
                <w:highlight w:val="none"/>
              </w:rPr>
              <w:t>Microsoft Office Word</w:t>
            </w:r>
            <w:bookmarkEnd w:id="4"/>
            <w:r>
              <w:rPr>
                <w:rFonts w:hint="eastAsia" w:ascii="仿宋_GB2312" w:hAnsi="宋体" w:eastAsia="仿宋_GB2312"/>
                <w:sz w:val="24"/>
                <w:szCs w:val="24"/>
                <w:highlight w:val="none"/>
              </w:rPr>
              <w:t xml:space="preserve"> 2016编制，招标人、招标代理机构不对投标人因编制软件兼容性导致的错误负责。</w:t>
            </w:r>
          </w:p>
        </w:tc>
      </w:tr>
      <w:tr w14:paraId="2E17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vAlign w:val="center"/>
          </w:tcPr>
          <w:p w14:paraId="5AF3B142">
            <w:pPr>
              <w:pStyle w:val="17"/>
              <w:spacing w:after="0"/>
              <w:rPr>
                <w:rFonts w:ascii="仿宋_GB2312" w:hAnsi="宋体" w:eastAsia="仿宋_GB2312"/>
                <w:sz w:val="24"/>
                <w:szCs w:val="24"/>
                <w:highlight w:val="none"/>
              </w:rPr>
            </w:pPr>
            <w:r>
              <w:rPr>
                <w:rFonts w:hint="eastAsia" w:ascii="仿宋_GB2312" w:hAnsi="宋体" w:eastAsia="仿宋_GB2312"/>
                <w:sz w:val="24"/>
                <w:szCs w:val="24"/>
                <w:highlight w:val="none"/>
              </w:rPr>
              <w:t>22.4解释权</w:t>
            </w:r>
          </w:p>
        </w:tc>
      </w:tr>
      <w:tr w14:paraId="5C45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vAlign w:val="center"/>
          </w:tcPr>
          <w:p w14:paraId="07A0FAD4">
            <w:pPr>
              <w:pStyle w:val="17"/>
              <w:spacing w:after="0"/>
              <w:rPr>
                <w:rFonts w:ascii="仿宋_GB2312" w:hAnsi="宋体" w:eastAsia="仿宋_GB2312"/>
                <w:sz w:val="24"/>
                <w:szCs w:val="24"/>
                <w:highlight w:val="none"/>
              </w:rPr>
            </w:pPr>
          </w:p>
        </w:tc>
        <w:tc>
          <w:tcPr>
            <w:tcW w:w="7967" w:type="dxa"/>
            <w:gridSpan w:val="3"/>
            <w:vAlign w:val="center"/>
          </w:tcPr>
          <w:p w14:paraId="3BF86787">
            <w:pPr>
              <w:pStyle w:val="17"/>
              <w:spacing w:after="0"/>
              <w:rPr>
                <w:rFonts w:ascii="仿宋_GB2312" w:hAnsi="宋体" w:eastAsia="仿宋_GB2312"/>
                <w:sz w:val="24"/>
                <w:szCs w:val="24"/>
                <w:highlight w:val="none"/>
              </w:rPr>
            </w:pPr>
            <w:r>
              <w:rPr>
                <w:rFonts w:hint="eastAsia" w:ascii="仿宋_GB2312" w:hAnsi="宋体" w:eastAsia="仿宋_GB2312"/>
                <w:sz w:val="24"/>
                <w:szCs w:val="24"/>
                <w:highlight w:val="none"/>
              </w:rPr>
              <w:t>构成本招标文件的各个组成文件应互为解释，互为说明；如有不明确或不一致，构成合同文件组成内容的，以合同文件约定内容为准；同一组成文件中就同一事项的规定或约定不一致的，以编排顺序在后者为准；同一组成文件不同版本之间有不一致的，以形成时间在后者为准。按前述规定仍不能形成结论的，由招标人、招标代理机构负责解释。</w:t>
            </w:r>
          </w:p>
        </w:tc>
      </w:tr>
    </w:tbl>
    <w:p w14:paraId="0825F40C">
      <w:pPr>
        <w:spacing w:before="100" w:beforeAutospacing="1" w:after="100" w:afterAutospacing="1"/>
        <w:jc w:val="center"/>
        <w:rPr>
          <w:rFonts w:ascii="黑体" w:hAnsi="宋体" w:eastAsia="黑体"/>
          <w:sz w:val="24"/>
          <w:highlight w:val="none"/>
        </w:rPr>
      </w:pPr>
    </w:p>
    <w:p w14:paraId="378B08B3">
      <w:pPr>
        <w:spacing w:before="100" w:beforeAutospacing="1" w:after="100" w:afterAutospacing="1"/>
        <w:jc w:val="center"/>
        <w:outlineLvl w:val="1"/>
        <w:rPr>
          <w:rFonts w:ascii="黑体" w:hAnsi="宋体" w:eastAsia="黑体"/>
          <w:sz w:val="28"/>
          <w:szCs w:val="28"/>
          <w:highlight w:val="none"/>
        </w:rPr>
      </w:pPr>
      <w:r>
        <w:rPr>
          <w:rFonts w:ascii="黑体" w:hAnsi="宋体" w:eastAsia="黑体"/>
          <w:sz w:val="24"/>
          <w:highlight w:val="none"/>
        </w:rPr>
        <w:br w:type="page"/>
      </w:r>
      <w:bookmarkStart w:id="5" w:name="_Toc11851463"/>
      <w:r>
        <w:rPr>
          <w:rFonts w:hint="eastAsia" w:ascii="黑体" w:hAnsi="宋体" w:eastAsia="黑体"/>
          <w:sz w:val="28"/>
          <w:szCs w:val="28"/>
          <w:highlight w:val="none"/>
        </w:rPr>
        <w:t>一、总则</w:t>
      </w:r>
      <w:bookmarkEnd w:id="5"/>
    </w:p>
    <w:p w14:paraId="5A884414">
      <w:pPr>
        <w:spacing w:line="440" w:lineRule="exact"/>
        <w:ind w:firstLine="480" w:firstLineChars="200"/>
        <w:outlineLvl w:val="2"/>
        <w:rPr>
          <w:rFonts w:ascii="黑体" w:hAnsi="宋体" w:eastAsia="黑体"/>
          <w:sz w:val="24"/>
          <w:highlight w:val="none"/>
        </w:rPr>
      </w:pPr>
      <w:bookmarkStart w:id="6" w:name="_Toc11851464"/>
      <w:r>
        <w:rPr>
          <w:rFonts w:hint="eastAsia" w:ascii="黑体" w:hAnsi="宋体" w:eastAsia="黑体"/>
          <w:sz w:val="24"/>
          <w:highlight w:val="none"/>
        </w:rPr>
        <w:t>1.适用范围</w:t>
      </w:r>
      <w:bookmarkEnd w:id="6"/>
    </w:p>
    <w:p w14:paraId="1BE81AB1">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本公开招标文件（简称招标文件）仅适用于招标文件第一章“招标公告”中所叙述的</w:t>
      </w:r>
      <w:r>
        <w:rPr>
          <w:rFonts w:hint="eastAsia" w:ascii="仿宋_GB2312" w:hAnsi="宋体" w:eastAsia="仿宋_GB2312"/>
          <w:sz w:val="24"/>
          <w:highlight w:val="none"/>
          <w:lang w:eastAsia="zh-CN"/>
        </w:rPr>
        <w:t>青岛西海岸新区凤凰岛初级中学购买食堂帮厨服务项目</w:t>
      </w:r>
      <w:r>
        <w:rPr>
          <w:rFonts w:hint="eastAsia" w:ascii="仿宋_GB2312" w:hAnsi="宋体" w:eastAsia="仿宋_GB2312"/>
          <w:sz w:val="24"/>
          <w:highlight w:val="none"/>
        </w:rPr>
        <w:t>。</w:t>
      </w:r>
    </w:p>
    <w:p w14:paraId="0A73A15F">
      <w:pPr>
        <w:spacing w:line="440" w:lineRule="exact"/>
        <w:ind w:firstLine="480" w:firstLineChars="200"/>
        <w:outlineLvl w:val="2"/>
        <w:rPr>
          <w:rFonts w:ascii="黑体" w:hAnsi="宋体" w:eastAsia="黑体"/>
          <w:sz w:val="24"/>
          <w:highlight w:val="none"/>
        </w:rPr>
      </w:pPr>
      <w:bookmarkStart w:id="7" w:name="_Toc11851465"/>
      <w:r>
        <w:rPr>
          <w:rFonts w:hint="eastAsia" w:ascii="黑体" w:hAnsi="宋体" w:eastAsia="黑体"/>
          <w:sz w:val="24"/>
          <w:highlight w:val="none"/>
        </w:rPr>
        <w:t>2.定义</w:t>
      </w:r>
      <w:bookmarkEnd w:id="7"/>
    </w:p>
    <w:p w14:paraId="06141667">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2.1招标人：见投标人须知前附表。</w:t>
      </w:r>
    </w:p>
    <w:p w14:paraId="3FBC1F4E">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2.2招标代理机构：见投标人须知前附表。</w:t>
      </w:r>
    </w:p>
    <w:p w14:paraId="55BCB0D1">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2.3投标人系指</w:t>
      </w:r>
      <w:r>
        <w:rPr>
          <w:rFonts w:hint="eastAsia" w:ascii="仿宋_GB2312" w:hAnsi="宋体" w:eastAsia="仿宋_GB2312" w:cs="宋体"/>
          <w:kern w:val="0"/>
          <w:sz w:val="24"/>
          <w:highlight w:val="none"/>
        </w:rPr>
        <w:t>响应招标、参加投标竞争的法人单位</w:t>
      </w:r>
      <w:r>
        <w:rPr>
          <w:rFonts w:hint="eastAsia" w:ascii="仿宋_GB2312" w:hAnsi="宋体" w:eastAsia="仿宋_GB2312" w:cs="宋体"/>
          <w:sz w:val="24"/>
          <w:highlight w:val="none"/>
        </w:rPr>
        <w:t>。</w:t>
      </w:r>
    </w:p>
    <w:p w14:paraId="1E75B00D">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2.4评标委员会：见投标人须知前附表。</w:t>
      </w:r>
    </w:p>
    <w:p w14:paraId="4B60FFB8">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2.5中标人系指由评标委员会评审确定的对招标文件做出实质性响应较强，综合竞争实力最优，取得与招标人签订合同资格的投标人。</w:t>
      </w:r>
    </w:p>
    <w:p w14:paraId="4F88B8F7">
      <w:pPr>
        <w:spacing w:line="440" w:lineRule="exact"/>
        <w:ind w:firstLine="480" w:firstLineChars="200"/>
        <w:rPr>
          <w:rFonts w:ascii="仿宋_GB2312" w:eastAsia="仿宋_GB2312"/>
          <w:sz w:val="24"/>
          <w:highlight w:val="none"/>
        </w:rPr>
      </w:pPr>
      <w:r>
        <w:rPr>
          <w:rFonts w:hint="eastAsia" w:ascii="仿宋_GB2312" w:eastAsia="仿宋_GB2312"/>
          <w:sz w:val="24"/>
          <w:highlight w:val="none"/>
        </w:rPr>
        <w:t>2.6招标文件中的“甲方”系指本项目的招标人，“乙方”系指本项目的中标人。</w:t>
      </w:r>
    </w:p>
    <w:p w14:paraId="4302286A">
      <w:pPr>
        <w:spacing w:line="440" w:lineRule="exact"/>
        <w:ind w:firstLine="480" w:firstLineChars="200"/>
        <w:rPr>
          <w:rFonts w:ascii="仿宋_GB2312" w:eastAsia="仿宋_GB2312"/>
          <w:sz w:val="24"/>
          <w:highlight w:val="none"/>
        </w:rPr>
      </w:pPr>
      <w:r>
        <w:rPr>
          <w:rFonts w:hint="eastAsia" w:ascii="仿宋_GB2312" w:eastAsia="仿宋_GB2312"/>
          <w:sz w:val="24"/>
          <w:highlight w:val="none"/>
        </w:rPr>
        <w:t>2.7书面形式：</w:t>
      </w:r>
      <w:r>
        <w:rPr>
          <w:rFonts w:hint="eastAsia" w:ascii="仿宋_GB2312" w:hAnsi="宋体" w:eastAsia="仿宋_GB2312"/>
          <w:sz w:val="24"/>
          <w:highlight w:val="none"/>
        </w:rPr>
        <w:t>见投标人须知前附表</w:t>
      </w:r>
      <w:r>
        <w:rPr>
          <w:rFonts w:hint="eastAsia" w:ascii="仿宋_GB2312" w:eastAsia="仿宋_GB2312"/>
          <w:sz w:val="24"/>
          <w:highlight w:val="none"/>
        </w:rPr>
        <w:t>。</w:t>
      </w:r>
    </w:p>
    <w:p w14:paraId="5773C6AC">
      <w:pPr>
        <w:spacing w:line="440" w:lineRule="exact"/>
        <w:ind w:firstLine="480" w:firstLineChars="200"/>
        <w:rPr>
          <w:rFonts w:ascii="仿宋_GB2312" w:eastAsia="仿宋_GB2312"/>
          <w:sz w:val="24"/>
          <w:highlight w:val="none"/>
        </w:rPr>
      </w:pPr>
      <w:r>
        <w:rPr>
          <w:rFonts w:hint="eastAsia" w:ascii="仿宋_GB2312" w:eastAsia="仿宋_GB2312"/>
          <w:sz w:val="24"/>
          <w:highlight w:val="none"/>
        </w:rPr>
        <w:t>2.8上一年度是指从201</w:t>
      </w:r>
      <w:r>
        <w:rPr>
          <w:rFonts w:ascii="仿宋_GB2312" w:eastAsia="仿宋_GB2312"/>
          <w:sz w:val="24"/>
          <w:highlight w:val="none"/>
        </w:rPr>
        <w:t>9</w:t>
      </w:r>
      <w:r>
        <w:rPr>
          <w:rFonts w:hint="eastAsia" w:ascii="仿宋_GB2312" w:eastAsia="仿宋_GB2312"/>
          <w:sz w:val="24"/>
          <w:highlight w:val="none"/>
        </w:rPr>
        <w:t>年1月1日至本项目招标公告发布之日，上两年度是指从201</w:t>
      </w:r>
      <w:r>
        <w:rPr>
          <w:rFonts w:ascii="仿宋_GB2312" w:eastAsia="仿宋_GB2312"/>
          <w:sz w:val="24"/>
          <w:highlight w:val="none"/>
        </w:rPr>
        <w:t>8</w:t>
      </w:r>
      <w:r>
        <w:rPr>
          <w:rFonts w:hint="eastAsia" w:ascii="仿宋_GB2312" w:eastAsia="仿宋_GB2312"/>
          <w:sz w:val="24"/>
          <w:highlight w:val="none"/>
        </w:rPr>
        <w:t>年1月1日至本项目招标公告发布之日，以此类推。</w:t>
      </w:r>
    </w:p>
    <w:p w14:paraId="331E12A2">
      <w:pPr>
        <w:spacing w:line="440" w:lineRule="exact"/>
        <w:ind w:firstLine="480" w:firstLineChars="200"/>
        <w:rPr>
          <w:rFonts w:ascii="仿宋_GB2312" w:eastAsia="仿宋_GB2312"/>
          <w:sz w:val="24"/>
          <w:highlight w:val="none"/>
        </w:rPr>
      </w:pPr>
      <w:r>
        <w:rPr>
          <w:rFonts w:hint="eastAsia" w:ascii="仿宋_GB2312" w:eastAsia="仿宋_GB2312"/>
          <w:sz w:val="24"/>
          <w:highlight w:val="none"/>
        </w:rPr>
        <w:t>2.9原件：</w:t>
      </w:r>
      <w:r>
        <w:rPr>
          <w:rFonts w:hint="eastAsia" w:ascii="仿宋_GB2312" w:hAnsi="宋体" w:eastAsia="仿宋_GB2312"/>
          <w:sz w:val="24"/>
          <w:highlight w:val="none"/>
        </w:rPr>
        <w:t>见投标人须知前附表</w:t>
      </w:r>
      <w:r>
        <w:rPr>
          <w:rFonts w:hint="eastAsia" w:ascii="仿宋_GB2312" w:eastAsia="仿宋_GB2312"/>
          <w:sz w:val="24"/>
          <w:highlight w:val="none"/>
        </w:rPr>
        <w:t>。</w:t>
      </w:r>
    </w:p>
    <w:p w14:paraId="2D47BA45">
      <w:pPr>
        <w:spacing w:line="440" w:lineRule="exact"/>
        <w:ind w:firstLine="480" w:firstLineChars="200"/>
        <w:outlineLvl w:val="2"/>
        <w:rPr>
          <w:rFonts w:ascii="黑体" w:hAnsi="宋体" w:eastAsia="黑体"/>
          <w:sz w:val="24"/>
          <w:highlight w:val="none"/>
        </w:rPr>
      </w:pPr>
      <w:bookmarkStart w:id="8" w:name="_Toc11851466"/>
      <w:r>
        <w:rPr>
          <w:rFonts w:hint="eastAsia" w:ascii="黑体" w:hAnsi="宋体" w:eastAsia="黑体"/>
          <w:sz w:val="24"/>
          <w:highlight w:val="none"/>
        </w:rPr>
        <w:t>3.使用文字种类、计量单位、时间单位及货币种类</w:t>
      </w:r>
      <w:bookmarkEnd w:id="8"/>
    </w:p>
    <w:p w14:paraId="0E80CD24">
      <w:pPr>
        <w:pStyle w:val="76"/>
        <w:widowControl w:val="0"/>
        <w:spacing w:before="0" w:beforeAutospacing="0" w:after="0" w:afterAutospacing="0" w:line="440" w:lineRule="exact"/>
        <w:ind w:firstLine="480" w:firstLineChars="200"/>
        <w:jc w:val="both"/>
        <w:rPr>
          <w:rFonts w:ascii="仿宋_GB2312" w:hAnsi="仿宋" w:eastAsia="仿宋_GB2312"/>
          <w:szCs w:val="28"/>
          <w:highlight w:val="none"/>
        </w:rPr>
      </w:pPr>
      <w:r>
        <w:rPr>
          <w:rFonts w:hint="eastAsia" w:ascii="仿宋_GB2312" w:hAnsi="仿宋" w:eastAsia="仿宋_GB2312"/>
          <w:szCs w:val="28"/>
          <w:highlight w:val="none"/>
        </w:rPr>
        <w:t>3.1投标人与招标人之间与投标有关的所有往来通知、函件和投标文件均应采用汉语言文字。投标单位随投标文件提供的证明文件和资料可以为其它语言，但必须附汉语言文字译文作为解释依据。</w:t>
      </w:r>
    </w:p>
    <w:p w14:paraId="099F5C6E">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3.2除招标文件中另有规定外，投标文件所使用的计量单位，均须采用中华人民共和国法定计量单位。</w:t>
      </w:r>
    </w:p>
    <w:p w14:paraId="06610740">
      <w:pPr>
        <w:spacing w:line="440" w:lineRule="exact"/>
        <w:ind w:firstLine="480" w:firstLineChars="200"/>
        <w:rPr>
          <w:rFonts w:ascii="仿宋_GB2312" w:hAnsi="宋体" w:eastAsia="仿宋_GB2312"/>
          <w:sz w:val="24"/>
          <w:highlight w:val="none"/>
        </w:rPr>
      </w:pPr>
      <w:r>
        <w:rPr>
          <w:rFonts w:hint="eastAsia" w:ascii="仿宋_GB2312" w:eastAsia="仿宋_GB2312"/>
          <w:sz w:val="24"/>
          <w:highlight w:val="none"/>
        </w:rPr>
        <w:t>3.3</w:t>
      </w:r>
      <w:r>
        <w:rPr>
          <w:rFonts w:hint="eastAsia" w:ascii="仿宋_GB2312" w:hAnsi="Arial" w:eastAsia="仿宋_GB2312"/>
          <w:sz w:val="24"/>
          <w:highlight w:val="none"/>
        </w:rPr>
        <w:t>除招标文件中另有规定外，招标文件所使用的时间单位“天”、“日”均指日历天。</w:t>
      </w:r>
    </w:p>
    <w:p w14:paraId="49B1028E">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3.4招标文件及投标文件中有关货币的数额表示全部以人民币计算。</w:t>
      </w:r>
    </w:p>
    <w:p w14:paraId="55A6A3EE">
      <w:pPr>
        <w:spacing w:line="440" w:lineRule="exact"/>
        <w:ind w:firstLine="480" w:firstLineChars="200"/>
        <w:outlineLvl w:val="2"/>
        <w:rPr>
          <w:rFonts w:ascii="黑体" w:hAnsi="宋体" w:eastAsia="黑体"/>
          <w:bCs/>
          <w:sz w:val="24"/>
          <w:highlight w:val="none"/>
        </w:rPr>
      </w:pPr>
      <w:bookmarkStart w:id="9" w:name="_Toc11851467"/>
      <w:r>
        <w:rPr>
          <w:rFonts w:hint="eastAsia" w:ascii="黑体" w:hAnsi="宋体" w:eastAsia="黑体"/>
          <w:bCs/>
          <w:sz w:val="24"/>
          <w:highlight w:val="none"/>
        </w:rPr>
        <w:t>4.投标费用</w:t>
      </w:r>
      <w:bookmarkEnd w:id="9"/>
    </w:p>
    <w:p w14:paraId="289EE4BB">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投标人应自行承担所有与参加投标有关的费用。不论投标的结果如何，招标人、招标代理机构在任何情况下均无义务和责任承担这些费用。</w:t>
      </w:r>
    </w:p>
    <w:p w14:paraId="5352D65B">
      <w:pPr>
        <w:spacing w:line="440" w:lineRule="exact"/>
        <w:ind w:firstLine="480" w:firstLineChars="200"/>
        <w:outlineLvl w:val="2"/>
        <w:rPr>
          <w:rFonts w:ascii="黑体" w:hAnsi="宋体" w:eastAsia="黑体"/>
          <w:sz w:val="24"/>
          <w:highlight w:val="none"/>
        </w:rPr>
      </w:pPr>
      <w:bookmarkStart w:id="10" w:name="_Toc11851468"/>
      <w:r>
        <w:rPr>
          <w:rFonts w:hint="eastAsia" w:ascii="黑体" w:hAnsi="宋体" w:eastAsia="黑体"/>
          <w:sz w:val="24"/>
          <w:highlight w:val="none"/>
        </w:rPr>
        <w:t>5.合格的投标人</w:t>
      </w:r>
      <w:bookmarkEnd w:id="10"/>
    </w:p>
    <w:p w14:paraId="1F2AB6E4">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5.1本次招标不接受投标人以联合体形式投标。</w:t>
      </w:r>
    </w:p>
    <w:p w14:paraId="625AEDA8">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5.2投标人满足招标文件第一章“招标公告”中的资格要求。</w:t>
      </w:r>
    </w:p>
    <w:p w14:paraId="62C7B4C2">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5.3投标人向招标代理机构购买招标文件并登记备案。</w:t>
      </w:r>
    </w:p>
    <w:p w14:paraId="7E517F43">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w:t>
      </w:r>
      <w:r>
        <w:rPr>
          <w:rFonts w:ascii="仿宋_GB2312" w:hAnsi="宋体" w:eastAsia="仿宋_GB2312"/>
          <w:sz w:val="24"/>
          <w:highlight w:val="none"/>
        </w:rPr>
        <w:t>4</w:t>
      </w:r>
      <w:r>
        <w:rPr>
          <w:rFonts w:hint="eastAsia" w:ascii="仿宋_GB2312" w:hAnsi="宋体" w:eastAsia="仿宋_GB2312"/>
          <w:sz w:val="24"/>
          <w:highlight w:val="none"/>
        </w:rPr>
        <w:t>投标人在以往的招标采购活动中没有违纪、违规、违约等不良行为。</w:t>
      </w:r>
    </w:p>
    <w:p w14:paraId="22AAE234">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w:t>
      </w:r>
      <w:r>
        <w:rPr>
          <w:rFonts w:ascii="仿宋_GB2312" w:hAnsi="宋体" w:eastAsia="仿宋_GB2312"/>
          <w:sz w:val="24"/>
          <w:highlight w:val="none"/>
        </w:rPr>
        <w:t>5</w:t>
      </w:r>
      <w:r>
        <w:rPr>
          <w:rFonts w:hint="eastAsia" w:ascii="仿宋_GB2312" w:hAnsi="宋体" w:eastAsia="仿宋_GB2312"/>
          <w:sz w:val="24"/>
          <w:highlight w:val="none"/>
        </w:rPr>
        <w:t>投标人必须遵守国家、山东省、青岛市有关的法律、法规和政策。</w:t>
      </w:r>
    </w:p>
    <w:p w14:paraId="34E59A9F">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w:t>
      </w:r>
      <w:r>
        <w:rPr>
          <w:rFonts w:ascii="仿宋_GB2312" w:hAnsi="宋体" w:eastAsia="仿宋_GB2312"/>
          <w:sz w:val="24"/>
          <w:highlight w:val="none"/>
        </w:rPr>
        <w:t>6</w:t>
      </w:r>
      <w:r>
        <w:rPr>
          <w:rFonts w:hint="eastAsia" w:ascii="仿宋_GB2312" w:hAnsi="宋体" w:eastAsia="仿宋_GB2312"/>
          <w:sz w:val="24"/>
          <w:highlight w:val="none"/>
        </w:rPr>
        <w:t>招标文件的其它规定和要求。</w:t>
      </w:r>
    </w:p>
    <w:p w14:paraId="10CFF5C4">
      <w:pPr>
        <w:spacing w:line="440" w:lineRule="exact"/>
        <w:ind w:firstLine="480" w:firstLineChars="200"/>
        <w:outlineLvl w:val="2"/>
        <w:rPr>
          <w:rFonts w:ascii="黑体" w:hAnsi="宋体" w:eastAsia="黑体"/>
          <w:bCs/>
          <w:sz w:val="24"/>
          <w:highlight w:val="none"/>
        </w:rPr>
      </w:pPr>
      <w:bookmarkStart w:id="11" w:name="_Toc11851469"/>
      <w:r>
        <w:rPr>
          <w:rFonts w:hint="eastAsia" w:ascii="黑体" w:hAnsi="宋体" w:eastAsia="黑体"/>
          <w:bCs/>
          <w:sz w:val="24"/>
          <w:highlight w:val="none"/>
        </w:rPr>
        <w:t>6.投标有效期</w:t>
      </w:r>
      <w:bookmarkEnd w:id="11"/>
    </w:p>
    <w:p w14:paraId="51CB7A49">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6.1投标有效期：见投标人须知前附表。在此期间，凡符合招标文件要求的投标文件均保持有效；投标人的投标文件将受招标文件约束，如投标人被授予合同，投标人不得拒绝。</w:t>
      </w:r>
    </w:p>
    <w:p w14:paraId="273E2153">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6.2原定投标有效期终止之前，若出现特殊情况，招标代理机构可以书面形式向投标人提出延长投标有效期的要求。</w:t>
      </w:r>
    </w:p>
    <w:p w14:paraId="29CD0623">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6.3投标人须以书面形式答复是否接受延长投标有效期的要求。</w:t>
      </w:r>
    </w:p>
    <w:p w14:paraId="4BC3D962">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6.4投标人可以拒绝这种要求并撤回投标文件而不被没收投标保证金。接受延长投标有效期的投标人不允许修改其投标文件，但需要相应延长投标保证金有效期。</w:t>
      </w:r>
    </w:p>
    <w:p w14:paraId="208C0390">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6.5因延长投标有效期造成投标人损失的，招标人、招标代理机构应当给予赔偿，但因不可抗力需要延长投标有效期的除外。</w:t>
      </w:r>
    </w:p>
    <w:p w14:paraId="74E40D3C">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6.6本须知第7条关于投标保证金的规定适用于延长后的投标有效期。</w:t>
      </w:r>
    </w:p>
    <w:p w14:paraId="18129748">
      <w:pPr>
        <w:spacing w:line="440" w:lineRule="exact"/>
        <w:ind w:firstLine="480" w:firstLineChars="200"/>
        <w:outlineLvl w:val="2"/>
        <w:rPr>
          <w:rFonts w:ascii="黑体" w:hAnsi="宋体" w:eastAsia="黑体"/>
          <w:sz w:val="24"/>
          <w:highlight w:val="none"/>
        </w:rPr>
      </w:pPr>
      <w:bookmarkStart w:id="12" w:name="_Toc11851470"/>
      <w:r>
        <w:rPr>
          <w:rFonts w:hint="eastAsia" w:ascii="黑体" w:hAnsi="宋体" w:eastAsia="黑体"/>
          <w:sz w:val="24"/>
          <w:highlight w:val="none"/>
        </w:rPr>
        <w:t>7.投标保证金</w:t>
      </w:r>
      <w:bookmarkEnd w:id="12"/>
    </w:p>
    <w:p w14:paraId="32DD4F4A">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7.1投标人的投标保证金是投标文件的组成部分，招标代理机构有权拒绝未按招标文件规定交纳投标保证金的投标人的投标。</w:t>
      </w:r>
    </w:p>
    <w:p w14:paraId="2E22EE8E">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7.2投标保证金的有效期与投标有效期一致。</w:t>
      </w:r>
    </w:p>
    <w:p w14:paraId="355AA81B">
      <w:pPr>
        <w:spacing w:line="440" w:lineRule="exact"/>
        <w:ind w:firstLine="480" w:firstLineChars="200"/>
        <w:rPr>
          <w:rFonts w:ascii="仿宋_GB2312" w:hAnsi="宋体" w:eastAsia="仿宋_GB2312"/>
          <w:sz w:val="24"/>
          <w:highlight w:val="none"/>
        </w:rPr>
      </w:pPr>
      <w:r>
        <w:rPr>
          <w:rFonts w:hint="eastAsia" w:ascii="仿宋_GB2312" w:eastAsia="仿宋_GB2312"/>
          <w:sz w:val="24"/>
          <w:highlight w:val="none"/>
        </w:rPr>
        <w:t>7.3投标保证金缴纳及规定：见投标人须知前附表。</w:t>
      </w:r>
    </w:p>
    <w:p w14:paraId="1D0FF4FC">
      <w:pPr>
        <w:spacing w:line="440" w:lineRule="exact"/>
        <w:ind w:firstLine="480" w:firstLineChars="200"/>
        <w:rPr>
          <w:rFonts w:ascii="仿宋_GB2312" w:eastAsia="仿宋_GB2312"/>
          <w:highlight w:val="none"/>
          <w:u w:val="single"/>
        </w:rPr>
      </w:pPr>
      <w:r>
        <w:rPr>
          <w:rFonts w:hint="eastAsia" w:ascii="仿宋_GB2312" w:eastAsia="仿宋_GB2312"/>
          <w:sz w:val="24"/>
          <w:highlight w:val="none"/>
        </w:rPr>
        <w:t>7.4招标代理机构在在中标通知书发出后5个工作日内无息退还未中标人的投标保证金（不退现金）；在项目合同签订后5个工作日内无息退还中标人的投标保证金（不退现金）或者转为中标人的履约保证金。投标人办理投标保证金退还手续的，请及时与投标保证金收款单位联系；逾期办理的，投标保证金收款单位不承担迟延退款责任。</w:t>
      </w:r>
    </w:p>
    <w:p w14:paraId="66E74DB8">
      <w:pPr>
        <w:topLinePunct/>
        <w:spacing w:line="440" w:lineRule="exact"/>
        <w:ind w:firstLine="480" w:firstLineChars="200"/>
        <w:rPr>
          <w:rFonts w:ascii="仿宋_GB2312" w:hAnsi="宋体" w:eastAsia="仿宋_GB2312"/>
          <w:bCs/>
          <w:kern w:val="0"/>
          <w:sz w:val="24"/>
          <w:highlight w:val="none"/>
        </w:rPr>
      </w:pPr>
      <w:r>
        <w:rPr>
          <w:rFonts w:hint="eastAsia" w:ascii="仿宋_GB2312" w:hAnsi="宋体" w:eastAsia="仿宋_GB2312"/>
          <w:bCs/>
          <w:kern w:val="0"/>
          <w:sz w:val="24"/>
          <w:highlight w:val="none"/>
        </w:rPr>
        <w:t>7.5投标人有下列情形之一的，投标保证金不予退还。</w:t>
      </w:r>
    </w:p>
    <w:p w14:paraId="48FA67E1">
      <w:pPr>
        <w:topLinePunct/>
        <w:spacing w:line="440" w:lineRule="exact"/>
        <w:ind w:firstLine="480" w:firstLineChars="200"/>
        <w:rPr>
          <w:rFonts w:ascii="仿宋_GB2312" w:eastAsia="仿宋_GB2312"/>
          <w:sz w:val="24"/>
          <w:highlight w:val="none"/>
        </w:rPr>
      </w:pPr>
      <w:bookmarkStart w:id="13" w:name="_Hlk515791965"/>
      <w:r>
        <w:rPr>
          <w:rFonts w:hint="eastAsia" w:ascii="仿宋_GB2312" w:eastAsia="仿宋_GB2312"/>
          <w:sz w:val="24"/>
          <w:highlight w:val="none"/>
        </w:rPr>
        <w:t>（1）投标人在投标有效期内撤销投标文件；</w:t>
      </w:r>
    </w:p>
    <w:p w14:paraId="20D4D621">
      <w:pPr>
        <w:topLinePunct/>
        <w:spacing w:line="440" w:lineRule="exact"/>
        <w:ind w:firstLine="480" w:firstLineChars="200"/>
        <w:rPr>
          <w:rFonts w:ascii="仿宋_GB2312" w:eastAsia="仿宋_GB2312"/>
          <w:sz w:val="24"/>
          <w:highlight w:val="none"/>
        </w:rPr>
      </w:pPr>
      <w:bookmarkStart w:id="14" w:name="_Hlk514928052"/>
      <w:r>
        <w:rPr>
          <w:rFonts w:hint="eastAsia" w:ascii="仿宋_GB2312" w:eastAsia="仿宋_GB2312"/>
          <w:sz w:val="24"/>
          <w:highlight w:val="none"/>
        </w:rPr>
        <w:t>（2）投标人在投标文件中提供虚假材料的；</w:t>
      </w:r>
    </w:p>
    <w:p w14:paraId="00F28671">
      <w:pPr>
        <w:topLinePunct/>
        <w:spacing w:line="440" w:lineRule="exact"/>
        <w:ind w:firstLine="480" w:firstLineChars="200"/>
        <w:rPr>
          <w:rFonts w:ascii="仿宋_GB2312" w:eastAsia="仿宋_GB2312"/>
          <w:sz w:val="24"/>
          <w:highlight w:val="none"/>
        </w:rPr>
      </w:pPr>
      <w:r>
        <w:rPr>
          <w:rFonts w:hint="eastAsia" w:ascii="仿宋_GB2312" w:eastAsia="仿宋_GB2312"/>
          <w:sz w:val="24"/>
          <w:highlight w:val="none"/>
        </w:rPr>
        <w:t>（3）除因不可抗力或招标文件认可的情形以外，中标人无正当理由不与招标人签订合同的，或在签订合同时向招标人提出附加条件；</w:t>
      </w:r>
      <w:bookmarkEnd w:id="14"/>
    </w:p>
    <w:p w14:paraId="698A0D2E">
      <w:pPr>
        <w:topLinePunct/>
        <w:spacing w:line="440" w:lineRule="exact"/>
        <w:ind w:firstLine="480" w:firstLineChars="200"/>
        <w:rPr>
          <w:rFonts w:ascii="仿宋_GB2312" w:eastAsia="仿宋_GB2312"/>
          <w:sz w:val="24"/>
          <w:highlight w:val="none"/>
        </w:rPr>
      </w:pPr>
      <w:r>
        <w:rPr>
          <w:rFonts w:hint="eastAsia" w:ascii="仿宋_GB2312" w:eastAsia="仿宋_GB2312"/>
          <w:sz w:val="24"/>
          <w:highlight w:val="none"/>
        </w:rPr>
        <w:t>（4）投标人与招标人、其他投标人或者招标代理机构恶意串通的；</w:t>
      </w:r>
    </w:p>
    <w:p w14:paraId="23329340">
      <w:pPr>
        <w:topLinePunct/>
        <w:spacing w:line="440" w:lineRule="exact"/>
        <w:ind w:firstLine="480" w:firstLineChars="200"/>
        <w:rPr>
          <w:rFonts w:ascii="仿宋_GB2312" w:eastAsia="仿宋_GB2312"/>
          <w:sz w:val="24"/>
          <w:highlight w:val="none"/>
        </w:rPr>
      </w:pPr>
      <w:r>
        <w:rPr>
          <w:rFonts w:hint="eastAsia" w:ascii="仿宋_GB2312" w:eastAsia="仿宋_GB2312"/>
          <w:sz w:val="24"/>
          <w:highlight w:val="none"/>
        </w:rPr>
        <w:t>（5）法律、法规、规章和招标文件规定的其他情形。</w:t>
      </w:r>
    </w:p>
    <w:bookmarkEnd w:id="13"/>
    <w:p w14:paraId="4AB29766">
      <w:pPr>
        <w:spacing w:line="440" w:lineRule="exact"/>
        <w:ind w:firstLine="480" w:firstLineChars="200"/>
        <w:outlineLvl w:val="2"/>
        <w:rPr>
          <w:rFonts w:ascii="黑体" w:hAnsi="宋体" w:eastAsia="黑体"/>
          <w:sz w:val="24"/>
          <w:highlight w:val="none"/>
        </w:rPr>
      </w:pPr>
      <w:bookmarkStart w:id="15" w:name="_Toc11851471"/>
      <w:r>
        <w:rPr>
          <w:rFonts w:hint="eastAsia" w:ascii="黑体" w:hAnsi="宋体" w:eastAsia="黑体"/>
          <w:sz w:val="24"/>
          <w:highlight w:val="none"/>
        </w:rPr>
        <w:t>8.基础资料提供</w:t>
      </w:r>
      <w:bookmarkEnd w:id="15"/>
    </w:p>
    <w:p w14:paraId="4F642CD3">
      <w:pPr>
        <w:pStyle w:val="76"/>
        <w:widowControl w:val="0"/>
        <w:spacing w:before="0" w:beforeAutospacing="0" w:after="0" w:afterAutospacing="0" w:line="440" w:lineRule="exact"/>
        <w:ind w:firstLine="480" w:firstLineChars="200"/>
        <w:jc w:val="both"/>
        <w:rPr>
          <w:rFonts w:ascii="仿宋_GB2312" w:eastAsia="仿宋_GB2312"/>
          <w:highlight w:val="none"/>
        </w:rPr>
      </w:pPr>
      <w:r>
        <w:rPr>
          <w:rFonts w:hint="eastAsia" w:ascii="仿宋_GB2312" w:eastAsia="仿宋_GB2312"/>
          <w:highlight w:val="none"/>
        </w:rPr>
        <w:t>投标人确认招标代理机构提供的基础资料存在缺项漏项或计算误差，应于</w:t>
      </w:r>
      <w:r>
        <w:rPr>
          <w:rFonts w:ascii="仿宋_GB2312" w:eastAsia="仿宋_GB2312"/>
          <w:highlight w:val="none"/>
        </w:rPr>
        <w:t>202</w:t>
      </w:r>
      <w:r>
        <w:rPr>
          <w:rFonts w:hint="eastAsia" w:ascii="仿宋_GB2312" w:eastAsia="仿宋_GB2312"/>
          <w:highlight w:val="none"/>
        </w:rPr>
        <w:t>0年</w:t>
      </w:r>
      <w:r>
        <w:rPr>
          <w:rFonts w:hint="eastAsia" w:ascii="仿宋_GB2312" w:eastAsia="仿宋_GB2312"/>
          <w:highlight w:val="none"/>
          <w:lang w:val="en-US" w:eastAsia="zh-CN"/>
        </w:rPr>
        <w:t>12</w:t>
      </w:r>
      <w:r>
        <w:rPr>
          <w:rFonts w:hint="eastAsia" w:ascii="仿宋_GB2312" w:eastAsia="仿宋_GB2312"/>
          <w:highlight w:val="none"/>
        </w:rPr>
        <w:t>月</w:t>
      </w:r>
      <w:r>
        <w:rPr>
          <w:rFonts w:hint="eastAsia" w:ascii="仿宋_GB2312" w:eastAsia="仿宋_GB2312"/>
          <w:highlight w:val="none"/>
          <w:lang w:val="en-US" w:eastAsia="zh-CN"/>
        </w:rPr>
        <w:t>26</w:t>
      </w:r>
      <w:r>
        <w:rPr>
          <w:rFonts w:hint="eastAsia" w:ascii="仿宋_GB2312" w:eastAsia="仿宋_GB2312"/>
          <w:highlight w:val="none"/>
        </w:rPr>
        <w:t>日16：00以前</w:t>
      </w:r>
      <w:r>
        <w:rPr>
          <w:rStyle w:val="44"/>
          <w:rFonts w:hint="eastAsia" w:ascii="仿宋_GB2312" w:eastAsia="仿宋_GB2312"/>
          <w:b w:val="0"/>
          <w:bCs w:val="0"/>
          <w:highlight w:val="none"/>
        </w:rPr>
        <w:t>（或</w:t>
      </w:r>
      <w:r>
        <w:rPr>
          <w:rFonts w:hint="eastAsia" w:ascii="仿宋_GB2312" w:eastAsia="仿宋_GB2312"/>
          <w:highlight w:val="none"/>
        </w:rPr>
        <w:t>招标代理机构</w:t>
      </w:r>
      <w:r>
        <w:rPr>
          <w:rStyle w:val="44"/>
          <w:rFonts w:hint="eastAsia" w:ascii="仿宋_GB2312" w:eastAsia="仿宋_GB2312"/>
          <w:b w:val="0"/>
          <w:bCs w:val="0"/>
          <w:highlight w:val="none"/>
        </w:rPr>
        <w:t>和所有获得招标文件的投标人认可的时间）</w:t>
      </w:r>
      <w:r>
        <w:rPr>
          <w:rFonts w:hint="eastAsia" w:ascii="仿宋_GB2312" w:eastAsia="仿宋_GB2312"/>
          <w:highlight w:val="none"/>
        </w:rPr>
        <w:t>，以书面形式（加盖投标人单位公章，否则不予答复）向招标代理机构提出澄清要求（同时提供WORD格式电子版发往：furunqingdao123@163.com）。投标人未在规定的时间内对招标代理机构提供的基础资料提出异议，视为投标人已认可招标代理机构提供的资料包含了本项目所需的基础资料全部内容。</w:t>
      </w:r>
    </w:p>
    <w:p w14:paraId="3B0E950F">
      <w:pPr>
        <w:spacing w:before="100" w:beforeAutospacing="1" w:after="100" w:afterAutospacing="1"/>
        <w:jc w:val="center"/>
        <w:outlineLvl w:val="1"/>
        <w:rPr>
          <w:rFonts w:ascii="黑体" w:hAnsi="宋体" w:eastAsia="黑体"/>
          <w:sz w:val="28"/>
          <w:szCs w:val="28"/>
          <w:highlight w:val="none"/>
        </w:rPr>
      </w:pPr>
      <w:bookmarkStart w:id="16" w:name="_Toc11851472"/>
      <w:r>
        <w:rPr>
          <w:rFonts w:hint="eastAsia" w:ascii="黑体" w:hAnsi="宋体" w:eastAsia="黑体"/>
          <w:sz w:val="28"/>
          <w:szCs w:val="28"/>
          <w:highlight w:val="none"/>
        </w:rPr>
        <w:t>二、招标文件</w:t>
      </w:r>
      <w:bookmarkEnd w:id="16"/>
    </w:p>
    <w:p w14:paraId="2BD4C39F">
      <w:pPr>
        <w:spacing w:line="440" w:lineRule="exact"/>
        <w:ind w:firstLine="480" w:firstLineChars="200"/>
        <w:outlineLvl w:val="2"/>
        <w:rPr>
          <w:rFonts w:ascii="黑体" w:hAnsi="宋体" w:eastAsia="黑体"/>
          <w:sz w:val="24"/>
          <w:highlight w:val="none"/>
        </w:rPr>
      </w:pPr>
      <w:bookmarkStart w:id="17" w:name="_Toc11851473"/>
      <w:r>
        <w:rPr>
          <w:rFonts w:hint="eastAsia" w:ascii="黑体" w:hAnsi="宋体" w:eastAsia="黑体"/>
          <w:sz w:val="24"/>
          <w:highlight w:val="none"/>
        </w:rPr>
        <w:t>9.招标文件的组成</w:t>
      </w:r>
      <w:bookmarkEnd w:id="17"/>
    </w:p>
    <w:p w14:paraId="0FF4FC55">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9.1投标人应对照招标文件第六章“资料清单”，仔细检查招标文件及相关资料是否齐全，如有缺漏，请立即与招标代理机构联系解决。招标文件包括下列内容：</w:t>
      </w:r>
    </w:p>
    <w:p w14:paraId="62F24BC5">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第一章招标公告</w:t>
      </w:r>
    </w:p>
    <w:p w14:paraId="29A2BAE8">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第二章投标人须知</w:t>
      </w:r>
    </w:p>
    <w:p w14:paraId="2D31E92D">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第三章招标需求</w:t>
      </w:r>
    </w:p>
    <w:p w14:paraId="779DB2AE">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第四章合同</w:t>
      </w:r>
    </w:p>
    <w:p w14:paraId="487D4CB9">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第五章资格、资信等证明材料</w:t>
      </w:r>
    </w:p>
    <w:p w14:paraId="1EC77261">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第六章投标文件格式</w:t>
      </w:r>
    </w:p>
    <w:p w14:paraId="21CEA9E0">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9.2除本须知第9.1款内容外，招标代理机构在投标截止时间前，以书面形式发出的对招标文件的澄清、修改或补充等内容，均为招标文件的组成部分，对投标人起约束作用。</w:t>
      </w:r>
    </w:p>
    <w:p w14:paraId="3A747542">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9.3投标人获取招标文件后，应认真阅读招标文件中所有的事项、格式、条款和规范等要求。如果投标人没有按照招标文件要求和规定编制投标文件及提交全部资料，或者投标文件没有对招标文件在各方面都做出实质性响应，其风险应由投标人承担；并根据有关条款规定，其投标有可能被拒绝。</w:t>
      </w:r>
    </w:p>
    <w:p w14:paraId="0AB764CF">
      <w:pPr>
        <w:spacing w:line="440" w:lineRule="exact"/>
        <w:ind w:firstLine="480" w:firstLineChars="200"/>
        <w:outlineLvl w:val="2"/>
        <w:rPr>
          <w:rFonts w:ascii="黑体" w:hAnsi="宋体" w:eastAsia="黑体"/>
          <w:sz w:val="24"/>
          <w:highlight w:val="none"/>
        </w:rPr>
      </w:pPr>
      <w:bookmarkStart w:id="18" w:name="_Toc11851474"/>
      <w:r>
        <w:rPr>
          <w:rFonts w:hint="eastAsia" w:ascii="黑体" w:hAnsi="宋体" w:eastAsia="黑体"/>
          <w:sz w:val="24"/>
          <w:highlight w:val="none"/>
        </w:rPr>
        <w:t>10.招标文件的澄清、修改、补充</w:t>
      </w:r>
      <w:bookmarkEnd w:id="18"/>
    </w:p>
    <w:p w14:paraId="19843C1A">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10.1投标人若对招标文件有任何疑问，应于</w:t>
      </w:r>
      <w:r>
        <w:rPr>
          <w:rFonts w:ascii="仿宋_GB2312" w:hAnsi="宋体" w:eastAsia="仿宋_GB2312"/>
          <w:sz w:val="24"/>
          <w:highlight w:val="none"/>
        </w:rPr>
        <w:t>2020</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12</w:t>
      </w:r>
      <w:r>
        <w:rPr>
          <w:rFonts w:ascii="仿宋_GB2312" w:hAnsi="宋体" w:eastAsia="仿宋_GB2312"/>
          <w:sz w:val="24"/>
          <w:highlight w:val="none"/>
        </w:rPr>
        <w:t>月</w:t>
      </w:r>
      <w:r>
        <w:rPr>
          <w:rFonts w:hint="eastAsia" w:ascii="仿宋_GB2312" w:hAnsi="宋体" w:eastAsia="仿宋_GB2312"/>
          <w:sz w:val="24"/>
          <w:highlight w:val="none"/>
          <w:lang w:val="en-US" w:eastAsia="zh-CN"/>
        </w:rPr>
        <w:t>26</w:t>
      </w:r>
      <w:r>
        <w:rPr>
          <w:rFonts w:hint="eastAsia" w:ascii="仿宋_GB2312" w:hAnsi="宋体" w:eastAsia="仿宋_GB2312"/>
          <w:sz w:val="24"/>
          <w:highlight w:val="none"/>
        </w:rPr>
        <w:t>日16：00前以书面形式（加盖投标人单位公章，否则不予furunqingdao123@163.com答复）向招标代理机构提出澄清要求（同时提供</w:t>
      </w:r>
      <w:r>
        <w:rPr>
          <w:rFonts w:hint="eastAsia" w:ascii="仿宋_GB2312" w:eastAsia="仿宋_GB2312"/>
          <w:sz w:val="24"/>
          <w:highlight w:val="none"/>
        </w:rPr>
        <w:t>WORD</w:t>
      </w:r>
      <w:r>
        <w:rPr>
          <w:rFonts w:hint="eastAsia" w:ascii="仿宋_GB2312" w:hAnsi="宋体" w:eastAsia="仿宋_GB2312"/>
          <w:sz w:val="24"/>
          <w:highlight w:val="none"/>
        </w:rPr>
        <w:t>格式电子版发往：furunqingdao123@163.com）；若没有，视为投标人对招标文件无任何异议。招标代理机构对</w:t>
      </w:r>
      <w:r>
        <w:rPr>
          <w:rFonts w:ascii="仿宋_GB2312" w:hAnsi="宋体" w:eastAsia="仿宋_GB2312"/>
          <w:sz w:val="24"/>
          <w:highlight w:val="none"/>
        </w:rPr>
        <w:t>2020</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12</w:t>
      </w:r>
      <w:r>
        <w:rPr>
          <w:rFonts w:ascii="仿宋_GB2312" w:hAnsi="宋体" w:eastAsia="仿宋_GB2312"/>
          <w:sz w:val="24"/>
          <w:highlight w:val="none"/>
        </w:rPr>
        <w:t>月</w:t>
      </w:r>
      <w:r>
        <w:rPr>
          <w:rFonts w:hint="eastAsia" w:ascii="仿宋_GB2312" w:hAnsi="宋体" w:eastAsia="仿宋_GB2312"/>
          <w:sz w:val="24"/>
          <w:highlight w:val="none"/>
          <w:lang w:val="en-US" w:eastAsia="zh-CN"/>
        </w:rPr>
        <w:t>26</w:t>
      </w:r>
      <w:r>
        <w:rPr>
          <w:rFonts w:hint="eastAsia" w:ascii="仿宋_GB2312" w:hAnsi="宋体" w:eastAsia="仿宋_GB2312"/>
          <w:sz w:val="24"/>
          <w:highlight w:val="none"/>
        </w:rPr>
        <w:t>日16：00前收到的任何澄清要求将以书面形式予以答复，答复中包括所问问题，但不包括问题的来源。</w:t>
      </w:r>
    </w:p>
    <w:p w14:paraId="0BF6AEDD">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10.2在投标截止时间前，招标代理机构均可主动地或在解答投标人提出的澄清问题时对招标文件进行澄清、修改、补充等。</w:t>
      </w:r>
    </w:p>
    <w:p w14:paraId="55D32CCB">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10.3招标文件的澄清、修改、补充等将以书面形式通知所有购买同一招标文件的投标人，并对投标人具有约束力。投标人应在收到该澄清、修改、补充等内容的文件后1日内以书面形式回复招标代理机构，确认已收到该文件（若在</w:t>
      </w:r>
      <w:r>
        <w:rPr>
          <w:rFonts w:hint="eastAsia" w:ascii="仿宋_GB2312" w:eastAsia="仿宋_GB2312"/>
          <w:sz w:val="24"/>
          <w:highlight w:val="none"/>
        </w:rPr>
        <w:t>采购信息发布网站</w:t>
      </w:r>
      <w:r>
        <w:rPr>
          <w:rFonts w:hint="eastAsia" w:ascii="仿宋_GB2312" w:hAnsi="宋体" w:eastAsia="仿宋_GB2312"/>
          <w:sz w:val="24"/>
          <w:highlight w:val="none"/>
        </w:rPr>
        <w:t>上发出通知，则视为所有投标人都已收到招标文件的澄清、修改、补充等内容）。</w:t>
      </w:r>
    </w:p>
    <w:p w14:paraId="1C3D327B">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10.4招标文件的澄清、修改、补充等内容均以书面形式通知明确的内容为准。当招标文件、招标文件的澄清、修改、补充等在同一内容的表述上不一致时，以最后发出的书面形式的通知为准。</w:t>
      </w:r>
    </w:p>
    <w:p w14:paraId="0CE4EFD6">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10.5为使投标人编写投标文件时有充分的时间对招标文件的澄清、修改、补充等内容进行研究，招标代理机构有权推迟投标截止时间和开标时间，并将此变更以书面形式通知所有购买同一招标文件的投标人。</w:t>
      </w:r>
    </w:p>
    <w:p w14:paraId="7607CE58">
      <w:pPr>
        <w:spacing w:line="440" w:lineRule="exact"/>
        <w:ind w:firstLine="480" w:firstLineChars="200"/>
        <w:outlineLvl w:val="2"/>
        <w:rPr>
          <w:rFonts w:ascii="黑体" w:hAnsi="宋体" w:eastAsia="黑体"/>
          <w:sz w:val="24"/>
          <w:highlight w:val="none"/>
        </w:rPr>
      </w:pPr>
      <w:bookmarkStart w:id="19" w:name="_Toc11851475"/>
      <w:bookmarkStart w:id="20" w:name="_Toc518420700"/>
      <w:r>
        <w:rPr>
          <w:rFonts w:ascii="黑体" w:hAnsi="宋体" w:eastAsia="黑体"/>
          <w:sz w:val="24"/>
          <w:highlight w:val="none"/>
        </w:rPr>
        <w:t>11.</w:t>
      </w:r>
      <w:r>
        <w:rPr>
          <w:rFonts w:hint="eastAsia" w:ascii="黑体" w:hAnsi="宋体" w:eastAsia="黑体"/>
          <w:sz w:val="24"/>
          <w:highlight w:val="none"/>
        </w:rPr>
        <w:t>响应和偏离</w:t>
      </w:r>
      <w:bookmarkEnd w:id="19"/>
      <w:bookmarkEnd w:id="20"/>
    </w:p>
    <w:p w14:paraId="52BC8B3B">
      <w:pPr>
        <w:spacing w:line="440" w:lineRule="exact"/>
        <w:ind w:firstLine="480" w:firstLineChars="200"/>
        <w:rPr>
          <w:rFonts w:ascii="仿宋_GB2312" w:hAnsi="宋体" w:eastAsia="仿宋_GB2312"/>
          <w:sz w:val="24"/>
          <w:highlight w:val="none"/>
        </w:rPr>
      </w:pPr>
      <w:bookmarkStart w:id="21" w:name="_Hlk517257181"/>
      <w:r>
        <w:rPr>
          <w:rFonts w:hint="eastAsia" w:ascii="仿宋_GB2312" w:hAnsi="宋体" w:eastAsia="仿宋_GB2312"/>
          <w:sz w:val="24"/>
          <w:highlight w:val="none"/>
        </w:rPr>
        <w:t>11.1投标文件应当对招标文件的实质性要求和条件作出满足（一致）或优于（正偏离）的明确响应，否则其投标无效。</w:t>
      </w:r>
    </w:p>
    <w:p w14:paraId="337EEB79">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11.2投标人应根据招标文件的要求提供投标标的详细描述、服务支持资料及相关服务计划等内容以对招标文件作出明确响应。</w:t>
      </w:r>
    </w:p>
    <w:p w14:paraId="5612E41F">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11.3招标人允许投标文件负偏离招标文件非实质性要求和条件；负偏离应当符合招标文件规定的负偏离的范围和最高负偏离项数（若规定），超出负偏离的范围和最高负偏离项数的投标无效。</w:t>
      </w:r>
    </w:p>
    <w:p w14:paraId="22F9A02E">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11.4投标文件对招标文件的全部偏离（包括正偏离和负偏离），均应在招标文件条款响应和偏离表中如实列明，并应对偏离情况作出必要说明。除列明的内容外，视为投标人响应招标文件的全部要求。投标人应对故意隐瞒负偏离的行为承担责任。</w:t>
      </w:r>
    </w:p>
    <w:bookmarkEnd w:id="21"/>
    <w:p w14:paraId="50ADC0E9">
      <w:pPr>
        <w:spacing w:before="100" w:beforeAutospacing="1" w:after="100" w:afterAutospacing="1"/>
        <w:jc w:val="center"/>
        <w:outlineLvl w:val="1"/>
        <w:rPr>
          <w:rFonts w:ascii="黑体" w:hAnsi="宋体" w:eastAsia="黑体"/>
          <w:sz w:val="28"/>
          <w:szCs w:val="28"/>
          <w:highlight w:val="none"/>
        </w:rPr>
      </w:pPr>
      <w:bookmarkStart w:id="22" w:name="_Toc11851476"/>
      <w:r>
        <w:rPr>
          <w:rFonts w:hint="eastAsia" w:ascii="黑体" w:hAnsi="宋体" w:eastAsia="黑体"/>
          <w:sz w:val="28"/>
          <w:szCs w:val="28"/>
          <w:highlight w:val="none"/>
        </w:rPr>
        <w:t>三、投标文件</w:t>
      </w:r>
      <w:bookmarkEnd w:id="22"/>
    </w:p>
    <w:p w14:paraId="1E204912">
      <w:pPr>
        <w:spacing w:line="440" w:lineRule="exact"/>
        <w:ind w:firstLine="480" w:firstLineChars="200"/>
        <w:outlineLvl w:val="2"/>
        <w:rPr>
          <w:rFonts w:ascii="黑体" w:hAnsi="宋体" w:eastAsia="黑体"/>
          <w:sz w:val="24"/>
          <w:highlight w:val="none"/>
        </w:rPr>
      </w:pPr>
      <w:bookmarkStart w:id="23" w:name="_Toc11851477"/>
      <w:r>
        <w:rPr>
          <w:rFonts w:hint="eastAsia" w:ascii="黑体" w:hAnsi="宋体" w:eastAsia="黑体"/>
          <w:sz w:val="24"/>
          <w:highlight w:val="none"/>
        </w:rPr>
        <w:t>12.投标文件的组成</w:t>
      </w:r>
      <w:bookmarkEnd w:id="23"/>
    </w:p>
    <w:p w14:paraId="57A9D528">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12.1投标人编制的投标文件必须符合有关法律、法规的要求。</w:t>
      </w:r>
    </w:p>
    <w:p w14:paraId="0D2133C9">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12.2</w:t>
      </w:r>
      <w:r>
        <w:rPr>
          <w:rFonts w:hint="eastAsia" w:ascii="仿宋_GB2312" w:hAnsi="Arial" w:eastAsia="仿宋_GB2312"/>
          <w:sz w:val="24"/>
          <w:highlight w:val="none"/>
        </w:rPr>
        <w:t>投标文件应包含下列内容。</w:t>
      </w:r>
    </w:p>
    <w:p w14:paraId="7F7A3950">
      <w:pPr>
        <w:tabs>
          <w:tab w:val="left" w:pos="5565"/>
        </w:tabs>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（1）投标函</w:t>
      </w:r>
    </w:p>
    <w:p w14:paraId="7720BB41">
      <w:pPr>
        <w:tabs>
          <w:tab w:val="left" w:pos="5565"/>
        </w:tabs>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（2）法定代表人身份证明书、授权委托书</w:t>
      </w:r>
    </w:p>
    <w:p w14:paraId="403630BE">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w:t>
      </w:r>
      <w:r>
        <w:rPr>
          <w:rFonts w:ascii="仿宋_GB2312" w:hAnsi="宋体" w:eastAsia="仿宋_GB2312"/>
          <w:sz w:val="24"/>
          <w:highlight w:val="none"/>
        </w:rPr>
        <w:t>3</w:t>
      </w:r>
      <w:r>
        <w:rPr>
          <w:rFonts w:hint="eastAsia" w:ascii="仿宋_GB2312" w:hAnsi="宋体" w:eastAsia="仿宋_GB2312"/>
          <w:sz w:val="24"/>
          <w:highlight w:val="none"/>
        </w:rPr>
        <w:t>）投标报价表</w:t>
      </w:r>
    </w:p>
    <w:p w14:paraId="5A806E20">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w:t>
      </w:r>
      <w:r>
        <w:rPr>
          <w:rFonts w:ascii="仿宋_GB2312" w:hAnsi="宋体" w:eastAsia="仿宋_GB2312"/>
          <w:sz w:val="24"/>
          <w:highlight w:val="none"/>
        </w:rPr>
        <w:t>4</w:t>
      </w:r>
      <w:r>
        <w:rPr>
          <w:rFonts w:hint="eastAsia" w:ascii="仿宋_GB2312" w:hAnsi="宋体" w:eastAsia="仿宋_GB2312"/>
          <w:sz w:val="24"/>
          <w:highlight w:val="none"/>
        </w:rPr>
        <w:t>）招标文件条款响应和偏离表</w:t>
      </w:r>
    </w:p>
    <w:p w14:paraId="01B1A4C1">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w:t>
      </w:r>
      <w:r>
        <w:rPr>
          <w:rFonts w:ascii="仿宋_GB2312" w:hAnsi="宋体" w:eastAsia="仿宋_GB2312"/>
          <w:sz w:val="24"/>
          <w:highlight w:val="none"/>
        </w:rPr>
        <w:t>5</w:t>
      </w:r>
      <w:r>
        <w:rPr>
          <w:rFonts w:hint="eastAsia" w:ascii="仿宋_GB2312" w:hAnsi="宋体" w:eastAsia="仿宋_GB2312"/>
          <w:sz w:val="24"/>
          <w:highlight w:val="none"/>
        </w:rPr>
        <w:t>）演示</w:t>
      </w:r>
      <w:r>
        <w:rPr>
          <w:rFonts w:ascii="仿宋_GB2312" w:hAnsi="宋体" w:eastAsia="仿宋_GB2312"/>
          <w:sz w:val="24"/>
          <w:highlight w:val="none"/>
        </w:rPr>
        <w:t>PPT</w:t>
      </w:r>
      <w:r>
        <w:rPr>
          <w:rFonts w:hint="eastAsia" w:ascii="仿宋_GB2312" w:hAnsi="宋体" w:eastAsia="仿宋_GB2312"/>
          <w:sz w:val="24"/>
          <w:highlight w:val="none"/>
        </w:rPr>
        <w:t>（单独提交以U</w:t>
      </w:r>
      <w:r>
        <w:rPr>
          <w:rFonts w:ascii="仿宋_GB2312" w:hAnsi="宋体" w:eastAsia="仿宋_GB2312"/>
          <w:sz w:val="24"/>
          <w:highlight w:val="none"/>
        </w:rPr>
        <w:t>SB</w:t>
      </w:r>
      <w:r>
        <w:rPr>
          <w:rFonts w:hint="eastAsia" w:ascii="仿宋_GB2312" w:hAnsi="宋体" w:eastAsia="仿宋_GB2312"/>
          <w:sz w:val="24"/>
          <w:highlight w:val="none"/>
        </w:rPr>
        <w:t>连接方式的存储介质，能以笔记本电脑进行演示）</w:t>
      </w:r>
    </w:p>
    <w:p w14:paraId="3206111D">
      <w:pPr>
        <w:spacing w:line="440" w:lineRule="exact"/>
        <w:ind w:firstLine="480" w:firstLineChars="200"/>
        <w:rPr>
          <w:rFonts w:ascii="仿宋_GB2312" w:hAnsi="Arial" w:eastAsia="仿宋_GB2312"/>
          <w:sz w:val="24"/>
          <w:highlight w:val="none"/>
        </w:rPr>
      </w:pPr>
      <w:r>
        <w:rPr>
          <w:rFonts w:hint="eastAsia" w:ascii="仿宋_GB2312" w:hAnsi="Arial" w:eastAsia="仿宋_GB2312"/>
          <w:sz w:val="24"/>
          <w:highlight w:val="none"/>
        </w:rPr>
        <w:t>（</w:t>
      </w:r>
      <w:r>
        <w:rPr>
          <w:rFonts w:ascii="仿宋_GB2312" w:hAnsi="Arial" w:eastAsia="仿宋_GB2312"/>
          <w:sz w:val="24"/>
          <w:highlight w:val="none"/>
        </w:rPr>
        <w:t>6</w:t>
      </w:r>
      <w:r>
        <w:rPr>
          <w:rFonts w:hint="eastAsia" w:ascii="仿宋_GB2312" w:hAnsi="Arial" w:eastAsia="仿宋_GB2312"/>
          <w:sz w:val="24"/>
          <w:highlight w:val="none"/>
        </w:rPr>
        <w:t>）服务方案</w:t>
      </w:r>
    </w:p>
    <w:p w14:paraId="3CFD8D3F">
      <w:pPr>
        <w:spacing w:line="440" w:lineRule="exact"/>
        <w:ind w:firstLine="480" w:firstLineChars="200"/>
        <w:rPr>
          <w:rFonts w:ascii="仿宋_GB2312" w:hAnsi="Arial" w:eastAsia="仿宋_GB2312"/>
          <w:sz w:val="24"/>
          <w:highlight w:val="none"/>
        </w:rPr>
      </w:pPr>
      <w:r>
        <w:rPr>
          <w:rFonts w:hint="eastAsia" w:ascii="仿宋_GB2312" w:hAnsi="Arial" w:eastAsia="仿宋_GB2312"/>
          <w:sz w:val="24"/>
          <w:highlight w:val="none"/>
        </w:rPr>
        <w:t>（</w:t>
      </w:r>
      <w:r>
        <w:rPr>
          <w:rFonts w:ascii="仿宋_GB2312" w:hAnsi="Arial" w:eastAsia="仿宋_GB2312"/>
          <w:sz w:val="24"/>
          <w:highlight w:val="none"/>
        </w:rPr>
        <w:t>7</w:t>
      </w:r>
      <w:r>
        <w:rPr>
          <w:rFonts w:hint="eastAsia" w:ascii="仿宋_GB2312" w:hAnsi="Arial" w:eastAsia="仿宋_GB2312"/>
          <w:sz w:val="24"/>
          <w:highlight w:val="none"/>
        </w:rPr>
        <w:t>）安全方案</w:t>
      </w:r>
    </w:p>
    <w:p w14:paraId="7ED810F7">
      <w:pPr>
        <w:spacing w:line="440" w:lineRule="exact"/>
        <w:ind w:firstLine="480" w:firstLineChars="200"/>
        <w:rPr>
          <w:rFonts w:ascii="仿宋_GB2312" w:hAnsi="Arial" w:eastAsia="仿宋_GB2312"/>
          <w:sz w:val="24"/>
          <w:highlight w:val="none"/>
        </w:rPr>
      </w:pPr>
      <w:r>
        <w:rPr>
          <w:rFonts w:hint="eastAsia" w:ascii="仿宋_GB2312" w:hAnsi="Arial" w:eastAsia="仿宋_GB2312"/>
          <w:sz w:val="24"/>
          <w:highlight w:val="none"/>
        </w:rPr>
        <w:t>（</w:t>
      </w:r>
      <w:r>
        <w:rPr>
          <w:rFonts w:ascii="仿宋_GB2312" w:hAnsi="Arial" w:eastAsia="仿宋_GB2312"/>
          <w:sz w:val="24"/>
          <w:highlight w:val="none"/>
        </w:rPr>
        <w:t>8</w:t>
      </w:r>
      <w:r>
        <w:rPr>
          <w:rFonts w:hint="eastAsia" w:ascii="仿宋_GB2312" w:hAnsi="Arial" w:eastAsia="仿宋_GB2312"/>
          <w:sz w:val="24"/>
          <w:highlight w:val="none"/>
        </w:rPr>
        <w:t>）投标文件附表</w:t>
      </w:r>
    </w:p>
    <w:p w14:paraId="459DB4F7">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w:t>
      </w:r>
      <w:r>
        <w:rPr>
          <w:rFonts w:ascii="仿宋_GB2312" w:hAnsi="宋体" w:eastAsia="仿宋_GB2312"/>
          <w:sz w:val="24"/>
          <w:highlight w:val="none"/>
        </w:rPr>
        <w:t>9</w:t>
      </w:r>
      <w:r>
        <w:rPr>
          <w:rFonts w:hint="eastAsia" w:ascii="仿宋_GB2312" w:hAnsi="宋体" w:eastAsia="仿宋_GB2312"/>
          <w:sz w:val="24"/>
          <w:highlight w:val="none"/>
        </w:rPr>
        <w:t>）招标文件要求及投标人认为其它应介绍或提交的资料和文件。</w:t>
      </w:r>
    </w:p>
    <w:p w14:paraId="68D50080">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评标过程中投标人作出的符合法律法规和招标文件规定的澄清确认，构成投标文件的组成部分。</w:t>
      </w:r>
    </w:p>
    <w:p w14:paraId="3D76A438">
      <w:pPr>
        <w:spacing w:line="440" w:lineRule="exact"/>
        <w:ind w:firstLine="480" w:firstLineChars="200"/>
        <w:outlineLvl w:val="2"/>
        <w:rPr>
          <w:rFonts w:ascii="黑体" w:hAnsi="宋体" w:eastAsia="黑体"/>
          <w:sz w:val="24"/>
          <w:highlight w:val="none"/>
        </w:rPr>
      </w:pPr>
      <w:bookmarkStart w:id="24" w:name="_Toc11851478"/>
      <w:r>
        <w:rPr>
          <w:rFonts w:hint="eastAsia" w:ascii="黑体" w:hAnsi="宋体" w:eastAsia="黑体"/>
          <w:sz w:val="24"/>
          <w:highlight w:val="none"/>
        </w:rPr>
        <w:t>13.投标报价</w:t>
      </w:r>
      <w:bookmarkEnd w:id="24"/>
    </w:p>
    <w:p w14:paraId="2A77FF0C">
      <w:pPr>
        <w:spacing w:line="440" w:lineRule="exact"/>
        <w:ind w:firstLine="482" w:firstLineChars="200"/>
        <w:rPr>
          <w:rFonts w:ascii="仿宋_GB2312" w:hAnsi="宋体" w:eastAsia="仿宋_GB2312"/>
          <w:b/>
          <w:sz w:val="24"/>
          <w:highlight w:val="none"/>
          <w:u w:val="single"/>
        </w:rPr>
      </w:pPr>
      <w:r>
        <w:rPr>
          <w:rFonts w:hint="eastAsia" w:ascii="仿宋_GB2312" w:hAnsi="宋体" w:eastAsia="仿宋_GB2312"/>
          <w:b/>
          <w:sz w:val="24"/>
          <w:highlight w:val="none"/>
          <w:u w:val="single"/>
        </w:rPr>
        <w:t>1</w:t>
      </w:r>
      <w:r>
        <w:rPr>
          <w:rFonts w:ascii="仿宋_GB2312" w:hAnsi="宋体" w:eastAsia="仿宋_GB2312"/>
          <w:b/>
          <w:sz w:val="24"/>
          <w:highlight w:val="none"/>
          <w:u w:val="single"/>
        </w:rPr>
        <w:t>3.1</w:t>
      </w:r>
      <w:r>
        <w:rPr>
          <w:rFonts w:hint="eastAsia" w:ascii="仿宋_GB2312" w:hAnsi="宋体" w:eastAsia="仿宋_GB2312"/>
          <w:b/>
          <w:sz w:val="24"/>
          <w:highlight w:val="none"/>
          <w:u w:val="single"/>
        </w:rPr>
        <w:t>本次报价以百分比方式报价。投标人承诺每月按照食堂总营业额收入百分比作为帮厨服务费，报价不低于每月营业总收入的2</w:t>
      </w:r>
      <w:r>
        <w:rPr>
          <w:rFonts w:ascii="仿宋_GB2312" w:hAnsi="宋体" w:eastAsia="仿宋_GB2312"/>
          <w:b/>
          <w:sz w:val="24"/>
          <w:highlight w:val="none"/>
          <w:u w:val="single"/>
        </w:rPr>
        <w:t>0</w:t>
      </w:r>
      <w:r>
        <w:rPr>
          <w:rFonts w:hint="eastAsia" w:ascii="仿宋_GB2312" w:hAnsi="宋体" w:eastAsia="仿宋_GB2312"/>
          <w:b/>
          <w:sz w:val="24"/>
          <w:highlight w:val="none"/>
          <w:u w:val="single"/>
        </w:rPr>
        <w:t>%，不高于每月营业总收入的24%，否则无效投标。</w:t>
      </w:r>
    </w:p>
    <w:p w14:paraId="2032812F">
      <w:pPr>
        <w:spacing w:line="440" w:lineRule="exact"/>
        <w:ind w:firstLine="482" w:firstLineChars="200"/>
        <w:rPr>
          <w:rFonts w:ascii="仿宋_GB2312" w:hAnsi="宋体" w:eastAsia="仿宋_GB2312"/>
          <w:b/>
          <w:sz w:val="24"/>
          <w:highlight w:val="none"/>
          <w:u w:val="single"/>
        </w:rPr>
      </w:pPr>
      <w:r>
        <w:rPr>
          <w:rFonts w:hint="eastAsia" w:ascii="仿宋_GB2312" w:hAnsi="宋体" w:eastAsia="仿宋_GB2312"/>
          <w:b/>
          <w:sz w:val="24"/>
          <w:highlight w:val="none"/>
          <w:u w:val="single"/>
        </w:rPr>
        <w:t>1</w:t>
      </w:r>
      <w:r>
        <w:rPr>
          <w:rFonts w:ascii="仿宋_GB2312" w:hAnsi="宋体" w:eastAsia="仿宋_GB2312"/>
          <w:b/>
          <w:sz w:val="24"/>
          <w:highlight w:val="none"/>
          <w:u w:val="single"/>
        </w:rPr>
        <w:t>3.2</w:t>
      </w:r>
      <w:r>
        <w:rPr>
          <w:rFonts w:hint="eastAsia" w:ascii="仿宋_GB2312" w:hAnsi="宋体" w:eastAsia="仿宋_GB2312"/>
          <w:b/>
          <w:sz w:val="24"/>
          <w:highlight w:val="none"/>
          <w:u w:val="single"/>
        </w:rPr>
        <w:t>本次报价包括但不限于服务人员工资（含基本工资和补贴、劳动保护费、社会保险费等）、福利费（含伙食费和其他福利等）、投标人自愿投入本项目设备费、加班费、服务人员意外保险费、管理费、税费、合理利润以及服务过程</w:t>
      </w:r>
      <w:r>
        <w:rPr>
          <w:rFonts w:ascii="仿宋_GB2312" w:hAnsi="宋体" w:eastAsia="仿宋_GB2312"/>
          <w:b/>
          <w:sz w:val="24"/>
          <w:highlight w:val="none"/>
          <w:u w:val="single"/>
        </w:rPr>
        <w:t>可能发生的不可预见的一切费用</w:t>
      </w:r>
      <w:r>
        <w:rPr>
          <w:rFonts w:hint="eastAsia" w:ascii="仿宋_GB2312" w:hAnsi="宋体" w:eastAsia="仿宋_GB2312"/>
          <w:b/>
          <w:sz w:val="24"/>
          <w:highlight w:val="none"/>
          <w:u w:val="single"/>
        </w:rPr>
        <w:t>。</w:t>
      </w:r>
    </w:p>
    <w:p w14:paraId="3476FC5A">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13.</w:t>
      </w:r>
      <w:r>
        <w:rPr>
          <w:rFonts w:ascii="仿宋_GB2312" w:hAnsi="宋体" w:eastAsia="仿宋_GB2312"/>
          <w:sz w:val="24"/>
          <w:highlight w:val="none"/>
        </w:rPr>
        <w:t>3</w:t>
      </w:r>
      <w:r>
        <w:rPr>
          <w:rFonts w:hint="eastAsia" w:ascii="仿宋_GB2312" w:hAnsi="宋体" w:eastAsia="仿宋_GB2312"/>
          <w:sz w:val="24"/>
          <w:highlight w:val="none"/>
        </w:rPr>
        <w:t>为防止出现漏报、错报，要求投标人仔细研究招标人提供的采购需求，对于清单内容有疑问的可在答疑中提出。</w:t>
      </w:r>
    </w:p>
    <w:p w14:paraId="1FD8985B">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13.</w:t>
      </w:r>
      <w:r>
        <w:rPr>
          <w:rFonts w:ascii="仿宋_GB2312" w:hAnsi="宋体" w:eastAsia="仿宋_GB2312"/>
          <w:sz w:val="24"/>
          <w:highlight w:val="none"/>
        </w:rPr>
        <w:t>4</w:t>
      </w:r>
      <w:r>
        <w:rPr>
          <w:rFonts w:hint="eastAsia" w:ascii="仿宋_GB2312" w:hAnsi="宋体" w:eastAsia="仿宋_GB2312"/>
          <w:sz w:val="24"/>
          <w:highlight w:val="none"/>
        </w:rPr>
        <w:t>本次招标过程中，各投标人只有一次报价的机会。</w:t>
      </w:r>
    </w:p>
    <w:p w14:paraId="505466FC">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13.5</w:t>
      </w:r>
      <w:r>
        <w:rPr>
          <w:rFonts w:hint="eastAsia" w:ascii="仿宋_GB2312" w:hAnsi="宋体" w:eastAsia="仿宋_GB2312"/>
          <w:sz w:val="24"/>
          <w:highlight w:val="none"/>
        </w:rPr>
        <w:t>本次招标只允许各投标人报一种方案，若报多种方案或备选方案，评委只接受投标报价最高的方案，其余方案不予接受。</w:t>
      </w:r>
    </w:p>
    <w:p w14:paraId="5AC23DF9">
      <w:pPr>
        <w:spacing w:line="440" w:lineRule="exact"/>
        <w:ind w:firstLine="480" w:firstLineChars="200"/>
        <w:rPr>
          <w:rFonts w:ascii="仿宋_GB2312" w:hAnsi="宋体" w:eastAsia="仿宋_GB2312" w:cs="宋体"/>
          <w:sz w:val="24"/>
          <w:highlight w:val="none"/>
        </w:rPr>
      </w:pPr>
      <w:r>
        <w:rPr>
          <w:rFonts w:ascii="仿宋_GB2312" w:hAnsi="宋体" w:eastAsia="仿宋_GB2312"/>
          <w:sz w:val="24"/>
          <w:highlight w:val="none"/>
        </w:rPr>
        <w:t>13.6</w:t>
      </w:r>
      <w:r>
        <w:rPr>
          <w:rFonts w:hint="eastAsia" w:ascii="仿宋_GB2312" w:hAnsi="宋体" w:eastAsia="仿宋_GB2312" w:cs="宋体"/>
          <w:sz w:val="24"/>
          <w:highlight w:val="none"/>
        </w:rPr>
        <w:t>开标时，报价以《开标一览表》为准。</w:t>
      </w:r>
    </w:p>
    <w:p w14:paraId="4E21DCA5">
      <w:pPr>
        <w:spacing w:line="440" w:lineRule="exact"/>
        <w:ind w:firstLine="480" w:firstLineChars="200"/>
        <w:rPr>
          <w:rFonts w:ascii="仿宋_GB2312" w:hAnsi="宋体" w:eastAsia="仿宋_GB2312"/>
          <w:sz w:val="24"/>
          <w:highlight w:val="none"/>
        </w:rPr>
      </w:pPr>
      <w:r>
        <w:rPr>
          <w:rFonts w:ascii="仿宋_GB2312" w:hAnsi="宋体" w:eastAsia="仿宋_GB2312" w:cs="宋体"/>
          <w:sz w:val="24"/>
          <w:highlight w:val="none"/>
        </w:rPr>
        <w:t>13.7</w:t>
      </w:r>
      <w:r>
        <w:rPr>
          <w:rFonts w:hint="eastAsia" w:ascii="仿宋_GB2312" w:hAnsi="宋体" w:eastAsia="仿宋_GB2312" w:cs="宋体"/>
          <w:sz w:val="24"/>
          <w:highlight w:val="none"/>
        </w:rPr>
        <w:t>大写金额和小写金额不一致的，以大写金额为准；对不同文字文本投标文件的解释发生异议的，以中文文本为准。</w:t>
      </w:r>
      <w:r>
        <w:rPr>
          <w:rFonts w:hint="eastAsia" w:ascii="仿宋_GB2312" w:hAnsi="宋体" w:eastAsia="仿宋_GB2312"/>
          <w:sz w:val="24"/>
          <w:highlight w:val="none"/>
        </w:rPr>
        <w:t>按上述修正错误的原则及方法调整或修正</w:t>
      </w:r>
      <w:r>
        <w:rPr>
          <w:rFonts w:hint="eastAsia" w:ascii="仿宋_GB2312" w:hAnsi="宋体" w:eastAsia="仿宋_GB2312" w:cs="宋体"/>
          <w:sz w:val="24"/>
          <w:highlight w:val="none"/>
        </w:rPr>
        <w:t>投标文件</w:t>
      </w:r>
      <w:r>
        <w:rPr>
          <w:rFonts w:hint="eastAsia" w:ascii="仿宋_GB2312" w:hAnsi="宋体" w:eastAsia="仿宋_GB2312"/>
          <w:sz w:val="24"/>
          <w:highlight w:val="none"/>
        </w:rPr>
        <w:t>的投标，投标人同意后，调整后的投标对投标人起约束作用。如果招标人不接受修正后的投标，则其投标将被拒绝。</w:t>
      </w:r>
    </w:p>
    <w:p w14:paraId="626AD509">
      <w:pPr>
        <w:spacing w:line="440" w:lineRule="exact"/>
        <w:ind w:firstLine="480" w:firstLineChars="200"/>
        <w:outlineLvl w:val="2"/>
        <w:rPr>
          <w:rFonts w:ascii="黑体" w:hAnsi="宋体" w:eastAsia="黑体"/>
          <w:sz w:val="24"/>
          <w:highlight w:val="none"/>
        </w:rPr>
      </w:pPr>
      <w:bookmarkStart w:id="25" w:name="_Toc11851479"/>
      <w:r>
        <w:rPr>
          <w:rFonts w:hint="eastAsia" w:ascii="黑体" w:hAnsi="宋体" w:eastAsia="黑体"/>
          <w:sz w:val="24"/>
          <w:highlight w:val="none"/>
        </w:rPr>
        <w:t>14.投标文件的编制</w:t>
      </w:r>
      <w:bookmarkEnd w:id="25"/>
    </w:p>
    <w:p w14:paraId="17894F6E">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14.</w:t>
      </w:r>
      <w:r>
        <w:rPr>
          <w:rFonts w:hint="eastAsia" w:ascii="仿宋_GB2312" w:hAnsi="宋体" w:eastAsia="仿宋_GB2312"/>
          <w:sz w:val="24"/>
          <w:highlight w:val="none"/>
        </w:rPr>
        <w:t>1投标人应按招标文件的要求和第六章“投标文件格式”编写投标文件，如有必要，可以增加附页，作为投标文件的组成部分。</w:t>
      </w:r>
    </w:p>
    <w:p w14:paraId="751FDCFF">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14.</w:t>
      </w:r>
      <w:r>
        <w:rPr>
          <w:rFonts w:hint="eastAsia" w:ascii="仿宋_GB2312" w:hAnsi="宋体" w:eastAsia="仿宋_GB2312"/>
          <w:sz w:val="24"/>
          <w:highlight w:val="none"/>
        </w:rPr>
        <w:t>2投标文件应当对招标文件有关投标有效期、招标范围等实质性内容作出明确响应，如实在招标文件条款响应和偏离表中填写响应情况。投标文件在满足招标文件实质性要求的基础上，可以提出比招标文件要求更有利于招标人的承诺。</w:t>
      </w:r>
    </w:p>
    <w:p w14:paraId="547978EF">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14</w:t>
      </w:r>
      <w:r>
        <w:rPr>
          <w:rFonts w:hint="eastAsia" w:ascii="仿宋_GB2312" w:hAnsi="宋体" w:eastAsia="仿宋_GB2312"/>
          <w:sz w:val="24"/>
          <w:highlight w:val="none"/>
        </w:rPr>
        <w:t>.3法定代表人身份证明书必须加盖投标人单位公章，授权委托书必须加盖投标人单位公章并由法定代表人签署（签署系指不褪色的黑色墨水签字笔由本人亲笔手写签字&lt;包括姓和名&gt;或印章，不得使用签名章或其他电子制版签名代替，下同），否则其投标无效。</w:t>
      </w:r>
    </w:p>
    <w:p w14:paraId="0E38EB67">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14</w:t>
      </w:r>
      <w:r>
        <w:rPr>
          <w:rFonts w:hint="eastAsia" w:ascii="仿宋_GB2312" w:hAnsi="宋体" w:eastAsia="仿宋_GB2312"/>
          <w:sz w:val="24"/>
          <w:highlight w:val="none"/>
        </w:rPr>
        <w:t>.4投标文件的签署、盖章、装订和份数</w:t>
      </w:r>
    </w:p>
    <w:p w14:paraId="75844DE3">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投标文件应用不褪色的材料打印，并由投标人的法定代表人或其委托代理人在投标文件的规定处签署。由投标人的法定代表人签字的，应附法定代表人身份证明书，由代理人签字的，应附法定代表人签署的授权委托书。投标文件应尽量避免涂改、行间插字或删除。如果出现上述情况，改动之处应由投标人的法定代表人或其委托代理人签署或盖单位公章确认。</w:t>
      </w:r>
    </w:p>
    <w:p w14:paraId="0E351C86">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投标人在投标文件及相关文件的签订、履行、通知等事项书面文件中的“单位公章”、“公章”处均仅指与当事人名称全称相一致的标准公章，不得使用其他形式（如带有“专用章”、“合同章”、“财务章”、“业务章”等字样）的印章。</w:t>
      </w:r>
    </w:p>
    <w:p w14:paraId="7CEE6224">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w:t>
      </w:r>
      <w:r>
        <w:rPr>
          <w:rFonts w:ascii="仿宋_GB2312" w:hAnsi="宋体" w:eastAsia="仿宋_GB2312"/>
          <w:sz w:val="24"/>
          <w:highlight w:val="none"/>
        </w:rPr>
        <w:t>3</w:t>
      </w:r>
      <w:r>
        <w:rPr>
          <w:rFonts w:hint="eastAsia" w:ascii="仿宋_GB2312" w:hAnsi="宋体" w:eastAsia="仿宋_GB2312"/>
          <w:sz w:val="24"/>
          <w:highlight w:val="none"/>
        </w:rPr>
        <w:t>）投标文件的正本与副本应分别装订成册（A4纸幅），并编制目录（图纸、图片等非文本形式的内容，可以不标注页码），目录和正文逐页标注连续页码（页码从目录编起，标注于页面底部居中位置）；需分册装订的，应在封面上用阿拉伯数字标注总册数和分册数，如“共3册，第1册”。</w:t>
      </w:r>
      <w:r>
        <w:rPr>
          <w:rFonts w:hint="eastAsia" w:ascii="仿宋_GB2312" w:hAnsi="黑体" w:eastAsia="仿宋_GB2312"/>
          <w:sz w:val="24"/>
          <w:highlight w:val="none"/>
        </w:rPr>
        <w:t>采用左侧胶装方式装订，装订应牢固、不易拆散和换页，不得采用活页夹装订；否则，招标人对由于投标文件装订松散而造成的丢失和其他后果不承担任何责任。</w:t>
      </w:r>
    </w:p>
    <w:p w14:paraId="20C5D63D">
      <w:pPr>
        <w:spacing w:line="440" w:lineRule="exact"/>
        <w:ind w:firstLine="200"/>
        <w:rPr>
          <w:rFonts w:ascii="仿宋_GB2312" w:hAnsi="宋体" w:eastAsia="仿宋_GB2312"/>
          <w:sz w:val="24"/>
          <w:highlight w:val="none"/>
        </w:rPr>
      </w:pPr>
      <w:r>
        <w:rPr>
          <w:rFonts w:hint="eastAsia" w:ascii="仿宋_GB2312" w:hAnsi="宋体" w:eastAsia="仿宋_GB2312"/>
          <w:sz w:val="24"/>
          <w:highlight w:val="none"/>
        </w:rPr>
        <w:t>（5）投标文件正本一份，副本份数见投标人须知前附表。投标文件的正本和副本的封面上应清楚地标记“正本”或“副本”的字样；当副本和正本不一致时，以正本为准。</w:t>
      </w:r>
    </w:p>
    <w:p w14:paraId="5513C4FA">
      <w:pPr>
        <w:spacing w:line="440" w:lineRule="exact"/>
        <w:ind w:firstLine="480" w:firstLineChars="200"/>
        <w:outlineLvl w:val="2"/>
        <w:rPr>
          <w:rFonts w:ascii="黑体" w:hAnsi="宋体" w:eastAsia="黑体"/>
          <w:sz w:val="24"/>
          <w:highlight w:val="none"/>
        </w:rPr>
      </w:pPr>
      <w:bookmarkStart w:id="26" w:name="_Toc11851480"/>
      <w:bookmarkStart w:id="27" w:name="_Toc518420712"/>
      <w:r>
        <w:rPr>
          <w:rFonts w:ascii="黑体" w:hAnsi="宋体" w:eastAsia="黑体"/>
          <w:sz w:val="24"/>
          <w:highlight w:val="none"/>
        </w:rPr>
        <w:t>15</w:t>
      </w:r>
      <w:r>
        <w:rPr>
          <w:rFonts w:hint="eastAsia" w:ascii="黑体" w:hAnsi="宋体" w:eastAsia="黑体"/>
          <w:sz w:val="24"/>
          <w:highlight w:val="none"/>
        </w:rPr>
        <w:t>.资格审查资料</w:t>
      </w:r>
      <w:bookmarkEnd w:id="26"/>
      <w:bookmarkEnd w:id="27"/>
    </w:p>
    <w:p w14:paraId="28476AA9">
      <w:pPr>
        <w:spacing w:line="440" w:lineRule="exact"/>
        <w:ind w:firstLine="480" w:firstLineChars="200"/>
        <w:rPr>
          <w:rFonts w:ascii="仿宋_GB2312" w:hAnsi="黑体" w:eastAsia="仿宋_GB2312"/>
          <w:sz w:val="24"/>
          <w:highlight w:val="none"/>
        </w:rPr>
      </w:pPr>
      <w:r>
        <w:rPr>
          <w:rFonts w:ascii="仿宋_GB2312" w:hAnsi="黑体" w:eastAsia="仿宋_GB2312"/>
          <w:sz w:val="24"/>
          <w:highlight w:val="none"/>
        </w:rPr>
        <w:t>投标人</w:t>
      </w:r>
      <w:r>
        <w:rPr>
          <w:rFonts w:hint="eastAsia" w:ascii="仿宋_GB2312" w:hAnsi="黑体" w:eastAsia="仿宋_GB2312"/>
          <w:sz w:val="24"/>
          <w:highlight w:val="none"/>
        </w:rPr>
        <w:t>应当按照第五章“资格、资信等证明文件”的</w:t>
      </w:r>
      <w:r>
        <w:rPr>
          <w:rFonts w:ascii="仿宋_GB2312" w:hAnsi="黑体" w:eastAsia="仿宋_GB2312"/>
          <w:sz w:val="24"/>
          <w:highlight w:val="none"/>
        </w:rPr>
        <w:t>规定提供资格审查资料，以证明其满足本章</w:t>
      </w:r>
      <w:r>
        <w:rPr>
          <w:rFonts w:hint="eastAsia" w:ascii="仿宋_GB2312" w:hAnsi="黑体" w:eastAsia="仿宋_GB2312"/>
          <w:sz w:val="24"/>
          <w:highlight w:val="none"/>
        </w:rPr>
        <w:t>投标人须知前附表中规定的资格条件。</w:t>
      </w:r>
    </w:p>
    <w:p w14:paraId="3D019C2B">
      <w:pPr>
        <w:spacing w:before="100" w:beforeAutospacing="1" w:after="100" w:afterAutospacing="1"/>
        <w:jc w:val="center"/>
        <w:outlineLvl w:val="1"/>
        <w:rPr>
          <w:rFonts w:ascii="黑体" w:hAnsi="宋体" w:eastAsia="黑体"/>
          <w:sz w:val="24"/>
          <w:highlight w:val="none"/>
        </w:rPr>
      </w:pPr>
      <w:bookmarkStart w:id="28" w:name="_Toc11851481"/>
      <w:r>
        <w:rPr>
          <w:rFonts w:hint="eastAsia" w:ascii="黑体" w:hAnsi="宋体" w:eastAsia="黑体"/>
          <w:sz w:val="24"/>
          <w:highlight w:val="none"/>
        </w:rPr>
        <w:t>四、投标</w:t>
      </w:r>
      <w:bookmarkEnd w:id="28"/>
    </w:p>
    <w:p w14:paraId="47C89B30">
      <w:pPr>
        <w:spacing w:line="440" w:lineRule="exact"/>
        <w:ind w:firstLine="480" w:firstLineChars="200"/>
        <w:outlineLvl w:val="2"/>
        <w:rPr>
          <w:rFonts w:ascii="黑体" w:hAnsi="宋体" w:eastAsia="黑体"/>
          <w:sz w:val="24"/>
          <w:highlight w:val="none"/>
        </w:rPr>
      </w:pPr>
      <w:bookmarkStart w:id="29" w:name="_Toc11851482"/>
      <w:bookmarkStart w:id="30" w:name="_Toc518420716"/>
      <w:r>
        <w:rPr>
          <w:rFonts w:ascii="黑体" w:hAnsi="宋体" w:eastAsia="黑体"/>
          <w:sz w:val="24"/>
          <w:highlight w:val="none"/>
        </w:rPr>
        <w:t>16.</w:t>
      </w:r>
      <w:r>
        <w:rPr>
          <w:rFonts w:hint="eastAsia" w:ascii="黑体" w:hAnsi="宋体" w:eastAsia="黑体"/>
          <w:sz w:val="24"/>
          <w:highlight w:val="none"/>
        </w:rPr>
        <w:t>投标文件的密封和标识</w:t>
      </w:r>
      <w:bookmarkEnd w:id="29"/>
      <w:bookmarkEnd w:id="30"/>
    </w:p>
    <w:p w14:paraId="53A95959">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16</w:t>
      </w:r>
      <w:r>
        <w:rPr>
          <w:rFonts w:hint="eastAsia" w:ascii="仿宋_GB2312" w:hAnsi="宋体" w:eastAsia="仿宋_GB2312"/>
          <w:sz w:val="24"/>
          <w:highlight w:val="none"/>
        </w:rPr>
        <w:t>.1密封：见投标人须知前附表。</w:t>
      </w:r>
    </w:p>
    <w:p w14:paraId="23CFB5D0">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16</w:t>
      </w:r>
      <w:r>
        <w:rPr>
          <w:rFonts w:hint="eastAsia" w:ascii="仿宋_GB2312" w:hAnsi="宋体" w:eastAsia="仿宋_GB2312"/>
          <w:sz w:val="24"/>
          <w:highlight w:val="none"/>
        </w:rPr>
        <w:t>.2标识：见投标人须知前附表。</w:t>
      </w:r>
    </w:p>
    <w:p w14:paraId="246598C8">
      <w:pPr>
        <w:spacing w:line="440" w:lineRule="exact"/>
        <w:ind w:firstLine="480" w:firstLineChars="200"/>
        <w:outlineLvl w:val="2"/>
        <w:rPr>
          <w:rFonts w:ascii="黑体" w:hAnsi="宋体" w:eastAsia="黑体"/>
          <w:sz w:val="24"/>
          <w:highlight w:val="none"/>
        </w:rPr>
      </w:pPr>
      <w:bookmarkStart w:id="31" w:name="_Toc11851483"/>
      <w:bookmarkStart w:id="32" w:name="_Toc518420717"/>
      <w:r>
        <w:rPr>
          <w:rFonts w:ascii="黑体" w:hAnsi="宋体" w:eastAsia="黑体"/>
          <w:sz w:val="24"/>
          <w:highlight w:val="none"/>
        </w:rPr>
        <w:t>17.</w:t>
      </w:r>
      <w:r>
        <w:rPr>
          <w:rFonts w:hint="eastAsia" w:ascii="黑体" w:hAnsi="宋体" w:eastAsia="黑体"/>
          <w:sz w:val="24"/>
          <w:highlight w:val="none"/>
        </w:rPr>
        <w:t>投标文件和资格、资信等证明文件的提交</w:t>
      </w:r>
      <w:bookmarkEnd w:id="31"/>
      <w:bookmarkEnd w:id="32"/>
    </w:p>
    <w:p w14:paraId="54CA4343">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投标人应在投标截止时间前将投标文件和资格、资信等证明文件提交至第一章“招标公告”规定的投标文件提交地点。</w:t>
      </w:r>
    </w:p>
    <w:p w14:paraId="44D41CEE">
      <w:pPr>
        <w:spacing w:line="440" w:lineRule="exact"/>
        <w:ind w:firstLine="480" w:firstLineChars="200"/>
        <w:outlineLvl w:val="2"/>
        <w:rPr>
          <w:rFonts w:ascii="黑体" w:hAnsi="宋体" w:eastAsia="黑体"/>
          <w:sz w:val="24"/>
          <w:highlight w:val="none"/>
        </w:rPr>
      </w:pPr>
      <w:bookmarkStart w:id="33" w:name="_Toc11851484"/>
      <w:r>
        <w:rPr>
          <w:rFonts w:ascii="黑体" w:hAnsi="宋体" w:eastAsia="黑体"/>
          <w:sz w:val="24"/>
          <w:highlight w:val="none"/>
        </w:rPr>
        <w:t>18.</w:t>
      </w:r>
      <w:r>
        <w:rPr>
          <w:rFonts w:hint="eastAsia" w:ascii="黑体" w:hAnsi="宋体" w:eastAsia="黑体"/>
          <w:sz w:val="24"/>
          <w:highlight w:val="none"/>
        </w:rPr>
        <w:t>投标人有下列情形之一，其投标文件和资格、资信等证明文件将不予受理：</w:t>
      </w:r>
      <w:bookmarkEnd w:id="33"/>
    </w:p>
    <w:p w14:paraId="05D63B7B">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（1）逾期送达的或者未送达指定地点的；</w:t>
      </w:r>
    </w:p>
    <w:p w14:paraId="3F128C78">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（2）投标文件未按本章第</w:t>
      </w:r>
      <w:r>
        <w:rPr>
          <w:rFonts w:ascii="仿宋_GB2312" w:hAnsi="宋体" w:eastAsia="仿宋_GB2312"/>
          <w:sz w:val="24"/>
          <w:highlight w:val="none"/>
        </w:rPr>
        <w:t>16.1</w:t>
      </w:r>
      <w:r>
        <w:rPr>
          <w:rFonts w:hint="eastAsia" w:ascii="仿宋_GB2312" w:hAnsi="宋体" w:eastAsia="仿宋_GB2312"/>
          <w:sz w:val="24"/>
          <w:highlight w:val="none"/>
        </w:rPr>
        <w:t>项要求密封的。</w:t>
      </w:r>
    </w:p>
    <w:p w14:paraId="71BDED07">
      <w:pPr>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（3）资格、资信等证明文件未按投标人须知前附表要求装件的。</w:t>
      </w:r>
    </w:p>
    <w:p w14:paraId="505374AB">
      <w:pPr>
        <w:spacing w:line="440" w:lineRule="exact"/>
        <w:ind w:firstLine="480" w:firstLineChars="200"/>
        <w:outlineLvl w:val="2"/>
        <w:rPr>
          <w:rFonts w:ascii="黑体" w:hAnsi="宋体" w:eastAsia="黑体"/>
          <w:sz w:val="24"/>
          <w:highlight w:val="none"/>
        </w:rPr>
      </w:pPr>
      <w:bookmarkStart w:id="34" w:name="_Toc11851485"/>
      <w:r>
        <w:rPr>
          <w:rFonts w:ascii="黑体" w:hAnsi="宋体" w:eastAsia="黑体"/>
          <w:sz w:val="24"/>
          <w:highlight w:val="none"/>
        </w:rPr>
        <w:t>19.</w:t>
      </w:r>
      <w:r>
        <w:rPr>
          <w:rFonts w:hint="eastAsia" w:ascii="黑体" w:hAnsi="宋体" w:eastAsia="黑体"/>
          <w:sz w:val="24"/>
          <w:highlight w:val="none"/>
        </w:rPr>
        <w:t>除投标人须知前附表另有规定外，投标人的投标文件均不退还。</w:t>
      </w:r>
      <w:bookmarkEnd w:id="34"/>
    </w:p>
    <w:p w14:paraId="3361FF1F">
      <w:pPr>
        <w:spacing w:line="440" w:lineRule="exact"/>
        <w:ind w:firstLine="480" w:firstLineChars="200"/>
        <w:outlineLvl w:val="2"/>
        <w:rPr>
          <w:rFonts w:ascii="黑体" w:hAnsi="宋体" w:eastAsia="黑体"/>
          <w:sz w:val="24"/>
          <w:highlight w:val="none"/>
        </w:rPr>
      </w:pPr>
      <w:bookmarkStart w:id="35" w:name="_Toc518420718"/>
      <w:bookmarkStart w:id="36" w:name="_Toc11851486"/>
      <w:r>
        <w:rPr>
          <w:rFonts w:ascii="黑体" w:hAnsi="宋体" w:eastAsia="黑体"/>
          <w:sz w:val="24"/>
          <w:highlight w:val="none"/>
        </w:rPr>
        <w:t>20.</w:t>
      </w:r>
      <w:r>
        <w:rPr>
          <w:rFonts w:hint="eastAsia" w:ascii="黑体" w:hAnsi="宋体" w:eastAsia="黑体"/>
          <w:sz w:val="24"/>
          <w:highlight w:val="none"/>
        </w:rPr>
        <w:t>投标文件的修改和撤回</w:t>
      </w:r>
      <w:bookmarkEnd w:id="35"/>
      <w:bookmarkEnd w:id="36"/>
    </w:p>
    <w:p w14:paraId="46225013">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20</w:t>
      </w:r>
      <w:r>
        <w:rPr>
          <w:rFonts w:hint="eastAsia" w:ascii="仿宋_GB2312" w:hAnsi="宋体" w:eastAsia="仿宋_GB2312"/>
          <w:sz w:val="24"/>
          <w:highlight w:val="none"/>
        </w:rPr>
        <w:t>.1在投标截止时间前，投标人可以修改或撤回已提交的投标文件，但应书面通知招标人、招标代理机构。</w:t>
      </w:r>
    </w:p>
    <w:p w14:paraId="65A30EC5">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20</w:t>
      </w:r>
      <w:r>
        <w:rPr>
          <w:rFonts w:hint="eastAsia" w:ascii="仿宋_GB2312" w:hAnsi="宋体" w:eastAsia="仿宋_GB2312"/>
          <w:sz w:val="24"/>
          <w:highlight w:val="none"/>
        </w:rPr>
        <w:t>.2投标人修改或撤回已提交投标文件的书面通知应按照本章第</w:t>
      </w:r>
      <w:r>
        <w:rPr>
          <w:rFonts w:ascii="仿宋_GB2312" w:hAnsi="宋体" w:eastAsia="仿宋_GB2312"/>
          <w:sz w:val="24"/>
          <w:highlight w:val="none"/>
        </w:rPr>
        <w:t>14</w:t>
      </w:r>
      <w:r>
        <w:rPr>
          <w:rFonts w:hint="eastAsia" w:ascii="仿宋_GB2312" w:hAnsi="宋体" w:eastAsia="仿宋_GB2312"/>
          <w:sz w:val="24"/>
          <w:highlight w:val="none"/>
        </w:rPr>
        <w:t>.4项的要求由法定代表人或其委托代理人签署或加盖单位公章。</w:t>
      </w:r>
    </w:p>
    <w:p w14:paraId="2EA261FF">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20</w:t>
      </w:r>
      <w:r>
        <w:rPr>
          <w:rFonts w:hint="eastAsia" w:ascii="仿宋_GB2312" w:hAnsi="宋体" w:eastAsia="仿宋_GB2312"/>
          <w:sz w:val="24"/>
          <w:highlight w:val="none"/>
        </w:rPr>
        <w:t>.3修改的内容作为投标文件的组成部分。修改的投标文件应按照本章规定进行编制、密封、标记和提交，并标明“修改”字样。</w:t>
      </w:r>
    </w:p>
    <w:p w14:paraId="43758122">
      <w:pPr>
        <w:spacing w:before="100" w:beforeAutospacing="1" w:after="100" w:afterAutospacing="1"/>
        <w:jc w:val="center"/>
        <w:outlineLvl w:val="1"/>
        <w:rPr>
          <w:rFonts w:ascii="黑体" w:hAnsi="宋体" w:eastAsia="黑体"/>
          <w:sz w:val="28"/>
          <w:szCs w:val="28"/>
          <w:highlight w:val="none"/>
        </w:rPr>
      </w:pPr>
      <w:bookmarkStart w:id="37" w:name="_Toc11851487"/>
      <w:r>
        <w:rPr>
          <w:rFonts w:hint="eastAsia" w:ascii="黑体" w:hAnsi="宋体" w:eastAsia="黑体"/>
          <w:sz w:val="28"/>
          <w:szCs w:val="28"/>
          <w:highlight w:val="none"/>
        </w:rPr>
        <w:t>五、开标、评标与定标</w:t>
      </w:r>
      <w:bookmarkEnd w:id="37"/>
    </w:p>
    <w:p w14:paraId="64DC932E">
      <w:pPr>
        <w:spacing w:line="460" w:lineRule="exact"/>
        <w:ind w:firstLine="480" w:firstLineChars="200"/>
        <w:outlineLvl w:val="2"/>
        <w:rPr>
          <w:rFonts w:ascii="黑体" w:hAnsi="宋体" w:eastAsia="黑体"/>
          <w:sz w:val="24"/>
          <w:highlight w:val="none"/>
        </w:rPr>
      </w:pPr>
      <w:bookmarkStart w:id="38" w:name="_Toc11851488"/>
      <w:r>
        <w:rPr>
          <w:rFonts w:hint="eastAsia" w:ascii="黑体" w:hAnsi="宋体" w:eastAsia="黑体"/>
          <w:sz w:val="24"/>
          <w:highlight w:val="none"/>
        </w:rPr>
        <w:t>21.开标</w:t>
      </w:r>
      <w:bookmarkEnd w:id="38"/>
    </w:p>
    <w:p w14:paraId="35C19931">
      <w:pPr>
        <w:spacing w:line="460" w:lineRule="exact"/>
        <w:ind w:firstLine="480" w:firstLineChars="200"/>
        <w:outlineLvl w:val="3"/>
        <w:rPr>
          <w:rFonts w:ascii="仿宋_GB2312" w:hAnsi="宋体" w:eastAsia="仿宋_GB2312"/>
          <w:sz w:val="24"/>
          <w:highlight w:val="none"/>
        </w:rPr>
      </w:pPr>
      <w:r>
        <w:rPr>
          <w:rFonts w:hint="eastAsia" w:ascii="仿宋_GB2312" w:hAnsi="宋体" w:eastAsia="仿宋_GB2312"/>
          <w:sz w:val="24"/>
          <w:highlight w:val="none"/>
        </w:rPr>
        <w:t>21.</w:t>
      </w:r>
      <w:bookmarkStart w:id="39" w:name="_Toc519459963"/>
      <w:r>
        <w:rPr>
          <w:rFonts w:ascii="仿宋_GB2312" w:hAnsi="宋体" w:eastAsia="仿宋_GB2312"/>
          <w:sz w:val="24"/>
          <w:highlight w:val="none"/>
        </w:rPr>
        <w:t>1</w:t>
      </w:r>
      <w:r>
        <w:rPr>
          <w:rFonts w:hint="eastAsia" w:ascii="仿宋_GB2312" w:hAnsi="宋体" w:eastAsia="仿宋_GB2312"/>
          <w:sz w:val="24"/>
          <w:highlight w:val="none"/>
        </w:rPr>
        <w:t>开标时间和地点</w:t>
      </w:r>
      <w:bookmarkEnd w:id="39"/>
    </w:p>
    <w:p w14:paraId="4780CA45">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招标人在第一章招标公告规定的开标时间和地点公开开标，并邀请所有投标人的法定代表人或其委托代理人准时参加。</w:t>
      </w:r>
    </w:p>
    <w:p w14:paraId="4B371F21">
      <w:pPr>
        <w:spacing w:line="460" w:lineRule="exact"/>
        <w:ind w:firstLine="480" w:firstLineChars="200"/>
        <w:outlineLvl w:val="3"/>
        <w:rPr>
          <w:rFonts w:ascii="仿宋_GB2312" w:hAnsi="宋体" w:eastAsia="仿宋_GB2312"/>
          <w:sz w:val="24"/>
          <w:highlight w:val="none"/>
        </w:rPr>
      </w:pPr>
      <w:bookmarkStart w:id="40" w:name="_Toc519459964"/>
      <w:r>
        <w:rPr>
          <w:rFonts w:ascii="仿宋_GB2312" w:hAnsi="宋体" w:eastAsia="仿宋_GB2312"/>
          <w:sz w:val="24"/>
          <w:highlight w:val="none"/>
        </w:rPr>
        <w:t>21.2</w:t>
      </w:r>
      <w:r>
        <w:rPr>
          <w:rFonts w:hint="eastAsia" w:ascii="仿宋_GB2312" w:hAnsi="宋体" w:eastAsia="仿宋_GB2312"/>
          <w:sz w:val="24"/>
          <w:highlight w:val="none"/>
        </w:rPr>
        <w:t>开标程序</w:t>
      </w:r>
      <w:bookmarkEnd w:id="40"/>
    </w:p>
    <w:p w14:paraId="77866B77">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21</w:t>
      </w:r>
      <w:r>
        <w:rPr>
          <w:rFonts w:hint="eastAsia" w:ascii="仿宋_GB2312" w:hAnsi="宋体" w:eastAsia="仿宋_GB2312"/>
          <w:sz w:val="24"/>
          <w:highlight w:val="none"/>
        </w:rPr>
        <w:t>.2.1主持人按下列程序进行开标：</w:t>
      </w:r>
    </w:p>
    <w:p w14:paraId="45F267D4">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（1）宣布开标纪律；</w:t>
      </w:r>
    </w:p>
    <w:p w14:paraId="7448C4A6">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（2）公布在投标截止时间前提交投标文件的投标人名称；</w:t>
      </w:r>
    </w:p>
    <w:p w14:paraId="2628FCD2">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（3）投标人或者其推选的代表检查投标文件的密封情况，并签字确认；</w:t>
      </w:r>
    </w:p>
    <w:p w14:paraId="6003B646">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（4）开启投标文件，按照签到顺序或主持人公布的顺序公布投标人名称、报价、允许提供的备选投标方案和投标文件的其他主要内容，并记录在案；</w:t>
      </w:r>
    </w:p>
    <w:p w14:paraId="4DC78503">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（5）投标人的法定代表人或其委托代理人等有关人员在开标记录上签字确认；</w:t>
      </w:r>
    </w:p>
    <w:p w14:paraId="7BB49B64">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（6）开标结束。</w:t>
      </w:r>
    </w:p>
    <w:p w14:paraId="285B435A">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21</w:t>
      </w:r>
      <w:r>
        <w:rPr>
          <w:rFonts w:hint="eastAsia" w:ascii="仿宋_GB2312" w:hAnsi="宋体" w:eastAsia="仿宋_GB2312"/>
          <w:sz w:val="24"/>
          <w:highlight w:val="none"/>
        </w:rPr>
        <w:t>.2.</w:t>
      </w:r>
      <w:r>
        <w:rPr>
          <w:rFonts w:ascii="仿宋_GB2312" w:hAnsi="宋体" w:eastAsia="仿宋_GB2312"/>
          <w:sz w:val="24"/>
          <w:highlight w:val="none"/>
        </w:rPr>
        <w:t>2</w:t>
      </w:r>
      <w:r>
        <w:rPr>
          <w:rFonts w:hint="eastAsia" w:ascii="仿宋_GB2312" w:hAnsi="宋体" w:eastAsia="仿宋_GB2312"/>
          <w:sz w:val="24"/>
          <w:highlight w:val="none"/>
        </w:rPr>
        <w:t>若有报价、价格折扣和招标文件允许提供的备选投标方案等实质内容未被公布的，投标人应在开标时及时声明或者提出；否则，招标人、招标代理机构对此不承担任何责任。</w:t>
      </w:r>
    </w:p>
    <w:p w14:paraId="4BBBCC37">
      <w:pPr>
        <w:spacing w:line="460" w:lineRule="exact"/>
        <w:ind w:firstLine="480" w:firstLineChars="200"/>
        <w:outlineLvl w:val="3"/>
        <w:rPr>
          <w:rFonts w:ascii="仿宋_GB2312" w:hAnsi="宋体" w:eastAsia="仿宋_GB2312"/>
          <w:sz w:val="24"/>
          <w:highlight w:val="none"/>
        </w:rPr>
      </w:pPr>
      <w:bookmarkStart w:id="41" w:name="_Toc519459965"/>
      <w:r>
        <w:rPr>
          <w:rFonts w:ascii="仿宋_GB2312" w:hAnsi="宋体" w:eastAsia="仿宋_GB2312"/>
          <w:sz w:val="24"/>
          <w:highlight w:val="none"/>
        </w:rPr>
        <w:t>21</w:t>
      </w:r>
      <w:r>
        <w:rPr>
          <w:rFonts w:hint="eastAsia" w:ascii="仿宋_GB2312" w:hAnsi="宋体" w:eastAsia="仿宋_GB2312"/>
          <w:sz w:val="24"/>
          <w:highlight w:val="none"/>
        </w:rPr>
        <w:t>.</w:t>
      </w:r>
      <w:r>
        <w:rPr>
          <w:rFonts w:ascii="仿宋_GB2312" w:hAnsi="宋体" w:eastAsia="仿宋_GB2312"/>
          <w:sz w:val="24"/>
          <w:highlight w:val="none"/>
        </w:rPr>
        <w:t>3</w:t>
      </w:r>
      <w:bookmarkEnd w:id="41"/>
      <w:r>
        <w:rPr>
          <w:rFonts w:hint="eastAsia" w:ascii="仿宋_GB2312" w:hAnsi="宋体" w:eastAsia="仿宋_GB2312"/>
          <w:sz w:val="24"/>
          <w:highlight w:val="none"/>
        </w:rPr>
        <w:t>开标异议</w:t>
      </w:r>
    </w:p>
    <w:p w14:paraId="0E31BB30">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投标人对开标有异议的，应当在开标现场提出，招标人当场作出答复，并制作记录。</w:t>
      </w:r>
    </w:p>
    <w:p w14:paraId="6F01A880">
      <w:pPr>
        <w:spacing w:line="460" w:lineRule="exact"/>
        <w:ind w:firstLine="480" w:firstLineChars="200"/>
        <w:outlineLvl w:val="2"/>
        <w:rPr>
          <w:rFonts w:ascii="黑体" w:hAnsi="宋体" w:eastAsia="黑体"/>
          <w:sz w:val="24"/>
          <w:highlight w:val="none"/>
        </w:rPr>
      </w:pPr>
      <w:bookmarkStart w:id="42" w:name="_Toc11851489"/>
      <w:r>
        <w:rPr>
          <w:rFonts w:hint="eastAsia" w:ascii="黑体" w:hAnsi="宋体" w:eastAsia="黑体"/>
          <w:sz w:val="24"/>
          <w:highlight w:val="none"/>
        </w:rPr>
        <w:t>2</w:t>
      </w:r>
      <w:r>
        <w:rPr>
          <w:rFonts w:ascii="黑体" w:hAnsi="宋体" w:eastAsia="黑体"/>
          <w:sz w:val="24"/>
          <w:highlight w:val="none"/>
        </w:rPr>
        <w:t>2.</w:t>
      </w:r>
      <w:r>
        <w:rPr>
          <w:rFonts w:hint="eastAsia" w:ascii="黑体" w:hAnsi="宋体" w:eastAsia="黑体"/>
          <w:sz w:val="24"/>
          <w:highlight w:val="none"/>
        </w:rPr>
        <w:t>评标</w:t>
      </w:r>
      <w:bookmarkEnd w:id="42"/>
    </w:p>
    <w:p w14:paraId="18C113B5">
      <w:pPr>
        <w:spacing w:line="460" w:lineRule="exact"/>
        <w:ind w:firstLine="480" w:firstLineChars="200"/>
        <w:outlineLvl w:val="3"/>
        <w:rPr>
          <w:rFonts w:ascii="仿宋_GB2312" w:eastAsia="仿宋_GB2312"/>
          <w:sz w:val="24"/>
          <w:highlight w:val="none"/>
        </w:rPr>
      </w:pPr>
      <w:bookmarkStart w:id="43" w:name="_Hlk515223804"/>
      <w:r>
        <w:rPr>
          <w:rFonts w:ascii="仿宋_GB2312" w:eastAsia="仿宋_GB2312"/>
          <w:sz w:val="24"/>
          <w:highlight w:val="none"/>
        </w:rPr>
        <w:t>采用综合评</w:t>
      </w:r>
      <w:r>
        <w:rPr>
          <w:rFonts w:hint="eastAsia" w:ascii="仿宋_GB2312" w:eastAsia="仿宋_GB2312"/>
          <w:sz w:val="24"/>
          <w:highlight w:val="none"/>
        </w:rPr>
        <w:t>分</w:t>
      </w:r>
      <w:r>
        <w:rPr>
          <w:rFonts w:ascii="仿宋_GB2312" w:eastAsia="仿宋_GB2312"/>
          <w:sz w:val="24"/>
          <w:highlight w:val="none"/>
        </w:rPr>
        <w:t>法</w:t>
      </w:r>
      <w:r>
        <w:rPr>
          <w:rFonts w:hint="eastAsia" w:ascii="仿宋_GB2312" w:eastAsia="仿宋_GB2312"/>
          <w:sz w:val="24"/>
          <w:highlight w:val="none"/>
        </w:rPr>
        <w:t>，指投标文件满足招标文件全部实质性要求和条件，且按照评分因素的量化指标评审得分最高的投标人为中标候选人的评标方法</w:t>
      </w:r>
      <w:bookmarkEnd w:id="43"/>
      <w:bookmarkStart w:id="44" w:name="_Hlk514946274"/>
      <w:r>
        <w:rPr>
          <w:rFonts w:hint="eastAsia" w:ascii="仿宋_GB2312" w:eastAsia="仿宋_GB2312"/>
          <w:sz w:val="24"/>
          <w:highlight w:val="none"/>
        </w:rPr>
        <w:t>（中标候选人家数：3家）。</w:t>
      </w:r>
      <w:bookmarkEnd w:id="44"/>
    </w:p>
    <w:p w14:paraId="229A2F48">
      <w:pPr>
        <w:spacing w:line="460" w:lineRule="exact"/>
        <w:ind w:firstLine="480" w:firstLineChars="200"/>
        <w:outlineLvl w:val="3"/>
        <w:rPr>
          <w:rFonts w:ascii="仿宋_GB2312" w:eastAsia="仿宋_GB2312"/>
          <w:sz w:val="24"/>
          <w:highlight w:val="none"/>
        </w:rPr>
      </w:pPr>
      <w:r>
        <w:rPr>
          <w:rFonts w:hint="eastAsia" w:ascii="仿宋_GB2312" w:eastAsia="仿宋_GB2312"/>
          <w:sz w:val="24"/>
          <w:highlight w:val="none"/>
        </w:rPr>
        <w:t>2</w:t>
      </w:r>
      <w:r>
        <w:rPr>
          <w:rFonts w:ascii="仿宋_GB2312" w:eastAsia="仿宋_GB2312"/>
          <w:sz w:val="24"/>
          <w:highlight w:val="none"/>
        </w:rPr>
        <w:t>2</w:t>
      </w:r>
      <w:r>
        <w:rPr>
          <w:rFonts w:hint="eastAsia" w:ascii="仿宋_GB2312" w:eastAsia="仿宋_GB2312"/>
          <w:sz w:val="24"/>
          <w:highlight w:val="none"/>
        </w:rPr>
        <w:t>.</w:t>
      </w:r>
      <w:r>
        <w:rPr>
          <w:rFonts w:ascii="仿宋_GB2312" w:eastAsia="仿宋_GB2312"/>
          <w:sz w:val="24"/>
          <w:highlight w:val="none"/>
        </w:rPr>
        <w:t>1</w:t>
      </w:r>
      <w:r>
        <w:rPr>
          <w:rFonts w:hint="eastAsia" w:ascii="仿宋_GB2312" w:eastAsia="仿宋_GB2312"/>
          <w:sz w:val="24"/>
          <w:highlight w:val="none"/>
        </w:rPr>
        <w:t>评标委员会</w:t>
      </w:r>
    </w:p>
    <w:p w14:paraId="0DF093F4">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（1）招标人负责组建评标委员会并组织评审工作。</w:t>
      </w:r>
    </w:p>
    <w:p w14:paraId="4C38065B">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（2）与投标人有利害关系的人员不得进入评标委员会，已经进入的必须退出。</w:t>
      </w:r>
    </w:p>
    <w:p w14:paraId="1DBA1303">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（3）评标委员会由</w:t>
      </w:r>
      <w:r>
        <w:rPr>
          <w:rFonts w:hint="eastAsia" w:ascii="仿宋_GB2312" w:hAnsi="宋体" w:eastAsia="仿宋_GB2312" w:cs="仿宋"/>
          <w:sz w:val="24"/>
          <w:highlight w:val="none"/>
          <w:lang w:val="zh-CN"/>
        </w:rPr>
        <w:t>专家（从专家库中随机抽取）、校领导干部、家长代表和教师代表组成。</w:t>
      </w:r>
    </w:p>
    <w:p w14:paraId="2FFB565D">
      <w:pPr>
        <w:spacing w:line="460" w:lineRule="exact"/>
        <w:ind w:firstLine="480" w:firstLineChars="200"/>
        <w:outlineLvl w:val="3"/>
        <w:rPr>
          <w:rFonts w:ascii="仿宋_GB2312" w:eastAsia="仿宋_GB2312"/>
          <w:sz w:val="24"/>
          <w:highlight w:val="none"/>
        </w:rPr>
      </w:pPr>
      <w:r>
        <w:rPr>
          <w:rFonts w:ascii="仿宋_GB2312" w:eastAsia="仿宋_GB2312"/>
          <w:sz w:val="24"/>
          <w:highlight w:val="none"/>
        </w:rPr>
        <w:t>22.2</w:t>
      </w:r>
      <w:r>
        <w:rPr>
          <w:rFonts w:hint="eastAsia" w:ascii="仿宋_GB2312" w:eastAsia="仿宋_GB2312"/>
          <w:sz w:val="24"/>
          <w:highlight w:val="none"/>
        </w:rPr>
        <w:t>评标过程的保密性</w:t>
      </w:r>
    </w:p>
    <w:p w14:paraId="670C250A">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公开开标后，直至向中标的投标人授予合同时止，凡是与审查、澄清、评价和比较投标的有关资料以及授标建议等，均不得向投标人及与评标无关的其他人员透露。</w:t>
      </w:r>
    </w:p>
    <w:p w14:paraId="602868BB">
      <w:pPr>
        <w:spacing w:line="460" w:lineRule="exact"/>
        <w:ind w:firstLine="480" w:firstLineChars="200"/>
        <w:outlineLvl w:val="3"/>
        <w:rPr>
          <w:rFonts w:ascii="仿宋_GB2312" w:eastAsia="仿宋_GB2312"/>
          <w:sz w:val="24"/>
          <w:highlight w:val="none"/>
        </w:rPr>
      </w:pPr>
      <w:r>
        <w:rPr>
          <w:rFonts w:hint="eastAsia" w:ascii="仿宋_GB2312" w:eastAsia="仿宋_GB2312"/>
          <w:sz w:val="24"/>
          <w:highlight w:val="none"/>
        </w:rPr>
        <w:t>2</w:t>
      </w:r>
      <w:r>
        <w:rPr>
          <w:rFonts w:ascii="仿宋_GB2312" w:eastAsia="仿宋_GB2312"/>
          <w:sz w:val="24"/>
          <w:highlight w:val="none"/>
        </w:rPr>
        <w:t>2.3</w:t>
      </w:r>
      <w:r>
        <w:rPr>
          <w:rFonts w:hint="eastAsia" w:ascii="仿宋_GB2312" w:eastAsia="仿宋_GB2312"/>
          <w:sz w:val="24"/>
          <w:highlight w:val="none"/>
        </w:rPr>
        <w:t>.初步评审</w:t>
      </w:r>
    </w:p>
    <w:p w14:paraId="3B134A63">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2</w:t>
      </w:r>
      <w:r>
        <w:rPr>
          <w:rFonts w:ascii="仿宋_GB2312" w:eastAsia="仿宋_GB2312"/>
          <w:sz w:val="24"/>
          <w:highlight w:val="none"/>
        </w:rPr>
        <w:t>2</w:t>
      </w:r>
      <w:r>
        <w:rPr>
          <w:rFonts w:hint="eastAsia" w:ascii="仿宋_GB2312" w:eastAsia="仿宋_GB2312"/>
          <w:sz w:val="24"/>
          <w:highlight w:val="none"/>
        </w:rPr>
        <w:t>.</w:t>
      </w:r>
      <w:r>
        <w:rPr>
          <w:rFonts w:ascii="仿宋_GB2312" w:eastAsia="仿宋_GB2312"/>
          <w:sz w:val="24"/>
          <w:highlight w:val="none"/>
        </w:rPr>
        <w:t>3.</w:t>
      </w:r>
      <w:r>
        <w:rPr>
          <w:rFonts w:hint="eastAsia" w:ascii="仿宋_GB2312" w:eastAsia="仿宋_GB2312"/>
          <w:sz w:val="24"/>
          <w:highlight w:val="none"/>
        </w:rPr>
        <w:t>1资格性检查。</w:t>
      </w:r>
    </w:p>
    <w:p w14:paraId="53618A52">
      <w:pPr>
        <w:spacing w:line="460" w:lineRule="exact"/>
        <w:ind w:firstLine="480" w:firstLineChars="200"/>
        <w:rPr>
          <w:rFonts w:ascii="仿宋_GB2312" w:hAnsi="宋体" w:eastAsia="仿宋_GB2312" w:cs="宋体"/>
          <w:sz w:val="24"/>
          <w:highlight w:val="none"/>
        </w:rPr>
      </w:pPr>
      <w:r>
        <w:rPr>
          <w:rFonts w:hint="eastAsia" w:ascii="仿宋_GB2312" w:hAnsi="宋体" w:eastAsia="仿宋_GB2312"/>
          <w:sz w:val="24"/>
          <w:highlight w:val="none"/>
        </w:rPr>
        <w:t>评标专家依据有关法律法规和招标文件的规定，审查每个投标人提交的资格、资信证明文件是否齐全、完整、合法、有效，</w:t>
      </w:r>
      <w:r>
        <w:rPr>
          <w:rFonts w:hint="eastAsia" w:ascii="仿宋_GB2312" w:hAnsi="宋体" w:eastAsia="仿宋_GB2312" w:cs="宋体"/>
          <w:sz w:val="24"/>
          <w:highlight w:val="none"/>
        </w:rPr>
        <w:t>以确定投标人是否具备投标资格。</w:t>
      </w:r>
    </w:p>
    <w:p w14:paraId="78D88A3C">
      <w:pPr>
        <w:spacing w:line="460" w:lineRule="exact"/>
        <w:ind w:firstLine="480" w:firstLineChars="200"/>
        <w:rPr>
          <w:rFonts w:ascii="仿宋_GB2312" w:eastAsia="仿宋_GB2312"/>
          <w:sz w:val="24"/>
          <w:highlight w:val="none"/>
        </w:rPr>
      </w:pPr>
      <w:r>
        <w:rPr>
          <w:rFonts w:hint="eastAsia" w:ascii="仿宋_GB2312" w:hAnsi="宋体" w:eastAsia="仿宋_GB2312" w:cs="宋体"/>
          <w:sz w:val="24"/>
          <w:highlight w:val="none"/>
        </w:rPr>
        <w:t>在资格性检查中，</w:t>
      </w:r>
      <w:r>
        <w:rPr>
          <w:rFonts w:hint="eastAsia" w:ascii="仿宋_GB2312" w:hAnsi="Arial" w:eastAsia="仿宋_GB2312"/>
          <w:sz w:val="24"/>
          <w:highlight w:val="none"/>
        </w:rPr>
        <w:t>投标文件属下列情况之一的，无效投标</w:t>
      </w:r>
      <w:r>
        <w:rPr>
          <w:rFonts w:hint="eastAsia" w:ascii="仿宋_GB2312" w:hAnsi="宋体" w:eastAsia="仿宋_GB2312"/>
          <w:sz w:val="24"/>
          <w:highlight w:val="none"/>
        </w:rPr>
        <w:t>：</w:t>
      </w:r>
    </w:p>
    <w:p w14:paraId="430A66F4">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1</w:t>
      </w:r>
      <w:r>
        <w:rPr>
          <w:rFonts w:hint="eastAsia" w:ascii="仿宋_GB2312" w:hAnsi="宋体" w:eastAsia="仿宋_GB2312"/>
          <w:sz w:val="24"/>
          <w:highlight w:val="none"/>
        </w:rPr>
        <w:t>）</w:t>
      </w:r>
      <w:r>
        <w:rPr>
          <w:rFonts w:hint="eastAsia" w:ascii="仿宋_GB2312" w:hAnsi="宋体" w:eastAsia="仿宋_GB2312" w:cs="宋体"/>
          <w:sz w:val="24"/>
          <w:highlight w:val="none"/>
        </w:rPr>
        <w:t>不具备招标文件中规定资格、资信要求的</w:t>
      </w:r>
      <w:r>
        <w:rPr>
          <w:rFonts w:hint="eastAsia" w:ascii="仿宋_GB2312" w:hAnsi="宋体" w:eastAsia="仿宋_GB2312"/>
          <w:sz w:val="24"/>
          <w:highlight w:val="none"/>
        </w:rPr>
        <w:t>。</w:t>
      </w:r>
    </w:p>
    <w:p w14:paraId="15B0B6ED">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w:t>
      </w:r>
      <w:r>
        <w:rPr>
          <w:rFonts w:hint="eastAsia" w:ascii="仿宋_GB2312" w:hAnsi="宋体" w:eastAsia="仿宋_GB2312"/>
          <w:sz w:val="24"/>
          <w:highlight w:val="none"/>
        </w:rPr>
        <w:t>）</w:t>
      </w:r>
      <w:r>
        <w:rPr>
          <w:rFonts w:hint="eastAsia" w:ascii="仿宋_GB2312" w:hAnsi="宋体" w:eastAsia="仿宋_GB2312" w:cs="宋体"/>
          <w:sz w:val="24"/>
          <w:highlight w:val="none"/>
        </w:rPr>
        <w:t>不符合法律、法规和招标文件中规定的其他实质性要求的</w:t>
      </w:r>
      <w:r>
        <w:rPr>
          <w:rFonts w:hint="eastAsia" w:ascii="仿宋_GB2312" w:eastAsia="仿宋_GB2312"/>
          <w:sz w:val="24"/>
          <w:highlight w:val="none"/>
        </w:rPr>
        <w:t>。</w:t>
      </w:r>
    </w:p>
    <w:p w14:paraId="2E9F9683">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w:t>
      </w:r>
      <w:r>
        <w:rPr>
          <w:rFonts w:ascii="仿宋_GB2312" w:hAnsi="宋体" w:eastAsia="仿宋_GB2312"/>
          <w:sz w:val="24"/>
          <w:highlight w:val="none"/>
        </w:rPr>
        <w:t>2</w:t>
      </w:r>
      <w:r>
        <w:rPr>
          <w:rFonts w:hint="eastAsia" w:ascii="仿宋_GB2312" w:hAnsi="宋体" w:eastAsia="仿宋_GB2312"/>
          <w:sz w:val="24"/>
          <w:highlight w:val="none"/>
        </w:rPr>
        <w:t>.</w:t>
      </w:r>
      <w:r>
        <w:rPr>
          <w:rFonts w:ascii="仿宋_GB2312" w:hAnsi="宋体" w:eastAsia="仿宋_GB2312"/>
          <w:sz w:val="24"/>
          <w:highlight w:val="none"/>
        </w:rPr>
        <w:t>3.</w:t>
      </w:r>
      <w:r>
        <w:rPr>
          <w:rFonts w:hint="eastAsia" w:ascii="仿宋_GB2312" w:hAnsi="宋体" w:eastAsia="仿宋_GB2312"/>
          <w:sz w:val="24"/>
          <w:highlight w:val="none"/>
        </w:rPr>
        <w:t>2符合性检查。</w:t>
      </w:r>
    </w:p>
    <w:p w14:paraId="672FA4DD">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评标委员会依据有关法律法规和招标文件的规定，从投标文件的有效性、完整性和对招标文件的响应程度，审查投标文件是否对招标文件的实质性要求做出了响应。</w:t>
      </w:r>
    </w:p>
    <w:p w14:paraId="707A52EC">
      <w:pPr>
        <w:spacing w:line="460" w:lineRule="exact"/>
        <w:ind w:firstLine="480" w:firstLineChars="200"/>
        <w:rPr>
          <w:rFonts w:ascii="黑体" w:hAnsi="宋体" w:eastAsia="黑体"/>
          <w:sz w:val="24"/>
          <w:highlight w:val="none"/>
        </w:rPr>
      </w:pPr>
      <w:r>
        <w:rPr>
          <w:rFonts w:hint="eastAsia" w:ascii="仿宋_GB2312" w:hAnsi="宋体" w:eastAsia="仿宋_GB2312" w:cs="宋体"/>
          <w:sz w:val="24"/>
          <w:highlight w:val="none"/>
        </w:rPr>
        <w:t>在符合性检查中，</w:t>
      </w:r>
      <w:r>
        <w:rPr>
          <w:rFonts w:hint="eastAsia" w:ascii="仿宋_GB2312" w:hAnsi="Arial" w:eastAsia="仿宋_GB2312"/>
          <w:sz w:val="24"/>
          <w:highlight w:val="none"/>
        </w:rPr>
        <w:t>投标文件属下列情况之一的，无效投标</w:t>
      </w:r>
      <w:r>
        <w:rPr>
          <w:rFonts w:hint="eastAsia" w:ascii="仿宋_GB2312" w:hAnsi="宋体" w:eastAsia="仿宋_GB2312"/>
          <w:sz w:val="24"/>
          <w:highlight w:val="none"/>
        </w:rPr>
        <w:t>：</w:t>
      </w:r>
    </w:p>
    <w:p w14:paraId="70E19BBF">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1</w:t>
      </w:r>
      <w:r>
        <w:rPr>
          <w:rFonts w:hint="eastAsia" w:ascii="仿宋_GB2312" w:hAnsi="宋体" w:eastAsia="仿宋_GB2312"/>
          <w:sz w:val="24"/>
          <w:highlight w:val="none"/>
        </w:rPr>
        <w:t>）未实质性响应招标文件第四章要求的;</w:t>
      </w:r>
    </w:p>
    <w:p w14:paraId="76856616">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2）投标函与招标文件不符，对投标人的责任和义务提出实质性修改的。</w:t>
      </w:r>
    </w:p>
    <w:p w14:paraId="0D81207B">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3）投标报价不符合招标文件规定的。</w:t>
      </w:r>
    </w:p>
    <w:p w14:paraId="268932C6">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4）投标有效期不符合招标文件规定的。</w:t>
      </w:r>
    </w:p>
    <w:p w14:paraId="2BD3A791">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5）投标保证金不符合招标文件规定的。</w:t>
      </w:r>
    </w:p>
    <w:p w14:paraId="1083B9A4">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6）投标文件签署、盖章、装订和份数不符合招标文件规定的。</w:t>
      </w:r>
    </w:p>
    <w:p w14:paraId="490D57B1">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7）投标报价超过招标文件中规定的预算金额；</w:t>
      </w:r>
    </w:p>
    <w:p w14:paraId="697A0E4B">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8）投标文件没有对招标文件不允许偏离的实质性要求和条件作出明确响应；</w:t>
      </w:r>
    </w:p>
    <w:p w14:paraId="43F25B5A">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9）投标文件对允许负偏离的非实质性要求和条件，超出负偏离的范围和最高负偏离项数；</w:t>
      </w:r>
    </w:p>
    <w:p w14:paraId="70F061A6">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1</w:t>
      </w:r>
      <w:r>
        <w:rPr>
          <w:rFonts w:ascii="仿宋_GB2312" w:eastAsia="仿宋_GB2312"/>
          <w:sz w:val="24"/>
          <w:highlight w:val="none"/>
        </w:rPr>
        <w:t>0</w:t>
      </w:r>
      <w:r>
        <w:rPr>
          <w:rFonts w:hint="eastAsia" w:ascii="仿宋_GB2312" w:eastAsia="仿宋_GB2312"/>
          <w:sz w:val="24"/>
          <w:highlight w:val="none"/>
        </w:rPr>
        <w:t>）不按照招标文件规定报价、拒绝报价、有多个投标报价（招标文件另有规定的除外）、有选择性报价、附有条件的报价或者拒绝修正报价；</w:t>
      </w:r>
    </w:p>
    <w:p w14:paraId="23F151CC">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1</w:t>
      </w:r>
      <w:r>
        <w:rPr>
          <w:rFonts w:ascii="仿宋_GB2312" w:eastAsia="仿宋_GB2312"/>
          <w:sz w:val="24"/>
          <w:highlight w:val="none"/>
        </w:rPr>
        <w:t>1</w:t>
      </w:r>
      <w:r>
        <w:rPr>
          <w:rFonts w:hint="eastAsia" w:ascii="仿宋_GB2312" w:eastAsia="仿宋_GB2312"/>
          <w:sz w:val="24"/>
          <w:highlight w:val="none"/>
        </w:rPr>
        <w:t>）投标文件内容不全、字迹模糊、难以辨认，或未按照规定填写，且经评标委员会评审认为前述情况导致投标人未实质性响应招标文件；</w:t>
      </w:r>
    </w:p>
    <w:p w14:paraId="3E466AA6">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1</w:t>
      </w:r>
      <w:r>
        <w:rPr>
          <w:rFonts w:ascii="仿宋_GB2312" w:eastAsia="仿宋_GB2312"/>
          <w:sz w:val="24"/>
          <w:highlight w:val="none"/>
        </w:rPr>
        <w:t>2</w:t>
      </w:r>
      <w:r>
        <w:rPr>
          <w:rFonts w:hint="eastAsia" w:ascii="仿宋_GB2312" w:eastAsia="仿宋_GB2312"/>
          <w:sz w:val="24"/>
          <w:highlight w:val="none"/>
        </w:rPr>
        <w:t>）投标文件含有招标人不能接受的附加条件，或提供虚假材料；</w:t>
      </w:r>
    </w:p>
    <w:p w14:paraId="7CA61FBF">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1</w:t>
      </w:r>
      <w:r>
        <w:rPr>
          <w:rFonts w:ascii="仿宋_GB2312" w:eastAsia="仿宋_GB2312"/>
          <w:sz w:val="24"/>
          <w:highlight w:val="none"/>
        </w:rPr>
        <w:t>3</w:t>
      </w:r>
      <w:r>
        <w:rPr>
          <w:rFonts w:hint="eastAsia" w:ascii="仿宋_GB2312" w:eastAsia="仿宋_GB2312"/>
          <w:sz w:val="24"/>
          <w:highlight w:val="none"/>
        </w:rPr>
        <w:t>）不同投标人的投标文件由同一单位或者个人编制，或载明的项目管理成员或者联系人员为同一人，或异常一致或者投标报价呈规律性差异，或相互混装；</w:t>
      </w:r>
    </w:p>
    <w:p w14:paraId="7F99F924">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1</w:t>
      </w:r>
      <w:r>
        <w:rPr>
          <w:rFonts w:ascii="仿宋_GB2312" w:eastAsia="仿宋_GB2312"/>
          <w:sz w:val="24"/>
          <w:highlight w:val="none"/>
        </w:rPr>
        <w:t>4</w:t>
      </w:r>
      <w:r>
        <w:rPr>
          <w:rFonts w:hint="eastAsia" w:ascii="仿宋_GB2312" w:eastAsia="仿宋_GB2312"/>
          <w:sz w:val="24"/>
          <w:highlight w:val="none"/>
        </w:rPr>
        <w:t>）不同投标人委托同一单位或者个人办理投标事宜，或投标保证金从同一单位或者个人的账户转出；</w:t>
      </w:r>
    </w:p>
    <w:p w14:paraId="624DBA2B">
      <w:pPr>
        <w:spacing w:line="460" w:lineRule="exact"/>
        <w:ind w:firstLine="480" w:firstLineChars="200"/>
        <w:rPr>
          <w:rFonts w:ascii="仿宋_GB2312" w:eastAsia="仿宋_GB2312"/>
          <w:sz w:val="24"/>
          <w:highlight w:val="none"/>
        </w:rPr>
      </w:pPr>
      <w:r>
        <w:rPr>
          <w:rFonts w:hint="eastAsia" w:ascii="仿宋_GB2312" w:eastAsia="仿宋_GB2312"/>
          <w:sz w:val="24"/>
          <w:highlight w:val="none"/>
        </w:rPr>
        <w:t>1</w:t>
      </w:r>
      <w:r>
        <w:rPr>
          <w:rFonts w:ascii="仿宋_GB2312" w:eastAsia="仿宋_GB2312"/>
          <w:sz w:val="24"/>
          <w:highlight w:val="none"/>
        </w:rPr>
        <w:t>5</w:t>
      </w:r>
      <w:r>
        <w:rPr>
          <w:rFonts w:hint="eastAsia" w:ascii="仿宋_GB2312" w:eastAsia="仿宋_GB2312"/>
          <w:sz w:val="24"/>
          <w:highlight w:val="none"/>
        </w:rPr>
        <w:t>）法律、法规、规章和招标文件中规定的其他无效情形。</w:t>
      </w:r>
    </w:p>
    <w:p w14:paraId="7C2BA32B">
      <w:pPr>
        <w:spacing w:line="460" w:lineRule="exact"/>
        <w:ind w:firstLine="480" w:firstLineChars="200"/>
        <w:outlineLvl w:val="3"/>
        <w:rPr>
          <w:rFonts w:ascii="仿宋_GB2312" w:eastAsia="仿宋_GB2312"/>
          <w:sz w:val="24"/>
          <w:highlight w:val="none"/>
        </w:rPr>
      </w:pPr>
      <w:r>
        <w:rPr>
          <w:rFonts w:ascii="仿宋_GB2312" w:eastAsia="仿宋_GB2312"/>
          <w:sz w:val="24"/>
          <w:highlight w:val="none"/>
        </w:rPr>
        <w:t>22.4</w:t>
      </w:r>
      <w:r>
        <w:rPr>
          <w:rFonts w:hint="eastAsia" w:ascii="仿宋_GB2312" w:eastAsia="仿宋_GB2312"/>
          <w:sz w:val="24"/>
          <w:highlight w:val="none"/>
        </w:rPr>
        <w:t>投标文件的澄清</w:t>
      </w:r>
    </w:p>
    <w:p w14:paraId="0B121530">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22.4.1</w:t>
      </w:r>
      <w:r>
        <w:rPr>
          <w:rFonts w:hint="eastAsia" w:ascii="仿宋_GB2312" w:hAnsi="宋体" w:eastAsia="仿宋_GB2312"/>
          <w:sz w:val="24"/>
          <w:highlight w:val="none"/>
        </w:rPr>
        <w:t>在评标过程中，对于投标文件中含义不明确、同类问题表述不一致或者有明显文字和计算错误的内容，评标委员会应当以书面形式要求投标人作出必要的澄清、说明或者补正。招标人和评标委员会不接受投标人主动提出的澄清、说明。</w:t>
      </w:r>
    </w:p>
    <w:p w14:paraId="42DE2554">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22.4.2</w:t>
      </w:r>
      <w:r>
        <w:rPr>
          <w:rFonts w:hint="eastAsia" w:ascii="仿宋_GB2312" w:hAnsi="宋体" w:eastAsia="仿宋_GB2312"/>
          <w:sz w:val="24"/>
          <w:highlight w:val="none"/>
        </w:rPr>
        <w:t>投标人的澄清、说明或者补正应当采用书面形式，并加盖公章，或者由法定代表人或其委托代理人签字。由委托代理人签字的，应当附法定代表人授权书；投标人为自然人的，应当由本人签字并附身份证明。投标人的澄清、说明或者补正不得超出投标文件的范围或者改变投标文件的实质性内容，并构成投标文件的组成部分。</w:t>
      </w:r>
    </w:p>
    <w:p w14:paraId="2E4F2A04">
      <w:pPr>
        <w:spacing w:line="460" w:lineRule="exact"/>
        <w:ind w:firstLine="480" w:firstLineChars="200"/>
        <w:outlineLvl w:val="3"/>
        <w:rPr>
          <w:rFonts w:ascii="仿宋_GB2312" w:eastAsia="仿宋_GB2312"/>
          <w:sz w:val="24"/>
          <w:highlight w:val="none"/>
        </w:rPr>
      </w:pPr>
      <w:r>
        <w:rPr>
          <w:rFonts w:ascii="仿宋_GB2312" w:eastAsia="仿宋_GB2312"/>
          <w:sz w:val="24"/>
          <w:highlight w:val="none"/>
        </w:rPr>
        <w:t>22.5.</w:t>
      </w:r>
      <w:r>
        <w:rPr>
          <w:rFonts w:hint="eastAsia" w:ascii="仿宋_GB2312" w:eastAsia="仿宋_GB2312"/>
          <w:sz w:val="24"/>
          <w:highlight w:val="none"/>
        </w:rPr>
        <w:t>详细评审</w:t>
      </w:r>
    </w:p>
    <w:p w14:paraId="4629DF77">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22.5.1</w:t>
      </w:r>
      <w:r>
        <w:rPr>
          <w:rFonts w:hint="eastAsia" w:ascii="仿宋_GB2312" w:hAnsi="宋体" w:eastAsia="仿宋_GB2312"/>
          <w:sz w:val="24"/>
          <w:highlight w:val="none"/>
        </w:rPr>
        <w:t>评标委员会对资格性、符合性审查合格的投标文件进行商务和技术评估，综合比较与评价。评标委员会依据本章“附表”规定的标准，对满足招标文件全部实质性要求和条件的投标文件进行综合评分。</w:t>
      </w:r>
      <w:bookmarkStart w:id="45" w:name="_Hlk517303941"/>
      <w:r>
        <w:rPr>
          <w:rFonts w:hint="eastAsia" w:ascii="仿宋_GB2312" w:hAnsi="宋体" w:eastAsia="仿宋_GB2312"/>
          <w:sz w:val="24"/>
          <w:highlight w:val="none"/>
        </w:rPr>
        <w:t>评分分值计算保留小数点后两位，小数点后第三位“四舍五入”。</w:t>
      </w:r>
      <w:bookmarkEnd w:id="45"/>
    </w:p>
    <w:p w14:paraId="5AA40156">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22.5.2</w:t>
      </w:r>
      <w:r>
        <w:rPr>
          <w:rFonts w:hint="eastAsia" w:ascii="仿宋_GB2312" w:hAnsi="宋体" w:eastAsia="仿宋_GB2312"/>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50DF30B">
      <w:pPr>
        <w:spacing w:line="460" w:lineRule="exact"/>
        <w:ind w:firstLine="480" w:firstLineChars="200"/>
        <w:outlineLvl w:val="3"/>
        <w:rPr>
          <w:rFonts w:ascii="仿宋_GB2312" w:eastAsia="仿宋_GB2312"/>
          <w:sz w:val="24"/>
          <w:highlight w:val="none"/>
        </w:rPr>
      </w:pPr>
      <w:r>
        <w:rPr>
          <w:rFonts w:ascii="仿宋_GB2312" w:eastAsia="仿宋_GB2312"/>
          <w:sz w:val="24"/>
          <w:highlight w:val="none"/>
        </w:rPr>
        <w:t>22.6</w:t>
      </w:r>
      <w:r>
        <w:rPr>
          <w:rFonts w:hint="eastAsia" w:ascii="仿宋_GB2312" w:eastAsia="仿宋_GB2312"/>
          <w:sz w:val="24"/>
          <w:highlight w:val="none"/>
        </w:rPr>
        <w:t>评标结果</w:t>
      </w:r>
    </w:p>
    <w:p w14:paraId="3BC1E56F">
      <w:pPr>
        <w:spacing w:line="420" w:lineRule="exact"/>
        <w:ind w:firstLine="480" w:firstLineChars="200"/>
        <w:rPr>
          <w:rFonts w:ascii="仿宋_GB2312" w:hAnsi="宋体" w:eastAsia="仿宋_GB2312"/>
          <w:sz w:val="24"/>
          <w:highlight w:val="none"/>
        </w:rPr>
      </w:pPr>
      <w:bookmarkStart w:id="46" w:name="_Hlk515223827"/>
      <w:bookmarkStart w:id="47" w:name="_Hlk508142167"/>
      <w:bookmarkStart w:id="48" w:name="_Hlk518421957"/>
      <w:r>
        <w:rPr>
          <w:rFonts w:ascii="仿宋_GB2312" w:hAnsi="宋体" w:eastAsia="仿宋_GB2312"/>
          <w:sz w:val="24"/>
          <w:highlight w:val="none"/>
        </w:rPr>
        <w:t>22.6.1</w:t>
      </w:r>
      <w:r>
        <w:rPr>
          <w:rFonts w:hint="eastAsia" w:ascii="仿宋_GB2312" w:hAnsi="宋体" w:eastAsia="仿宋_GB2312"/>
          <w:sz w:val="24"/>
          <w:highlight w:val="none"/>
        </w:rPr>
        <w:t>除第二章投标人须知前附表授权评标委员会直接确定中标人外，评标结果按评审后得分由高到低顺序排列。得分相同的，按投标报价由低到高顺序排列；得分且投标报价相同的，按技术标得分由高到低的顺序排列；技术标得分仍相同的，由招标人或者招标人委托评标委员会采取随机抽取的方式确定顺序。</w:t>
      </w:r>
      <w:bookmarkEnd w:id="46"/>
    </w:p>
    <w:bookmarkEnd w:id="47"/>
    <w:p w14:paraId="2E20A4D8">
      <w:pPr>
        <w:spacing w:line="420" w:lineRule="exact"/>
        <w:ind w:firstLine="480" w:firstLineChars="200"/>
        <w:rPr>
          <w:rFonts w:ascii="仿宋_GB2312" w:hAnsi="宋体" w:eastAsia="仿宋_GB2312"/>
          <w:sz w:val="24"/>
          <w:highlight w:val="none"/>
        </w:rPr>
      </w:pPr>
      <w:r>
        <w:rPr>
          <w:rFonts w:ascii="仿宋_GB2312" w:hAnsi="宋体" w:eastAsia="仿宋_GB2312"/>
          <w:sz w:val="24"/>
          <w:highlight w:val="none"/>
        </w:rPr>
        <w:t>22.6.2</w:t>
      </w:r>
      <w:r>
        <w:rPr>
          <w:rFonts w:hint="eastAsia" w:ascii="仿宋_GB2312" w:hAnsi="宋体" w:eastAsia="仿宋_GB2312"/>
          <w:sz w:val="24"/>
          <w:highlight w:val="none"/>
        </w:rPr>
        <w:t>评标委员会完成评标后，应当向招标人提交书面评标报告和中标候选人名单。</w:t>
      </w:r>
    </w:p>
    <w:p w14:paraId="2B9EF374">
      <w:pPr>
        <w:spacing w:line="420" w:lineRule="exact"/>
        <w:ind w:firstLine="480" w:firstLineChars="200"/>
        <w:rPr>
          <w:rFonts w:ascii="仿宋_GB2312" w:hAnsi="宋体" w:eastAsia="仿宋_GB2312"/>
          <w:sz w:val="24"/>
          <w:highlight w:val="none"/>
        </w:rPr>
      </w:pPr>
      <w:r>
        <w:rPr>
          <w:rFonts w:ascii="仿宋_GB2312" w:hAnsi="宋体" w:eastAsia="仿宋_GB2312"/>
          <w:sz w:val="24"/>
          <w:highlight w:val="none"/>
        </w:rPr>
        <w:t>22.6.3</w:t>
      </w:r>
      <w:r>
        <w:rPr>
          <w:rFonts w:hint="eastAsia" w:ascii="仿宋_GB2312" w:hAnsi="宋体" w:eastAsia="仿宋_GB2312"/>
          <w:sz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48"/>
    <w:p w14:paraId="39B7FE7F">
      <w:pPr>
        <w:spacing w:line="460" w:lineRule="exact"/>
        <w:ind w:firstLine="480" w:firstLineChars="200"/>
        <w:rPr>
          <w:rFonts w:ascii="黑体" w:hAnsi="宋体" w:eastAsia="黑体"/>
          <w:sz w:val="24"/>
          <w:highlight w:val="none"/>
        </w:rPr>
      </w:pPr>
      <w:r>
        <w:rPr>
          <w:rFonts w:hint="eastAsia" w:ascii="黑体" w:hAnsi="宋体" w:eastAsia="黑体"/>
          <w:sz w:val="24"/>
          <w:highlight w:val="none"/>
        </w:rPr>
        <w:t>注：</w:t>
      </w:r>
    </w:p>
    <w:p w14:paraId="0AE9A418">
      <w:pPr>
        <w:spacing w:line="460" w:lineRule="exact"/>
        <w:ind w:firstLine="480" w:firstLineChars="200"/>
        <w:rPr>
          <w:rFonts w:ascii="黑体" w:hAnsi="宋体" w:eastAsia="黑体"/>
          <w:sz w:val="24"/>
          <w:highlight w:val="none"/>
        </w:rPr>
      </w:pPr>
      <w:bookmarkStart w:id="49" w:name="_Hlk521840317"/>
      <w:r>
        <w:rPr>
          <w:rFonts w:hint="eastAsia" w:ascii="黑体" w:hAnsi="宋体" w:eastAsia="黑体"/>
          <w:sz w:val="24"/>
          <w:highlight w:val="none"/>
        </w:rPr>
        <w:t>招标人有权对中标候选人进行实地考察，考察内容包括但不限于招标文件、投标文件的内容。</w:t>
      </w:r>
    </w:p>
    <w:p w14:paraId="4F1C356F">
      <w:pPr>
        <w:spacing w:line="460" w:lineRule="exact"/>
        <w:ind w:firstLine="480" w:firstLineChars="200"/>
        <w:rPr>
          <w:rFonts w:ascii="黑体" w:hAnsi="宋体" w:eastAsia="黑体"/>
          <w:sz w:val="24"/>
          <w:highlight w:val="none"/>
        </w:rPr>
      </w:pPr>
      <w:r>
        <w:rPr>
          <w:rFonts w:hint="eastAsia" w:ascii="黑体" w:hAnsi="宋体" w:eastAsia="黑体"/>
          <w:sz w:val="24"/>
          <w:highlight w:val="none"/>
        </w:rPr>
        <w:t>实地考察结果与招标文件、投标文件内容不符合的，取消中标资格或中标候选资格；招标人按中标候选人排名依次确定中标人或重新组织招标。</w:t>
      </w:r>
    </w:p>
    <w:p w14:paraId="51CABFA4">
      <w:pPr>
        <w:spacing w:line="460" w:lineRule="exact"/>
        <w:ind w:firstLine="480" w:firstLineChars="200"/>
        <w:rPr>
          <w:rFonts w:ascii="黑体" w:hAnsi="宋体" w:eastAsia="黑体"/>
          <w:sz w:val="24"/>
          <w:highlight w:val="none"/>
        </w:rPr>
      </w:pPr>
      <w:r>
        <w:rPr>
          <w:rFonts w:hint="eastAsia" w:ascii="黑体" w:hAnsi="宋体" w:eastAsia="黑体"/>
          <w:sz w:val="24"/>
          <w:highlight w:val="none"/>
        </w:rPr>
        <w:t>中标人因不可抗力或违反本项目合同约定或放弃中标资格的，招标人按中标候选人排名依次确定中标人或重新招标。</w:t>
      </w:r>
    </w:p>
    <w:bookmarkEnd w:id="49"/>
    <w:p w14:paraId="3822129F">
      <w:pPr>
        <w:spacing w:line="460" w:lineRule="exact"/>
        <w:ind w:firstLine="480" w:firstLineChars="200"/>
        <w:outlineLvl w:val="2"/>
        <w:rPr>
          <w:rFonts w:ascii="黑体" w:hAnsi="宋体" w:eastAsia="黑体"/>
          <w:sz w:val="24"/>
          <w:highlight w:val="none"/>
        </w:rPr>
      </w:pPr>
      <w:bookmarkStart w:id="50" w:name="_Toc11851490"/>
      <w:r>
        <w:rPr>
          <w:rFonts w:hint="eastAsia" w:ascii="黑体" w:hAnsi="宋体" w:eastAsia="黑体"/>
          <w:sz w:val="24"/>
          <w:highlight w:val="none"/>
        </w:rPr>
        <w:t>2</w:t>
      </w:r>
      <w:r>
        <w:rPr>
          <w:rFonts w:ascii="黑体" w:hAnsi="宋体" w:eastAsia="黑体"/>
          <w:sz w:val="24"/>
          <w:highlight w:val="none"/>
        </w:rPr>
        <w:t>3.</w:t>
      </w:r>
      <w:r>
        <w:rPr>
          <w:rFonts w:hint="eastAsia" w:ascii="黑体" w:hAnsi="宋体" w:eastAsia="黑体"/>
          <w:sz w:val="24"/>
          <w:highlight w:val="none"/>
        </w:rPr>
        <w:t>定标</w:t>
      </w:r>
      <w:bookmarkEnd w:id="50"/>
    </w:p>
    <w:p w14:paraId="2153F21C">
      <w:pPr>
        <w:spacing w:line="460" w:lineRule="exact"/>
        <w:ind w:firstLine="480" w:firstLineChars="200"/>
        <w:rPr>
          <w:rFonts w:hint="eastAsia" w:ascii="黑体" w:hAnsi="宋体" w:eastAsia="黑体"/>
          <w:sz w:val="24"/>
          <w:highlight w:val="none"/>
        </w:rPr>
      </w:pPr>
      <w:r>
        <w:rPr>
          <w:rFonts w:hint="eastAsia" w:ascii="黑体" w:hAnsi="宋体" w:eastAsia="黑体"/>
          <w:sz w:val="24"/>
          <w:highlight w:val="none"/>
        </w:rPr>
        <w:t>按照投标人须知前附表的规定，招标人授权评标委员会确定中标人。</w:t>
      </w:r>
    </w:p>
    <w:p w14:paraId="5334E504">
      <w:pPr>
        <w:spacing w:before="100" w:beforeAutospacing="1" w:after="100" w:afterAutospacing="1"/>
        <w:jc w:val="center"/>
        <w:outlineLvl w:val="1"/>
        <w:rPr>
          <w:rFonts w:ascii="黑体" w:hAnsi="宋体" w:eastAsia="黑体"/>
          <w:sz w:val="24"/>
          <w:highlight w:val="none"/>
        </w:rPr>
      </w:pPr>
      <w:bookmarkStart w:id="51" w:name="_Toc11851491"/>
      <w:r>
        <w:rPr>
          <w:rFonts w:hint="eastAsia" w:ascii="黑体" w:hAnsi="宋体" w:eastAsia="黑体"/>
          <w:sz w:val="24"/>
          <w:highlight w:val="none"/>
        </w:rPr>
        <w:t>六、合同的授予</w:t>
      </w:r>
      <w:bookmarkEnd w:id="51"/>
    </w:p>
    <w:p w14:paraId="31ECD5E0">
      <w:pPr>
        <w:spacing w:line="420" w:lineRule="exact"/>
        <w:ind w:firstLine="480" w:firstLineChars="200"/>
        <w:outlineLvl w:val="2"/>
        <w:rPr>
          <w:rFonts w:ascii="黑体" w:hAnsi="宋体" w:eastAsia="黑体"/>
          <w:sz w:val="24"/>
          <w:highlight w:val="none"/>
        </w:rPr>
      </w:pPr>
      <w:bookmarkStart w:id="52" w:name="_Toc11851492"/>
      <w:bookmarkStart w:id="53" w:name="_Hlk521842398"/>
      <w:r>
        <w:rPr>
          <w:rFonts w:hint="eastAsia" w:ascii="黑体" w:hAnsi="宋体" w:eastAsia="黑体"/>
          <w:sz w:val="24"/>
          <w:highlight w:val="none"/>
        </w:rPr>
        <w:t>2</w:t>
      </w:r>
      <w:r>
        <w:rPr>
          <w:rFonts w:ascii="黑体" w:hAnsi="宋体" w:eastAsia="黑体"/>
          <w:sz w:val="24"/>
          <w:highlight w:val="none"/>
        </w:rPr>
        <w:t>4</w:t>
      </w:r>
      <w:r>
        <w:rPr>
          <w:rFonts w:hint="eastAsia" w:ascii="黑体" w:hAnsi="宋体" w:eastAsia="黑体"/>
          <w:sz w:val="24"/>
          <w:highlight w:val="none"/>
        </w:rPr>
        <w:t>.中标通知</w:t>
      </w:r>
      <w:bookmarkEnd w:id="52"/>
    </w:p>
    <w:p w14:paraId="0F973C15">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在</w:t>
      </w:r>
      <w:r>
        <w:rPr>
          <w:rFonts w:hint="eastAsia" w:ascii="仿宋_GB2312" w:hAnsi="宋体" w:eastAsia="仿宋_GB2312"/>
          <w:sz w:val="24"/>
          <w:highlight w:val="none"/>
        </w:rPr>
        <w:t>投标有效期内，招标人以书面形式向中标人发出中标通知书，同时将中标结果通知未中标的投标人（投标人可登陆原公告发布媒体查阅中标结果）。</w:t>
      </w:r>
    </w:p>
    <w:p w14:paraId="1D5D1DF9">
      <w:pPr>
        <w:spacing w:line="420" w:lineRule="exact"/>
        <w:ind w:firstLine="480" w:firstLineChars="200"/>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5</w:t>
      </w:r>
      <w:r>
        <w:rPr>
          <w:rFonts w:hint="eastAsia" w:ascii="黑体" w:hAnsi="宋体" w:eastAsia="黑体"/>
          <w:sz w:val="24"/>
          <w:highlight w:val="none"/>
        </w:rPr>
        <w:t>.履约保证金</w:t>
      </w:r>
    </w:p>
    <w:p w14:paraId="739FCB62">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w:t>
      </w:r>
      <w:r>
        <w:rPr>
          <w:rFonts w:ascii="仿宋_GB2312" w:hAnsi="宋体" w:eastAsia="仿宋_GB2312"/>
          <w:sz w:val="24"/>
          <w:highlight w:val="none"/>
        </w:rPr>
        <w:t>5.1</w:t>
      </w:r>
      <w:r>
        <w:rPr>
          <w:rFonts w:hint="eastAsia" w:ascii="仿宋_GB2312" w:hAnsi="宋体" w:eastAsia="仿宋_GB2312"/>
          <w:sz w:val="24"/>
          <w:highlight w:val="none"/>
        </w:rPr>
        <w:t>招标文件有规定的，中标人应按招标文件规定的形式、金额向招标人提交履约保证金。</w:t>
      </w:r>
    </w:p>
    <w:p w14:paraId="5D17B4FB">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25.2</w:t>
      </w:r>
      <w:r>
        <w:rPr>
          <w:rFonts w:hint="eastAsia" w:ascii="仿宋_GB2312" w:hAnsi="宋体" w:eastAsia="仿宋_GB2312"/>
          <w:sz w:val="24"/>
          <w:highlight w:val="none"/>
        </w:rPr>
        <w:t>中标人不能按本章第</w:t>
      </w:r>
      <w:r>
        <w:rPr>
          <w:rFonts w:ascii="仿宋_GB2312" w:hAnsi="宋体" w:eastAsia="仿宋_GB2312"/>
          <w:sz w:val="24"/>
          <w:highlight w:val="none"/>
        </w:rPr>
        <w:t>25.1</w:t>
      </w:r>
      <w:r>
        <w:rPr>
          <w:rFonts w:hint="eastAsia" w:ascii="仿宋_GB2312" w:hAnsi="宋体" w:eastAsia="仿宋_GB2312"/>
          <w:sz w:val="24"/>
          <w:highlight w:val="none"/>
        </w:rPr>
        <w:t>项要求提交履约保证金的，视为放弃中标，其投标保证金不予退还，给招标人造成的损失超过投标保证金数额的，中标人还应当对超过部分予以赔偿。</w:t>
      </w:r>
    </w:p>
    <w:p w14:paraId="65680503">
      <w:pPr>
        <w:spacing w:line="420" w:lineRule="exact"/>
        <w:ind w:firstLine="480" w:firstLineChars="200"/>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6.</w:t>
      </w:r>
      <w:r>
        <w:rPr>
          <w:rFonts w:hint="eastAsia" w:ascii="黑体" w:hAnsi="宋体" w:eastAsia="黑体"/>
          <w:sz w:val="24"/>
          <w:highlight w:val="none"/>
        </w:rPr>
        <w:t>签订合同</w:t>
      </w:r>
    </w:p>
    <w:p w14:paraId="2FA0F3BD">
      <w:pPr>
        <w:spacing w:line="420" w:lineRule="exact"/>
        <w:ind w:firstLine="480" w:firstLineChars="200"/>
        <w:rPr>
          <w:rFonts w:ascii="仿宋_GB2312" w:hAnsi="宋体" w:eastAsia="仿宋_GB2312"/>
          <w:sz w:val="24"/>
          <w:highlight w:val="none"/>
        </w:rPr>
      </w:pPr>
      <w:r>
        <w:rPr>
          <w:rFonts w:ascii="仿宋_GB2312" w:hAnsi="宋体" w:eastAsia="仿宋_GB2312"/>
          <w:sz w:val="24"/>
          <w:highlight w:val="none"/>
        </w:rPr>
        <w:t>26.1</w:t>
      </w:r>
      <w:r>
        <w:rPr>
          <w:rFonts w:hint="eastAsia" w:ascii="仿宋_GB2312" w:hAnsi="宋体" w:eastAsia="仿宋_GB2312"/>
          <w:sz w:val="24"/>
          <w:highlight w:val="none"/>
        </w:rPr>
        <w:t>招标人和中标人应当在中标通知书发出之日起</w:t>
      </w:r>
      <w:r>
        <w:rPr>
          <w:rFonts w:ascii="仿宋_GB2312" w:hAnsi="宋体" w:eastAsia="仿宋_GB2312"/>
          <w:sz w:val="24"/>
          <w:highlight w:val="none"/>
        </w:rPr>
        <w:t>30</w:t>
      </w:r>
      <w:r>
        <w:rPr>
          <w:rFonts w:hint="eastAsia" w:ascii="仿宋_GB2312" w:hAnsi="宋体" w:eastAsia="仿宋_GB2312"/>
          <w:sz w:val="24"/>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40CAC99">
      <w:pPr>
        <w:spacing w:line="420" w:lineRule="exact"/>
        <w:ind w:firstLine="480" w:firstLineChars="200"/>
        <w:rPr>
          <w:rFonts w:ascii="仿宋_GB2312" w:hAnsi="宋体" w:eastAsia="仿宋_GB2312"/>
          <w:sz w:val="24"/>
          <w:highlight w:val="none"/>
        </w:rPr>
      </w:pPr>
      <w:r>
        <w:rPr>
          <w:rFonts w:ascii="仿宋_GB2312" w:hAnsi="宋体" w:eastAsia="仿宋_GB2312"/>
          <w:sz w:val="24"/>
          <w:highlight w:val="none"/>
        </w:rPr>
        <w:t>26.2</w:t>
      </w:r>
      <w:r>
        <w:rPr>
          <w:rFonts w:hint="eastAsia" w:ascii="仿宋_GB2312" w:hAnsi="宋体" w:eastAsia="仿宋_GB2312"/>
          <w:sz w:val="24"/>
          <w:highlight w:val="none"/>
        </w:rPr>
        <w:t>发出中标通知书后，招标人无正当理由拒签合同，或者在签订合同时向中标人提出附加条件的，招标人向中标人退还投标保证金；给中标人造成损失的，还应当赔偿损失。</w:t>
      </w:r>
    </w:p>
    <w:p w14:paraId="72505B5E">
      <w:pPr>
        <w:spacing w:before="100" w:beforeAutospacing="1" w:after="100" w:afterAutospacing="1"/>
        <w:jc w:val="center"/>
        <w:rPr>
          <w:rFonts w:ascii="黑体" w:hAnsi="宋体" w:eastAsia="黑体"/>
          <w:sz w:val="24"/>
          <w:highlight w:val="none"/>
        </w:rPr>
      </w:pPr>
      <w:r>
        <w:rPr>
          <w:rFonts w:hint="eastAsia" w:ascii="黑体" w:hAnsi="宋体" w:eastAsia="黑体"/>
          <w:sz w:val="24"/>
          <w:highlight w:val="none"/>
        </w:rPr>
        <w:t>七、其他</w:t>
      </w:r>
    </w:p>
    <w:p w14:paraId="40A14EE7">
      <w:pPr>
        <w:spacing w:line="460" w:lineRule="exact"/>
        <w:ind w:firstLine="480" w:firstLineChars="200"/>
        <w:outlineLvl w:val="2"/>
        <w:rPr>
          <w:rFonts w:ascii="黑体" w:hAnsi="宋体" w:eastAsia="黑体"/>
          <w:sz w:val="24"/>
          <w:highlight w:val="none"/>
        </w:rPr>
      </w:pPr>
      <w:bookmarkStart w:id="54" w:name="_Toc11851493"/>
      <w:r>
        <w:rPr>
          <w:rFonts w:ascii="黑体" w:hAnsi="宋体" w:eastAsia="黑体"/>
          <w:sz w:val="24"/>
          <w:highlight w:val="none"/>
        </w:rPr>
        <w:t>27</w:t>
      </w:r>
      <w:r>
        <w:rPr>
          <w:rFonts w:hint="eastAsia" w:ascii="黑体" w:hAnsi="宋体" w:eastAsia="黑体"/>
          <w:sz w:val="24"/>
          <w:highlight w:val="none"/>
        </w:rPr>
        <w:t>.招标代理服务费</w:t>
      </w:r>
      <w:bookmarkEnd w:id="54"/>
    </w:p>
    <w:p w14:paraId="3CB989CE">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27</w:t>
      </w:r>
      <w:r>
        <w:rPr>
          <w:rFonts w:hint="eastAsia" w:ascii="仿宋_GB2312" w:hAnsi="宋体" w:eastAsia="仿宋_GB2312"/>
          <w:sz w:val="24"/>
          <w:highlight w:val="none"/>
        </w:rPr>
        <w:t>.1中标人应在签订合同后五个工作日内，按</w:t>
      </w:r>
      <w:r>
        <w:rPr>
          <w:rFonts w:hint="eastAsia" w:ascii="仿宋_GB2312" w:hAnsi="宋体" w:eastAsia="仿宋_GB2312"/>
          <w:sz w:val="24"/>
          <w:highlight w:val="none"/>
          <w:u w:val="single"/>
        </w:rPr>
        <w:t>10000</w:t>
      </w:r>
      <w:r>
        <w:rPr>
          <w:rFonts w:hint="eastAsia" w:ascii="仿宋_GB2312" w:hAnsi="宋体" w:eastAsia="仿宋_GB2312"/>
          <w:sz w:val="24"/>
          <w:highlight w:val="none"/>
        </w:rPr>
        <w:t>元的标准向招标代理机构交纳中标服务费。</w:t>
      </w:r>
    </w:p>
    <w:p w14:paraId="29A13869">
      <w:pPr>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27</w:t>
      </w:r>
      <w:r>
        <w:rPr>
          <w:rFonts w:hint="eastAsia" w:ascii="仿宋_GB2312" w:hAnsi="宋体" w:eastAsia="仿宋_GB2312"/>
          <w:sz w:val="24"/>
          <w:highlight w:val="none"/>
        </w:rPr>
        <w:t>.2如果中标人没有按照本须知第</w:t>
      </w:r>
      <w:r>
        <w:rPr>
          <w:rFonts w:ascii="仿宋_GB2312" w:hAnsi="宋体" w:eastAsia="仿宋_GB2312"/>
          <w:sz w:val="24"/>
          <w:highlight w:val="none"/>
        </w:rPr>
        <w:t>27</w:t>
      </w:r>
      <w:r>
        <w:rPr>
          <w:rFonts w:hint="eastAsia" w:ascii="仿宋_GB2312" w:hAnsi="宋体" w:eastAsia="仿宋_GB2312"/>
          <w:sz w:val="24"/>
          <w:highlight w:val="none"/>
        </w:rPr>
        <w:t>.1款的规定执行，招标人将取消该中标决定，并没收其投标保证金。在此情况下，招标人可将标授予下一个中标候选人，或重新招标。</w:t>
      </w:r>
    </w:p>
    <w:p w14:paraId="1867C5E8">
      <w:pPr>
        <w:spacing w:line="460" w:lineRule="exact"/>
        <w:ind w:firstLine="480" w:firstLineChars="200"/>
        <w:outlineLvl w:val="2"/>
        <w:rPr>
          <w:rFonts w:ascii="黑体" w:hAnsi="宋体" w:eastAsia="黑体"/>
          <w:sz w:val="24"/>
          <w:highlight w:val="none"/>
        </w:rPr>
      </w:pPr>
      <w:bookmarkStart w:id="55" w:name="_Toc11851494"/>
      <w:r>
        <w:rPr>
          <w:rFonts w:ascii="黑体" w:hAnsi="宋体" w:eastAsia="黑体"/>
          <w:sz w:val="24"/>
          <w:highlight w:val="none"/>
        </w:rPr>
        <w:t>28</w:t>
      </w:r>
      <w:r>
        <w:rPr>
          <w:rFonts w:hint="eastAsia" w:ascii="黑体" w:hAnsi="宋体" w:eastAsia="黑体"/>
          <w:sz w:val="24"/>
          <w:highlight w:val="none"/>
        </w:rPr>
        <w:t>.知识产权</w:t>
      </w:r>
      <w:bookmarkEnd w:id="55"/>
    </w:p>
    <w:p w14:paraId="7A5D1A37">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28</w:t>
      </w:r>
      <w:r>
        <w:rPr>
          <w:rFonts w:hint="eastAsia" w:ascii="仿宋_GB2312" w:hAnsi="宋体" w:eastAsia="仿宋_GB2312"/>
          <w:sz w:val="24"/>
          <w:highlight w:val="none"/>
        </w:rPr>
        <w:t>.1投标报价应包括所有涉及到的有关专利权、商标权、版权或其他知识产权而需要向其他方支付的所有费用。</w:t>
      </w:r>
    </w:p>
    <w:p w14:paraId="59BB674D">
      <w:pPr>
        <w:spacing w:line="460" w:lineRule="exact"/>
        <w:ind w:firstLine="480" w:firstLineChars="200"/>
        <w:rPr>
          <w:rFonts w:ascii="仿宋_GB2312" w:hAnsi="宋体" w:eastAsia="仿宋_GB2312"/>
          <w:sz w:val="24"/>
          <w:highlight w:val="none"/>
        </w:rPr>
      </w:pPr>
      <w:r>
        <w:rPr>
          <w:rFonts w:ascii="仿宋_GB2312" w:hAnsi="宋体" w:eastAsia="仿宋_GB2312"/>
          <w:sz w:val="24"/>
          <w:highlight w:val="none"/>
        </w:rPr>
        <w:t>28</w:t>
      </w:r>
      <w:r>
        <w:rPr>
          <w:rFonts w:hint="eastAsia" w:ascii="仿宋_GB2312" w:hAnsi="宋体" w:eastAsia="仿宋_GB2312"/>
          <w:sz w:val="24"/>
          <w:highlight w:val="none"/>
        </w:rPr>
        <w:t>.2投标人应保证招标人在中华人民共和国使用合同项下的货物、技术或其任何一部分时，免受第三方提出侵犯其专利权、商标权、版权或其他知识产权的起诉。否则投标人须承担对第三方的专利、商标、版权或其他知识产权的侵权责任并承担因此而发生的所有费用。</w:t>
      </w:r>
      <w:bookmarkEnd w:id="53"/>
    </w:p>
    <w:p w14:paraId="1211418E">
      <w:pPr>
        <w:spacing w:line="460" w:lineRule="exact"/>
        <w:outlineLvl w:val="2"/>
        <w:rPr>
          <w:rFonts w:ascii="黑体" w:hAnsi="宋体" w:eastAsia="黑体"/>
          <w:sz w:val="24"/>
          <w:highlight w:val="none"/>
        </w:rPr>
      </w:pPr>
      <w:r>
        <w:rPr>
          <w:rFonts w:ascii="仿宋_GB2312" w:hAnsi="宋体" w:eastAsia="仿宋_GB2312"/>
          <w:b/>
          <w:sz w:val="30"/>
          <w:szCs w:val="30"/>
          <w:highlight w:val="none"/>
        </w:rPr>
        <w:br w:type="page"/>
      </w:r>
      <w:bookmarkStart w:id="56" w:name="_Toc11851495"/>
      <w:r>
        <w:rPr>
          <w:rFonts w:hint="eastAsia" w:ascii="黑体" w:hAnsi="宋体" w:eastAsia="黑体"/>
          <w:sz w:val="24"/>
          <w:highlight w:val="none"/>
        </w:rPr>
        <w:t>附表：</w:t>
      </w:r>
      <w:bookmarkEnd w:id="56"/>
    </w:p>
    <w:p w14:paraId="65DBD8FC">
      <w:pPr>
        <w:spacing w:before="100" w:beforeAutospacing="1" w:after="100" w:afterAutospacing="1"/>
        <w:jc w:val="center"/>
        <w:outlineLvl w:val="3"/>
        <w:rPr>
          <w:rFonts w:ascii="黑体" w:hAnsi="宋体" w:eastAsia="黑体"/>
          <w:sz w:val="24"/>
          <w:highlight w:val="none"/>
        </w:rPr>
      </w:pPr>
      <w:r>
        <w:rPr>
          <w:rFonts w:hint="eastAsia" w:ascii="黑体" w:hAnsi="宋体" w:eastAsia="黑体"/>
          <w:sz w:val="24"/>
          <w:highlight w:val="none"/>
        </w:rPr>
        <w:t>综合评分法细则</w:t>
      </w:r>
    </w:p>
    <w:tbl>
      <w:tblPr>
        <w:tblStyle w:val="4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46"/>
        <w:gridCol w:w="832"/>
        <w:gridCol w:w="6324"/>
      </w:tblGrid>
      <w:tr w14:paraId="200C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04" w:type="dxa"/>
            <w:gridSpan w:val="2"/>
            <w:shd w:val="clear" w:color="auto" w:fill="auto"/>
            <w:vAlign w:val="center"/>
          </w:tcPr>
          <w:p w14:paraId="1321B9E0">
            <w:pPr>
              <w:jc w:val="center"/>
              <w:rPr>
                <w:rFonts w:ascii="仿宋_GB2312" w:hAnsi="宋体" w:eastAsia="仿宋_GB2312"/>
                <w:sz w:val="24"/>
                <w:highlight w:val="none"/>
              </w:rPr>
            </w:pPr>
            <w:r>
              <w:rPr>
                <w:rFonts w:hint="eastAsia" w:ascii="仿宋_GB2312" w:hAnsi="宋体" w:eastAsia="仿宋_GB2312"/>
                <w:sz w:val="24"/>
                <w:highlight w:val="none"/>
              </w:rPr>
              <w:t>评分因素</w:t>
            </w:r>
          </w:p>
        </w:tc>
        <w:tc>
          <w:tcPr>
            <w:tcW w:w="832" w:type="dxa"/>
            <w:shd w:val="clear" w:color="auto" w:fill="auto"/>
            <w:vAlign w:val="center"/>
          </w:tcPr>
          <w:p w14:paraId="033794EB">
            <w:pPr>
              <w:jc w:val="center"/>
              <w:rPr>
                <w:rFonts w:ascii="仿宋_GB2312" w:hAnsi="宋体" w:eastAsia="仿宋_GB2312"/>
                <w:sz w:val="24"/>
                <w:highlight w:val="none"/>
              </w:rPr>
            </w:pPr>
            <w:r>
              <w:rPr>
                <w:rFonts w:hint="eastAsia" w:ascii="仿宋_GB2312" w:hAnsi="宋体" w:eastAsia="仿宋_GB2312"/>
                <w:sz w:val="24"/>
                <w:highlight w:val="none"/>
              </w:rPr>
              <w:t>分值</w:t>
            </w:r>
          </w:p>
        </w:tc>
        <w:tc>
          <w:tcPr>
            <w:tcW w:w="6324" w:type="dxa"/>
            <w:shd w:val="clear" w:color="auto" w:fill="auto"/>
            <w:vAlign w:val="center"/>
          </w:tcPr>
          <w:p w14:paraId="1F7FF036">
            <w:pPr>
              <w:jc w:val="center"/>
              <w:rPr>
                <w:rFonts w:ascii="仿宋_GB2312" w:hAnsi="宋体" w:eastAsia="仿宋_GB2312"/>
                <w:sz w:val="24"/>
                <w:highlight w:val="none"/>
              </w:rPr>
            </w:pPr>
            <w:r>
              <w:rPr>
                <w:rFonts w:hint="eastAsia" w:ascii="仿宋_GB2312" w:hAnsi="宋体" w:eastAsia="仿宋_GB2312"/>
                <w:sz w:val="24"/>
                <w:highlight w:val="none"/>
              </w:rPr>
              <w:t>评分标准</w:t>
            </w:r>
          </w:p>
        </w:tc>
      </w:tr>
      <w:tr w14:paraId="6087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04" w:type="dxa"/>
            <w:gridSpan w:val="2"/>
            <w:shd w:val="clear" w:color="auto" w:fill="auto"/>
            <w:vAlign w:val="center"/>
          </w:tcPr>
          <w:p w14:paraId="199259F9">
            <w:pPr>
              <w:jc w:val="center"/>
              <w:rPr>
                <w:rFonts w:ascii="仿宋_GB2312" w:hAnsi="宋体" w:eastAsia="仿宋_GB2312"/>
                <w:sz w:val="24"/>
                <w:highlight w:val="none"/>
              </w:rPr>
            </w:pPr>
            <w:r>
              <w:rPr>
                <w:rFonts w:hint="eastAsia" w:ascii="仿宋_GB2312" w:hAnsi="宋体" w:eastAsia="仿宋_GB2312"/>
                <w:sz w:val="24"/>
                <w:highlight w:val="none"/>
              </w:rPr>
              <w:t>投标报价</w:t>
            </w:r>
          </w:p>
        </w:tc>
        <w:tc>
          <w:tcPr>
            <w:tcW w:w="832" w:type="dxa"/>
            <w:shd w:val="clear" w:color="auto" w:fill="auto"/>
            <w:vAlign w:val="center"/>
          </w:tcPr>
          <w:p w14:paraId="25BFCCAE">
            <w:pPr>
              <w:jc w:val="center"/>
              <w:rPr>
                <w:rFonts w:ascii="仿宋_GB2312" w:hAnsi="宋体" w:eastAsia="仿宋_GB2312"/>
                <w:sz w:val="24"/>
                <w:highlight w:val="none"/>
              </w:rPr>
            </w:pPr>
            <w:r>
              <w:rPr>
                <w:rFonts w:hint="eastAsia" w:ascii="仿宋_GB2312" w:hAnsi="宋体" w:eastAsia="仿宋_GB2312"/>
                <w:sz w:val="24"/>
                <w:highlight w:val="none"/>
              </w:rPr>
              <w:t>20</w:t>
            </w:r>
          </w:p>
        </w:tc>
        <w:tc>
          <w:tcPr>
            <w:tcW w:w="6324" w:type="dxa"/>
            <w:shd w:val="clear" w:color="auto" w:fill="auto"/>
            <w:vAlign w:val="center"/>
          </w:tcPr>
          <w:p w14:paraId="63E863CE">
            <w:pPr>
              <w:snapToGrid w:val="0"/>
              <w:jc w:val="left"/>
              <w:rPr>
                <w:rFonts w:ascii="仿宋_GB2312" w:hAnsi="宋体" w:eastAsia="仿宋_GB2312"/>
                <w:sz w:val="24"/>
                <w:highlight w:val="none"/>
              </w:rPr>
            </w:pPr>
            <w:r>
              <w:rPr>
                <w:rFonts w:hint="eastAsia" w:ascii="仿宋_GB2312" w:hAnsi="宋体" w:eastAsia="仿宋_GB2312"/>
                <w:sz w:val="24"/>
                <w:highlight w:val="none"/>
              </w:rPr>
              <w:t>满足招标文件要求且报价最低的投标报价为评标基准价，其价格分为满分。其他投标人的价格分统一按照下列公式计算：</w:t>
            </w:r>
          </w:p>
          <w:p w14:paraId="2CF5C39E">
            <w:pPr>
              <w:jc w:val="left"/>
              <w:rPr>
                <w:rFonts w:ascii="仿宋_GB2312" w:hAnsi="宋体" w:eastAsia="仿宋_GB2312"/>
                <w:sz w:val="24"/>
                <w:highlight w:val="none"/>
              </w:rPr>
            </w:pPr>
            <w:r>
              <w:rPr>
                <w:rFonts w:hint="eastAsia" w:ascii="仿宋_GB2312" w:hAnsi="宋体" w:eastAsia="仿宋_GB2312"/>
                <w:sz w:val="24"/>
                <w:highlight w:val="none"/>
              </w:rPr>
              <w:t>投标报价得分=（评标基准价/投标报价）×</w:t>
            </w:r>
            <w:r>
              <w:rPr>
                <w:rFonts w:ascii="仿宋_GB2312" w:hAnsi="宋体" w:eastAsia="仿宋_GB2312"/>
                <w:sz w:val="24"/>
                <w:highlight w:val="none"/>
              </w:rPr>
              <w:t>20</w:t>
            </w:r>
          </w:p>
          <w:p w14:paraId="7C9B6CF1">
            <w:pPr>
              <w:rPr>
                <w:rFonts w:ascii="仿宋_GB2312" w:hAnsi="宋体" w:eastAsia="仿宋_GB2312"/>
                <w:sz w:val="24"/>
                <w:highlight w:val="none"/>
              </w:rPr>
            </w:pPr>
            <w:r>
              <w:rPr>
                <w:rFonts w:hint="eastAsia" w:ascii="黑体" w:hAnsi="黑体" w:eastAsia="黑体"/>
                <w:sz w:val="24"/>
                <w:highlight w:val="none"/>
              </w:rPr>
              <w:t>说明</w:t>
            </w:r>
            <w:r>
              <w:rPr>
                <w:rFonts w:hint="eastAsia" w:ascii="仿宋_GB2312" w:hAnsi="宋体" w:eastAsia="仿宋_GB2312"/>
                <w:sz w:val="24"/>
                <w:highlight w:val="none"/>
              </w:rPr>
              <w:t>：</w:t>
            </w:r>
            <w:r>
              <w:rPr>
                <w:rFonts w:hint="eastAsia" w:ascii="仿宋_GB2312" w:hAnsi="宋体" w:eastAsia="仿宋_GB2312"/>
                <w:sz w:val="24"/>
                <w:highlight w:val="none"/>
                <w:u w:val="single"/>
              </w:rPr>
              <w:t>本次投标报价以百分比方式报价。投标人承诺每月按照食堂总营业额收入百分比作为帮厨服务费，报价不低于每月营业总收入的2</w:t>
            </w:r>
            <w:r>
              <w:rPr>
                <w:rFonts w:ascii="仿宋_GB2312" w:hAnsi="宋体" w:eastAsia="仿宋_GB2312"/>
                <w:sz w:val="24"/>
                <w:highlight w:val="none"/>
                <w:u w:val="single"/>
              </w:rPr>
              <w:t>0</w:t>
            </w:r>
            <w:r>
              <w:rPr>
                <w:rFonts w:hint="eastAsia" w:ascii="仿宋_GB2312" w:hAnsi="宋体" w:eastAsia="仿宋_GB2312"/>
                <w:sz w:val="24"/>
                <w:highlight w:val="none"/>
                <w:u w:val="single"/>
              </w:rPr>
              <w:t>%，不高于每月营业总收入的</w:t>
            </w:r>
            <w:r>
              <w:rPr>
                <w:rFonts w:hint="eastAsia" w:ascii="仿宋_GB2312" w:hAnsi="宋体" w:eastAsia="仿宋_GB2312"/>
                <w:sz w:val="24"/>
                <w:highlight w:val="none"/>
                <w:u w:val="single"/>
                <w:lang w:val="en-US" w:eastAsia="zh-CN"/>
              </w:rPr>
              <w:t>24</w:t>
            </w:r>
            <w:r>
              <w:rPr>
                <w:rFonts w:hint="eastAsia" w:ascii="仿宋_GB2312" w:hAnsi="宋体" w:eastAsia="仿宋_GB2312"/>
                <w:sz w:val="24"/>
                <w:highlight w:val="none"/>
                <w:u w:val="single"/>
              </w:rPr>
              <w:t>%，否则无效投标</w:t>
            </w:r>
            <w:r>
              <w:rPr>
                <w:rFonts w:hint="eastAsia" w:ascii="仿宋_GB2312" w:hAnsi="宋体" w:eastAsia="仿宋_GB2312"/>
                <w:sz w:val="24"/>
                <w:highlight w:val="none"/>
              </w:rPr>
              <w:t>。</w:t>
            </w:r>
          </w:p>
        </w:tc>
      </w:tr>
      <w:tr w14:paraId="24F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8" w:type="dxa"/>
            <w:vMerge w:val="restart"/>
            <w:shd w:val="clear" w:color="auto" w:fill="auto"/>
            <w:vAlign w:val="center"/>
          </w:tcPr>
          <w:p w14:paraId="61707E16">
            <w:pPr>
              <w:jc w:val="center"/>
              <w:rPr>
                <w:rFonts w:ascii="仿宋_GB2312" w:hAnsi="宋体" w:eastAsia="仿宋_GB2312"/>
                <w:sz w:val="24"/>
                <w:highlight w:val="none"/>
              </w:rPr>
            </w:pPr>
            <w:r>
              <w:rPr>
                <w:rFonts w:hint="eastAsia" w:ascii="仿宋_GB2312" w:hAnsi="宋体" w:eastAsia="仿宋_GB2312"/>
                <w:sz w:val="24"/>
                <w:highlight w:val="none"/>
              </w:rPr>
              <w:t>商务部分（3</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rPr>
              <w:t>）</w:t>
            </w:r>
          </w:p>
        </w:tc>
        <w:tc>
          <w:tcPr>
            <w:tcW w:w="846" w:type="dxa"/>
            <w:shd w:val="clear" w:color="auto" w:fill="auto"/>
            <w:vAlign w:val="center"/>
          </w:tcPr>
          <w:p w14:paraId="62559B7F">
            <w:pPr>
              <w:snapToGrid w:val="0"/>
              <w:jc w:val="center"/>
              <w:rPr>
                <w:rFonts w:ascii="仿宋_GB2312" w:hAnsi="宋体" w:eastAsia="仿宋_GB2312"/>
                <w:sz w:val="24"/>
                <w:highlight w:val="none"/>
              </w:rPr>
            </w:pPr>
            <w:r>
              <w:rPr>
                <w:rFonts w:hint="eastAsia" w:ascii="仿宋_GB2312" w:hAnsi="宋体" w:eastAsia="仿宋_GB2312"/>
                <w:sz w:val="24"/>
                <w:highlight w:val="none"/>
              </w:rPr>
              <w:t>同类项目业绩</w:t>
            </w:r>
          </w:p>
        </w:tc>
        <w:tc>
          <w:tcPr>
            <w:tcW w:w="832" w:type="dxa"/>
            <w:shd w:val="clear" w:color="auto" w:fill="auto"/>
            <w:vAlign w:val="center"/>
          </w:tcPr>
          <w:p w14:paraId="042B64F8">
            <w:pPr>
              <w:snapToGrid w:val="0"/>
              <w:jc w:val="center"/>
              <w:rPr>
                <w:rFonts w:ascii="仿宋_GB2312" w:hAnsi="宋体" w:eastAsia="仿宋_GB2312"/>
                <w:sz w:val="24"/>
                <w:highlight w:val="none"/>
              </w:rPr>
            </w:pPr>
            <w:r>
              <w:rPr>
                <w:rFonts w:hint="eastAsia" w:ascii="仿宋_GB2312" w:hAnsi="宋体" w:eastAsia="仿宋_GB2312"/>
                <w:color w:val="000000" w:themeColor="text1"/>
                <w:sz w:val="24"/>
                <w:highlight w:val="none"/>
              </w:rPr>
              <w:t>15分</w:t>
            </w:r>
          </w:p>
        </w:tc>
        <w:tc>
          <w:tcPr>
            <w:tcW w:w="6324" w:type="dxa"/>
            <w:shd w:val="clear" w:color="auto" w:fill="auto"/>
            <w:vAlign w:val="center"/>
          </w:tcPr>
          <w:p w14:paraId="1DECD125">
            <w:pPr>
              <w:snapToGrid w:val="0"/>
              <w:jc w:val="left"/>
              <w:rPr>
                <w:rFonts w:ascii="仿宋_GB2312" w:hAnsi="宋体" w:eastAsia="仿宋_GB2312"/>
                <w:sz w:val="24"/>
                <w:highlight w:val="none"/>
              </w:rPr>
            </w:pPr>
            <w:r>
              <w:rPr>
                <w:rFonts w:hint="eastAsia" w:ascii="仿宋_GB2312" w:hAnsi="宋体" w:eastAsia="仿宋_GB2312"/>
                <w:sz w:val="24"/>
                <w:highlight w:val="none"/>
              </w:rPr>
              <w:t>投标人201</w:t>
            </w:r>
            <w:r>
              <w:rPr>
                <w:rFonts w:ascii="仿宋_GB2312" w:hAnsi="宋体" w:eastAsia="仿宋_GB2312"/>
                <w:sz w:val="24"/>
                <w:highlight w:val="none"/>
              </w:rPr>
              <w:t>7</w:t>
            </w:r>
            <w:r>
              <w:rPr>
                <w:rFonts w:hint="eastAsia" w:ascii="仿宋_GB2312" w:hAnsi="宋体" w:eastAsia="仿宋_GB2312"/>
                <w:sz w:val="24"/>
                <w:highlight w:val="none"/>
              </w:rPr>
              <w:t>年1月1日至今（以合同签订时间为准）签署的同类项目合同，并且为学校服务的，每份得1.5分，满分15分。</w:t>
            </w:r>
          </w:p>
          <w:p w14:paraId="47B5E9A6">
            <w:pPr>
              <w:snapToGrid w:val="0"/>
              <w:jc w:val="left"/>
              <w:rPr>
                <w:rFonts w:ascii="仿宋_GB2312" w:hAnsi="宋体" w:eastAsia="仿宋_GB2312"/>
                <w:sz w:val="24"/>
                <w:highlight w:val="none"/>
              </w:rPr>
            </w:pPr>
            <w:r>
              <w:rPr>
                <w:rFonts w:hint="eastAsia" w:ascii="黑体" w:hAnsi="黑体" w:eastAsia="黑体"/>
                <w:sz w:val="24"/>
                <w:highlight w:val="none"/>
              </w:rPr>
              <w:t>说明：</w:t>
            </w:r>
            <w:r>
              <w:rPr>
                <w:rFonts w:hint="eastAsia" w:ascii="仿宋_GB2312" w:hAnsi="宋体" w:eastAsia="仿宋_GB2312"/>
                <w:sz w:val="24"/>
                <w:highlight w:val="none"/>
              </w:rPr>
              <w:t>以合同原件为准，否则不得分；合同中需反映出签约双方名称、签约章、签约日期、就餐人数，否则不得分。</w:t>
            </w:r>
          </w:p>
        </w:tc>
      </w:tr>
      <w:tr w14:paraId="18E5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8" w:type="dxa"/>
            <w:vMerge w:val="continue"/>
            <w:shd w:val="clear" w:color="auto" w:fill="auto"/>
            <w:vAlign w:val="center"/>
          </w:tcPr>
          <w:p w14:paraId="74EC57F7">
            <w:pPr>
              <w:jc w:val="center"/>
              <w:rPr>
                <w:rFonts w:ascii="仿宋_GB2312" w:hAnsi="宋体" w:eastAsia="仿宋_GB2312"/>
                <w:sz w:val="24"/>
                <w:highlight w:val="none"/>
              </w:rPr>
            </w:pPr>
          </w:p>
        </w:tc>
        <w:tc>
          <w:tcPr>
            <w:tcW w:w="846" w:type="dxa"/>
            <w:shd w:val="clear" w:color="auto" w:fill="auto"/>
            <w:vAlign w:val="center"/>
          </w:tcPr>
          <w:p w14:paraId="5AEDA15F">
            <w:pPr>
              <w:snapToGrid w:val="0"/>
              <w:jc w:val="center"/>
              <w:rPr>
                <w:rFonts w:ascii="仿宋_GB2312" w:hAnsi="宋体" w:eastAsia="仿宋_GB2312"/>
                <w:sz w:val="24"/>
                <w:highlight w:val="none"/>
              </w:rPr>
            </w:pPr>
            <w:r>
              <w:rPr>
                <w:rFonts w:hint="eastAsia" w:ascii="仿宋_GB2312" w:hAnsi="宋体" w:eastAsia="仿宋_GB2312"/>
                <w:sz w:val="24"/>
                <w:highlight w:val="none"/>
              </w:rPr>
              <w:t>服务人员</w:t>
            </w:r>
          </w:p>
        </w:tc>
        <w:tc>
          <w:tcPr>
            <w:tcW w:w="832" w:type="dxa"/>
            <w:shd w:val="clear" w:color="auto" w:fill="auto"/>
            <w:vAlign w:val="center"/>
          </w:tcPr>
          <w:p w14:paraId="439A55B0">
            <w:pPr>
              <w:snapToGrid w:val="0"/>
              <w:jc w:val="center"/>
              <w:rPr>
                <w:rFonts w:ascii="仿宋_GB2312" w:hAnsi="宋体" w:eastAsia="仿宋_GB2312"/>
                <w:sz w:val="24"/>
                <w:highlight w:val="none"/>
              </w:rPr>
            </w:pPr>
            <w:r>
              <w:rPr>
                <w:rFonts w:hint="eastAsia" w:ascii="仿宋_GB2312" w:hAnsi="宋体" w:eastAsia="仿宋_GB2312"/>
                <w:sz w:val="24"/>
                <w:highlight w:val="none"/>
              </w:rPr>
              <w:t>12分</w:t>
            </w:r>
          </w:p>
        </w:tc>
        <w:tc>
          <w:tcPr>
            <w:tcW w:w="6324" w:type="dxa"/>
            <w:shd w:val="clear" w:color="auto" w:fill="auto"/>
            <w:vAlign w:val="center"/>
          </w:tcPr>
          <w:p w14:paraId="5D325C2C">
            <w:pPr>
              <w:snapToGrid w:val="0"/>
              <w:jc w:val="left"/>
              <w:rPr>
                <w:rFonts w:ascii="仿宋_GB2312" w:hAnsi="宋体" w:eastAsia="仿宋_GB2312"/>
                <w:sz w:val="24"/>
                <w:highlight w:val="none"/>
              </w:rPr>
            </w:pPr>
            <w:r>
              <w:rPr>
                <w:rFonts w:hint="eastAsia" w:ascii="仿宋_GB2312" w:hAnsi="宋体" w:eastAsia="仿宋_GB2312"/>
                <w:sz w:val="24"/>
                <w:highlight w:val="none"/>
              </w:rPr>
              <w:t>投标人拟为本项目配备的人员中：</w:t>
            </w:r>
          </w:p>
          <w:p w14:paraId="36C15CBF">
            <w:pPr>
              <w:snapToGrid w:val="0"/>
              <w:jc w:val="left"/>
              <w:rPr>
                <w:rFonts w:ascii="仿宋_GB2312" w:hAnsi="宋体" w:eastAsia="仿宋_GB2312"/>
                <w:sz w:val="24"/>
                <w:highlight w:val="none"/>
              </w:rPr>
            </w:pPr>
            <w:r>
              <w:rPr>
                <w:rFonts w:hint="eastAsia" w:ascii="仿宋_GB2312" w:hAnsi="宋体" w:eastAsia="仿宋_GB2312"/>
                <w:sz w:val="24"/>
                <w:highlight w:val="none"/>
              </w:rPr>
              <w:t>（1）配置高级食品安全管理师，得3分；</w:t>
            </w:r>
          </w:p>
          <w:p w14:paraId="1F465A57">
            <w:pPr>
              <w:snapToGrid w:val="0"/>
              <w:jc w:val="left"/>
              <w:rPr>
                <w:rFonts w:ascii="仿宋_GB2312" w:hAnsi="宋体" w:eastAsia="仿宋_GB2312"/>
                <w:sz w:val="24"/>
                <w:highlight w:val="none"/>
              </w:rPr>
            </w:pPr>
            <w:r>
              <w:rPr>
                <w:rFonts w:hint="eastAsia" w:ascii="仿宋_GB2312" w:hAnsi="宋体" w:eastAsia="仿宋_GB2312"/>
                <w:sz w:val="24"/>
                <w:highlight w:val="none"/>
              </w:rPr>
              <w:t>（2）配置2个专业厨师（二级及以上），得3分；</w:t>
            </w:r>
          </w:p>
          <w:p w14:paraId="3A91DFF3">
            <w:pPr>
              <w:snapToGrid w:val="0"/>
              <w:jc w:val="left"/>
              <w:rPr>
                <w:rFonts w:ascii="仿宋_GB2312" w:hAnsi="宋体" w:eastAsia="仿宋_GB2312"/>
                <w:sz w:val="24"/>
                <w:highlight w:val="none"/>
              </w:rPr>
            </w:pPr>
            <w:r>
              <w:rPr>
                <w:rFonts w:hint="eastAsia" w:ascii="仿宋_GB2312" w:hAnsi="宋体" w:eastAsia="仿宋_GB2312"/>
                <w:sz w:val="24"/>
                <w:highlight w:val="none"/>
              </w:rPr>
              <w:t>（3）配置高级以上(包含高级)营养师的，得3分。</w:t>
            </w:r>
          </w:p>
          <w:p w14:paraId="247A8A89">
            <w:pPr>
              <w:snapToGrid w:val="0"/>
              <w:jc w:val="left"/>
              <w:rPr>
                <w:rFonts w:ascii="仿宋_GB2312" w:hAnsi="宋体" w:eastAsia="仿宋_GB2312"/>
                <w:sz w:val="24"/>
                <w:highlight w:val="none"/>
              </w:rPr>
            </w:pPr>
            <w:r>
              <w:rPr>
                <w:rFonts w:hint="eastAsia" w:ascii="仿宋_GB2312" w:hAnsi="宋体" w:eastAsia="仿宋_GB2312"/>
                <w:sz w:val="24"/>
                <w:highlight w:val="none"/>
              </w:rPr>
              <w:t>（4）配置2个专业面点师（二级及以上），得3分；</w:t>
            </w:r>
          </w:p>
          <w:p w14:paraId="19067A9D">
            <w:pPr>
              <w:snapToGrid w:val="0"/>
              <w:jc w:val="left"/>
              <w:rPr>
                <w:rFonts w:ascii="仿宋_GB2312" w:hAnsi="宋体" w:eastAsia="仿宋_GB2312"/>
                <w:sz w:val="24"/>
                <w:highlight w:val="none"/>
              </w:rPr>
            </w:pPr>
            <w:r>
              <w:rPr>
                <w:rFonts w:hint="eastAsia" w:ascii="仿宋_GB2312" w:hAnsi="宋体" w:eastAsia="仿宋_GB2312"/>
                <w:sz w:val="24"/>
                <w:highlight w:val="none"/>
              </w:rPr>
              <w:t>说明：1）提供（1）（2）（3）（4）项的人员岗位证明原件、近三个月内任意一期的社保缴纳证明（含人员明细）原件（二者缺一不可）否则，不得分。2）上述人员按项目固定配置，专人专岗，中标后若调整人员必须经招标人同意。</w:t>
            </w:r>
          </w:p>
        </w:tc>
      </w:tr>
      <w:tr w14:paraId="1372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8" w:type="dxa"/>
            <w:vMerge w:val="continue"/>
            <w:shd w:val="clear" w:color="auto" w:fill="auto"/>
            <w:vAlign w:val="center"/>
          </w:tcPr>
          <w:p w14:paraId="746FFB1C">
            <w:pPr>
              <w:jc w:val="center"/>
              <w:rPr>
                <w:rFonts w:ascii="仿宋_GB2312" w:hAnsi="宋体" w:eastAsia="仿宋_GB2312"/>
                <w:sz w:val="24"/>
                <w:highlight w:val="none"/>
              </w:rPr>
            </w:pPr>
          </w:p>
        </w:tc>
        <w:tc>
          <w:tcPr>
            <w:tcW w:w="846" w:type="dxa"/>
            <w:shd w:val="clear" w:color="auto" w:fill="auto"/>
            <w:vAlign w:val="center"/>
          </w:tcPr>
          <w:p w14:paraId="136271B3">
            <w:pPr>
              <w:snapToGrid w:val="0"/>
              <w:jc w:val="center"/>
              <w:rPr>
                <w:rFonts w:ascii="仿宋_GB2312" w:hAnsi="宋体" w:eastAsia="仿宋_GB2312"/>
                <w:sz w:val="24"/>
                <w:highlight w:val="none"/>
              </w:rPr>
            </w:pPr>
            <w:r>
              <w:rPr>
                <w:rFonts w:hint="eastAsia" w:ascii="仿宋_GB2312" w:hAnsi="宋体" w:eastAsia="仿宋_GB2312"/>
                <w:sz w:val="24"/>
                <w:highlight w:val="none"/>
              </w:rPr>
              <w:t>检测能力</w:t>
            </w:r>
          </w:p>
        </w:tc>
        <w:tc>
          <w:tcPr>
            <w:tcW w:w="832" w:type="dxa"/>
            <w:shd w:val="clear" w:color="auto" w:fill="auto"/>
            <w:vAlign w:val="center"/>
          </w:tcPr>
          <w:p w14:paraId="5A381083">
            <w:pPr>
              <w:snapToGrid w:val="0"/>
              <w:jc w:val="center"/>
              <w:rPr>
                <w:rFonts w:ascii="仿宋_GB2312" w:hAnsi="宋体" w:eastAsia="仿宋_GB2312"/>
                <w:sz w:val="24"/>
                <w:highlight w:val="none"/>
              </w:rPr>
            </w:pPr>
            <w:r>
              <w:rPr>
                <w:rFonts w:hint="eastAsia" w:ascii="仿宋_GB2312" w:hAnsi="宋体" w:eastAsia="仿宋_GB2312"/>
                <w:sz w:val="24"/>
                <w:highlight w:val="none"/>
              </w:rPr>
              <w:t>5分</w:t>
            </w:r>
          </w:p>
        </w:tc>
        <w:tc>
          <w:tcPr>
            <w:tcW w:w="6324" w:type="dxa"/>
            <w:shd w:val="clear" w:color="auto" w:fill="auto"/>
            <w:vAlign w:val="center"/>
          </w:tcPr>
          <w:p w14:paraId="2E103A2D">
            <w:pPr>
              <w:snapToGrid w:val="0"/>
              <w:jc w:val="left"/>
              <w:rPr>
                <w:rFonts w:ascii="仿宋_GB2312" w:hAnsi="宋体" w:eastAsia="仿宋_GB2312"/>
                <w:sz w:val="24"/>
                <w:highlight w:val="none"/>
              </w:rPr>
            </w:pPr>
            <w:r>
              <w:rPr>
                <w:rFonts w:hint="eastAsia" w:ascii="仿宋_GB2312" w:hAnsi="宋体" w:eastAsia="仿宋_GB2312"/>
                <w:sz w:val="24"/>
                <w:highlight w:val="none"/>
              </w:rPr>
              <w:t>投标人具有卫生检测设备的得</w:t>
            </w:r>
            <w:r>
              <w:rPr>
                <w:rFonts w:hint="eastAsia" w:ascii="仿宋_GB2312" w:hAnsi="宋体" w:eastAsia="仿宋_GB2312"/>
                <w:sz w:val="24"/>
                <w:highlight w:val="none"/>
                <w:lang w:val="en-US" w:eastAsia="zh-CN"/>
              </w:rPr>
              <w:t>5</w:t>
            </w:r>
            <w:r>
              <w:rPr>
                <w:rFonts w:hint="eastAsia" w:ascii="仿宋_GB2312" w:hAnsi="宋体" w:eastAsia="仿宋_GB2312"/>
                <w:sz w:val="24"/>
                <w:highlight w:val="none"/>
              </w:rPr>
              <w:t>分（可检测农药残留物、甲醛、色素、菌落等）（提供设备证明材料包括但不限于设备实物图片、购置发票等）。</w:t>
            </w:r>
          </w:p>
          <w:p w14:paraId="3BB86F52">
            <w:pPr>
              <w:snapToGrid w:val="0"/>
              <w:jc w:val="left"/>
              <w:rPr>
                <w:rFonts w:ascii="仿宋_GB2312" w:hAnsi="宋体" w:eastAsia="仿宋_GB2312"/>
                <w:sz w:val="24"/>
                <w:highlight w:val="none"/>
              </w:rPr>
            </w:pPr>
            <w:r>
              <w:rPr>
                <w:rFonts w:hint="eastAsia" w:ascii="黑体" w:hAnsi="黑体" w:eastAsia="黑体"/>
                <w:sz w:val="24"/>
                <w:highlight w:val="none"/>
              </w:rPr>
              <w:t>说明：</w:t>
            </w:r>
            <w:r>
              <w:rPr>
                <w:rFonts w:hint="eastAsia" w:ascii="仿宋_GB2312" w:hAnsi="宋体" w:eastAsia="仿宋_GB2312"/>
                <w:sz w:val="24"/>
                <w:highlight w:val="none"/>
              </w:rPr>
              <w:t>提供证明材料，例如设备的实物图片、购置发票等。</w:t>
            </w:r>
          </w:p>
        </w:tc>
      </w:tr>
      <w:tr w14:paraId="08E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058" w:type="dxa"/>
            <w:vMerge w:val="restart"/>
            <w:shd w:val="clear" w:color="auto" w:fill="auto"/>
            <w:vAlign w:val="center"/>
          </w:tcPr>
          <w:p w14:paraId="6A4E42DE">
            <w:pPr>
              <w:jc w:val="center"/>
              <w:rPr>
                <w:rFonts w:ascii="仿宋_GB2312" w:hAnsi="宋体" w:eastAsia="仿宋_GB2312"/>
                <w:sz w:val="24"/>
                <w:highlight w:val="none"/>
              </w:rPr>
            </w:pPr>
            <w:r>
              <w:rPr>
                <w:rFonts w:hint="eastAsia" w:ascii="仿宋_GB2312" w:hAnsi="宋体" w:eastAsia="仿宋_GB2312"/>
                <w:sz w:val="24"/>
                <w:highlight w:val="none"/>
              </w:rPr>
              <w:t>技术部分（</w:t>
            </w:r>
            <w:r>
              <w:rPr>
                <w:rFonts w:hint="eastAsia" w:ascii="仿宋_GB2312" w:hAnsi="宋体" w:eastAsia="仿宋_GB2312"/>
                <w:sz w:val="24"/>
                <w:highlight w:val="none"/>
                <w:lang w:val="en-US" w:eastAsia="zh-CN"/>
              </w:rPr>
              <w:t>48</w:t>
            </w:r>
            <w:r>
              <w:rPr>
                <w:rFonts w:hint="eastAsia" w:ascii="仿宋_GB2312" w:hAnsi="宋体" w:eastAsia="仿宋_GB2312"/>
                <w:sz w:val="24"/>
                <w:highlight w:val="none"/>
              </w:rPr>
              <w:t>）</w:t>
            </w:r>
          </w:p>
        </w:tc>
        <w:tc>
          <w:tcPr>
            <w:tcW w:w="846" w:type="dxa"/>
            <w:shd w:val="clear" w:color="auto" w:fill="auto"/>
            <w:vAlign w:val="center"/>
          </w:tcPr>
          <w:p w14:paraId="10230C89">
            <w:pPr>
              <w:jc w:val="center"/>
              <w:rPr>
                <w:rFonts w:ascii="仿宋_GB2312" w:hAnsi="宋体" w:eastAsia="仿宋_GB2312"/>
                <w:sz w:val="24"/>
                <w:highlight w:val="none"/>
              </w:rPr>
            </w:pPr>
            <w:r>
              <w:rPr>
                <w:rFonts w:hint="eastAsia" w:ascii="仿宋_GB2312" w:hAnsi="宋体" w:eastAsia="仿宋_GB2312"/>
                <w:sz w:val="24"/>
                <w:highlight w:val="none"/>
              </w:rPr>
              <w:t>响应情况</w:t>
            </w:r>
          </w:p>
        </w:tc>
        <w:tc>
          <w:tcPr>
            <w:tcW w:w="832" w:type="dxa"/>
            <w:shd w:val="clear" w:color="auto" w:fill="auto"/>
            <w:vAlign w:val="center"/>
          </w:tcPr>
          <w:p w14:paraId="3A7BDF9F">
            <w:pPr>
              <w:widowControl/>
              <w:autoSpaceDE w:val="0"/>
              <w:autoSpaceDN w:val="0"/>
              <w:adjustRightInd w:val="0"/>
              <w:spacing w:line="360" w:lineRule="auto"/>
              <w:jc w:val="center"/>
              <w:rPr>
                <w:rStyle w:val="175"/>
                <w:rFonts w:ascii="仿宋_GB2312" w:eastAsia="仿宋_GB2312"/>
                <w:sz w:val="24"/>
                <w:highlight w:val="none"/>
              </w:rPr>
            </w:pPr>
            <w:r>
              <w:rPr>
                <w:rStyle w:val="175"/>
                <w:rFonts w:hint="eastAsia" w:ascii="仿宋_GB2312" w:eastAsia="仿宋_GB2312"/>
                <w:sz w:val="24"/>
                <w:highlight w:val="none"/>
                <w:lang w:val="en-US" w:eastAsia="zh-CN"/>
              </w:rPr>
              <w:t>6</w:t>
            </w:r>
            <w:r>
              <w:rPr>
                <w:rStyle w:val="175"/>
                <w:rFonts w:hint="eastAsia" w:ascii="仿宋_GB2312" w:eastAsia="仿宋_GB2312"/>
                <w:sz w:val="24"/>
                <w:highlight w:val="none"/>
              </w:rPr>
              <w:t>分</w:t>
            </w:r>
          </w:p>
        </w:tc>
        <w:tc>
          <w:tcPr>
            <w:tcW w:w="6324" w:type="dxa"/>
            <w:shd w:val="clear" w:color="auto" w:fill="auto"/>
            <w:vAlign w:val="top"/>
          </w:tcPr>
          <w:p w14:paraId="60ABBCAD">
            <w:pPr>
              <w:jc w:val="left"/>
              <w:rPr>
                <w:rFonts w:ascii="仿宋_GB2312" w:hAnsi="宋体" w:eastAsia="仿宋_GB2312"/>
                <w:sz w:val="24"/>
                <w:highlight w:val="none"/>
              </w:rPr>
            </w:pPr>
            <w:r>
              <w:rPr>
                <w:rFonts w:hint="eastAsia" w:ascii="仿宋_GB2312" w:hAnsi="宋体" w:eastAsia="仿宋_GB2312"/>
                <w:sz w:val="24"/>
                <w:highlight w:val="none"/>
              </w:rPr>
              <w:t>基础分为3分。优于招标文件实质性要求的，每有一项正偏离加1分，最高加</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分。</w:t>
            </w:r>
          </w:p>
          <w:p w14:paraId="25D4F0F6">
            <w:pPr>
              <w:jc w:val="left"/>
              <w:rPr>
                <w:rFonts w:ascii="仿宋_GB2312" w:hAnsi="宋体" w:eastAsia="仿宋_GB2312"/>
                <w:sz w:val="24"/>
                <w:highlight w:val="none"/>
              </w:rPr>
            </w:pPr>
            <w:r>
              <w:rPr>
                <w:rFonts w:hint="eastAsia" w:ascii="黑体" w:hAnsi="黑体" w:eastAsia="黑体"/>
                <w:sz w:val="24"/>
                <w:highlight w:val="none"/>
              </w:rPr>
              <w:t>说明：</w:t>
            </w:r>
            <w:r>
              <w:rPr>
                <w:rFonts w:hint="eastAsia" w:ascii="仿宋_GB2312" w:hAnsi="宋体" w:eastAsia="仿宋_GB2312"/>
                <w:sz w:val="24"/>
                <w:highlight w:val="none"/>
              </w:rPr>
              <w:t>投标人应在响应和偏离表中明确正偏离内容，否则不得分。</w:t>
            </w:r>
          </w:p>
        </w:tc>
      </w:tr>
      <w:tr w14:paraId="523C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8" w:type="dxa"/>
            <w:vMerge w:val="continue"/>
            <w:shd w:val="clear" w:color="auto" w:fill="auto"/>
            <w:vAlign w:val="center"/>
          </w:tcPr>
          <w:p w14:paraId="6BAB692C">
            <w:pPr>
              <w:jc w:val="center"/>
              <w:rPr>
                <w:rFonts w:ascii="仿宋_GB2312" w:hAnsi="宋体" w:eastAsia="仿宋_GB2312"/>
                <w:sz w:val="24"/>
                <w:highlight w:val="none"/>
              </w:rPr>
            </w:pPr>
          </w:p>
        </w:tc>
        <w:tc>
          <w:tcPr>
            <w:tcW w:w="846" w:type="dxa"/>
            <w:shd w:val="clear" w:color="auto" w:fill="auto"/>
            <w:vAlign w:val="center"/>
          </w:tcPr>
          <w:p w14:paraId="0CFE501D">
            <w:pPr>
              <w:jc w:val="center"/>
              <w:rPr>
                <w:rFonts w:ascii="仿宋_GB2312" w:hAnsi="宋体" w:eastAsia="仿宋_GB2312"/>
                <w:sz w:val="24"/>
                <w:highlight w:val="none"/>
              </w:rPr>
            </w:pPr>
            <w:r>
              <w:rPr>
                <w:rFonts w:hint="eastAsia" w:ascii="仿宋_GB2312" w:hAnsi="宋体" w:eastAsia="仿宋_GB2312"/>
                <w:sz w:val="24"/>
                <w:highlight w:val="none"/>
              </w:rPr>
              <w:t>服务与安全方案</w:t>
            </w:r>
          </w:p>
        </w:tc>
        <w:tc>
          <w:tcPr>
            <w:tcW w:w="832" w:type="dxa"/>
            <w:shd w:val="clear" w:color="auto" w:fill="auto"/>
            <w:vAlign w:val="center"/>
          </w:tcPr>
          <w:p w14:paraId="49FDF09A">
            <w:pPr>
              <w:jc w:val="center"/>
              <w:rPr>
                <w:rFonts w:ascii="仿宋_GB2312" w:hAnsi="宋体" w:eastAsia="仿宋_GB2312"/>
                <w:sz w:val="24"/>
                <w:highlight w:val="none"/>
              </w:rPr>
            </w:pPr>
            <w:r>
              <w:rPr>
                <w:rFonts w:hint="eastAsia" w:ascii="仿宋_GB2312" w:hAnsi="宋体" w:eastAsia="仿宋_GB2312"/>
                <w:sz w:val="24"/>
                <w:highlight w:val="none"/>
              </w:rPr>
              <w:t>3</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rPr>
              <w:t>分</w:t>
            </w:r>
          </w:p>
        </w:tc>
        <w:tc>
          <w:tcPr>
            <w:tcW w:w="6324" w:type="dxa"/>
            <w:shd w:val="clear" w:color="auto" w:fill="auto"/>
            <w:vAlign w:val="top"/>
          </w:tcPr>
          <w:p w14:paraId="3980F8B8">
            <w:pPr>
              <w:snapToGrid w:val="0"/>
              <w:jc w:val="left"/>
              <w:rPr>
                <w:rFonts w:hint="eastAsia" w:ascii="仿宋_GB2312" w:hAnsi="宋体" w:eastAsia="仿宋_GB2312"/>
                <w:sz w:val="24"/>
                <w:highlight w:val="none"/>
              </w:rPr>
            </w:pPr>
            <w:r>
              <w:rPr>
                <w:rFonts w:hint="eastAsia" w:ascii="仿宋_GB2312" w:hAnsi="宋体" w:eastAsia="仿宋_GB2312"/>
                <w:sz w:val="24"/>
                <w:highlight w:val="none"/>
              </w:rPr>
              <w:t>根据供应商提供的6T和4D餐饮管理体系及管理标准完善程度，得3-0分；</w:t>
            </w:r>
          </w:p>
          <w:p w14:paraId="5B6B8758">
            <w:pPr>
              <w:snapToGrid w:val="0"/>
              <w:jc w:val="left"/>
              <w:rPr>
                <w:rFonts w:hint="eastAsia" w:ascii="仿宋_GB2312" w:hAnsi="宋体" w:eastAsia="仿宋_GB2312"/>
                <w:sz w:val="24"/>
                <w:highlight w:val="none"/>
              </w:rPr>
            </w:pPr>
            <w:r>
              <w:rPr>
                <w:rFonts w:hint="eastAsia" w:ascii="仿宋_GB2312" w:hAnsi="宋体" w:eastAsia="仿宋_GB2312"/>
                <w:sz w:val="24"/>
                <w:highlight w:val="none"/>
              </w:rPr>
              <w:t>有良好的商业信誉，从业期间无食物中毒事件发生的；无投诉等不良记录的；有实力较强的经营规模相适应的管理服务队伍的，得3-0分；</w:t>
            </w:r>
          </w:p>
          <w:p w14:paraId="188DB00B">
            <w:pPr>
              <w:snapToGrid w:val="0"/>
              <w:jc w:val="left"/>
              <w:rPr>
                <w:rFonts w:hint="eastAsia" w:ascii="仿宋_GB2312" w:hAnsi="宋体" w:eastAsia="仿宋_GB2312"/>
                <w:sz w:val="24"/>
                <w:highlight w:val="none"/>
              </w:rPr>
            </w:pPr>
            <w:r>
              <w:rPr>
                <w:rFonts w:hint="eastAsia" w:ascii="仿宋_GB2312" w:hAnsi="宋体" w:eastAsia="仿宋_GB2312"/>
                <w:sz w:val="24"/>
                <w:highlight w:val="none"/>
              </w:rPr>
              <w:t>服务流程合理、管理措施完备的，人员配备合理的得3-0分；</w:t>
            </w:r>
          </w:p>
          <w:p w14:paraId="340D9C2B">
            <w:pPr>
              <w:snapToGrid w:val="0"/>
              <w:jc w:val="left"/>
              <w:rPr>
                <w:rFonts w:hint="eastAsia" w:ascii="仿宋_GB2312" w:hAnsi="宋体" w:eastAsia="仿宋_GB2312"/>
                <w:sz w:val="24"/>
                <w:highlight w:val="none"/>
              </w:rPr>
            </w:pPr>
            <w:r>
              <w:rPr>
                <w:rFonts w:hint="eastAsia" w:ascii="仿宋_GB2312" w:hAnsi="宋体" w:eastAsia="仿宋_GB2312"/>
                <w:sz w:val="24"/>
                <w:highlight w:val="none"/>
              </w:rPr>
              <w:t>管理科学、服务制度完备的，得3-0分；</w:t>
            </w:r>
          </w:p>
          <w:p w14:paraId="6A1DBF1D">
            <w:pPr>
              <w:snapToGrid w:val="0"/>
              <w:jc w:val="left"/>
              <w:rPr>
                <w:rFonts w:hint="eastAsia" w:ascii="仿宋_GB2312" w:hAnsi="宋体" w:eastAsia="仿宋_GB2312"/>
                <w:sz w:val="24"/>
                <w:highlight w:val="none"/>
              </w:rPr>
            </w:pPr>
            <w:r>
              <w:rPr>
                <w:rFonts w:hint="eastAsia" w:ascii="仿宋_GB2312" w:hAnsi="宋体" w:eastAsia="仿宋_GB2312"/>
                <w:sz w:val="24"/>
                <w:highlight w:val="none"/>
              </w:rPr>
              <w:t xml:space="preserve">有食品安全可追溯实施方案的，得3-0分； </w:t>
            </w:r>
          </w:p>
          <w:p w14:paraId="5376E0EA">
            <w:pPr>
              <w:snapToGrid w:val="0"/>
              <w:jc w:val="left"/>
              <w:rPr>
                <w:rFonts w:hint="eastAsia" w:ascii="仿宋_GB2312" w:hAnsi="宋体" w:eastAsia="仿宋_GB2312"/>
                <w:sz w:val="24"/>
                <w:highlight w:val="none"/>
              </w:rPr>
            </w:pPr>
            <w:r>
              <w:rPr>
                <w:rFonts w:hint="eastAsia" w:ascii="仿宋_GB2312" w:hAnsi="宋体" w:eastAsia="仿宋_GB2312"/>
                <w:sz w:val="24"/>
                <w:highlight w:val="none"/>
              </w:rPr>
              <w:t>供应商从满足价格合理、品种多样化等相关服务方面，根据现场实际经营状况，对应作出提高满意度可操作性方案的，得3-0分；</w:t>
            </w:r>
          </w:p>
          <w:p w14:paraId="0EB05532">
            <w:pPr>
              <w:snapToGrid w:val="0"/>
              <w:jc w:val="left"/>
              <w:rPr>
                <w:rFonts w:hint="eastAsia" w:ascii="仿宋_GB2312" w:hAnsi="宋体" w:eastAsia="仿宋_GB2312"/>
                <w:sz w:val="24"/>
                <w:highlight w:val="none"/>
              </w:rPr>
            </w:pPr>
            <w:r>
              <w:rPr>
                <w:rFonts w:hint="eastAsia" w:ascii="仿宋_GB2312" w:hAnsi="宋体" w:eastAsia="仿宋_GB2312"/>
                <w:sz w:val="24"/>
                <w:highlight w:val="none"/>
              </w:rPr>
              <w:t>突发事件的应急预案（如停水、停电、员工受伤等）得3-0分；</w:t>
            </w:r>
          </w:p>
          <w:p w14:paraId="1B0B0981">
            <w:pPr>
              <w:snapToGrid w:val="0"/>
              <w:jc w:val="left"/>
              <w:rPr>
                <w:rFonts w:ascii="仿宋_GB2312" w:hAnsi="宋体" w:eastAsia="仿宋_GB2312"/>
                <w:sz w:val="24"/>
                <w:highlight w:val="none"/>
              </w:rPr>
            </w:pPr>
            <w:r>
              <w:rPr>
                <w:rFonts w:hint="eastAsia" w:ascii="仿宋_GB2312" w:hAnsi="宋体" w:eastAsia="仿宋_GB2312"/>
                <w:sz w:val="24"/>
                <w:highlight w:val="none"/>
              </w:rPr>
              <w:t>有学生食品安全方案与营养健康专项方案，方案内容全面，食品安全应对措施到位，营养健康方案合理且优化的，得</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rPr>
              <w:t>-7分，方案内容涵盖，具有食品安全应对措施，营养健康方案较合理的，得6-4分；方案内容一般，食品安全应对措施和营养健康方案较普通的，得3-0分。</w:t>
            </w:r>
          </w:p>
        </w:tc>
      </w:tr>
      <w:tr w14:paraId="6B1B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8" w:type="dxa"/>
            <w:vMerge w:val="continue"/>
            <w:shd w:val="clear" w:color="auto" w:fill="auto"/>
            <w:vAlign w:val="center"/>
          </w:tcPr>
          <w:p w14:paraId="6244CB0F">
            <w:pPr>
              <w:jc w:val="center"/>
              <w:rPr>
                <w:rFonts w:ascii="仿宋_GB2312" w:hAnsi="宋体" w:eastAsia="仿宋_GB2312"/>
                <w:sz w:val="24"/>
                <w:highlight w:val="none"/>
              </w:rPr>
            </w:pPr>
          </w:p>
        </w:tc>
        <w:tc>
          <w:tcPr>
            <w:tcW w:w="846" w:type="dxa"/>
            <w:shd w:val="clear" w:color="auto" w:fill="auto"/>
            <w:vAlign w:val="center"/>
          </w:tcPr>
          <w:p w14:paraId="4DBE3230">
            <w:pPr>
              <w:snapToGrid w:val="0"/>
              <w:jc w:val="center"/>
              <w:rPr>
                <w:rFonts w:ascii="仿宋_GB2312" w:hAnsi="宋体" w:eastAsia="仿宋_GB2312"/>
                <w:sz w:val="24"/>
                <w:highlight w:val="none"/>
              </w:rPr>
            </w:pPr>
            <w:r>
              <w:rPr>
                <w:rFonts w:hint="eastAsia" w:ascii="仿宋_GB2312" w:hAnsi="宋体" w:eastAsia="仿宋_GB2312"/>
                <w:sz w:val="24"/>
                <w:highlight w:val="none"/>
              </w:rPr>
              <w:t>企业阐述</w:t>
            </w:r>
          </w:p>
        </w:tc>
        <w:tc>
          <w:tcPr>
            <w:tcW w:w="832" w:type="dxa"/>
            <w:shd w:val="clear" w:color="auto" w:fill="auto"/>
            <w:vAlign w:val="center"/>
          </w:tcPr>
          <w:p w14:paraId="20988A61">
            <w:pPr>
              <w:snapToGrid w:val="0"/>
              <w:jc w:val="center"/>
              <w:rPr>
                <w:rFonts w:ascii="仿宋_GB2312" w:hAnsi="宋体" w:eastAsia="仿宋_GB2312"/>
                <w:sz w:val="24"/>
                <w:highlight w:val="none"/>
              </w:rPr>
            </w:pPr>
            <w:r>
              <w:rPr>
                <w:rFonts w:hint="eastAsia" w:ascii="仿宋_GB2312" w:hAnsi="宋体" w:eastAsia="仿宋_GB2312"/>
                <w:sz w:val="24"/>
                <w:highlight w:val="none"/>
              </w:rPr>
              <w:t>1</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rPr>
              <w:t>分</w:t>
            </w:r>
          </w:p>
        </w:tc>
        <w:tc>
          <w:tcPr>
            <w:tcW w:w="6324" w:type="dxa"/>
            <w:shd w:val="clear" w:color="auto" w:fill="auto"/>
            <w:vAlign w:val="center"/>
          </w:tcPr>
          <w:p w14:paraId="6A801531">
            <w:pPr>
              <w:snapToGrid w:val="0"/>
              <w:jc w:val="left"/>
              <w:rPr>
                <w:rFonts w:ascii="仿宋_GB2312" w:hAnsi="宋体" w:eastAsia="仿宋_GB2312"/>
                <w:sz w:val="24"/>
                <w:highlight w:val="none"/>
              </w:rPr>
            </w:pPr>
            <w:r>
              <w:rPr>
                <w:rFonts w:hint="eastAsia" w:ascii="仿宋_GB2312" w:hAnsi="宋体" w:eastAsia="仿宋_GB2312"/>
                <w:sz w:val="24"/>
                <w:highlight w:val="none"/>
              </w:rPr>
              <w:t>评委根据PPT演示情况打分，企业介绍得2-0分；服务方案介绍得2-0分；安全方案介绍得2-0分; 其它方案介绍得2-0分。</w:t>
            </w:r>
          </w:p>
          <w:p w14:paraId="7D7EBAEC">
            <w:pPr>
              <w:jc w:val="left"/>
              <w:rPr>
                <w:highlight w:val="none"/>
              </w:rPr>
            </w:pPr>
            <w:r>
              <w:rPr>
                <w:rFonts w:hint="eastAsia" w:ascii="仿宋_GB2312" w:hAnsi="宋体" w:eastAsia="仿宋_GB2312"/>
                <w:sz w:val="24"/>
                <w:highlight w:val="none"/>
              </w:rPr>
              <w:t>由评委现场提问，根据负责人的回答酌情打分，非常满意得4-3分，一般得3-0分。</w:t>
            </w:r>
          </w:p>
          <w:p w14:paraId="6472BE32">
            <w:pPr>
              <w:snapToGrid w:val="0"/>
              <w:jc w:val="left"/>
              <w:rPr>
                <w:rFonts w:ascii="仿宋_GB2312" w:hAnsi="宋体" w:eastAsia="仿宋_GB2312"/>
                <w:sz w:val="24"/>
                <w:highlight w:val="none"/>
              </w:rPr>
            </w:pPr>
            <w:r>
              <w:rPr>
                <w:rFonts w:hint="eastAsia" w:ascii="黑体" w:hAnsi="黑体" w:eastAsia="黑体"/>
                <w:sz w:val="24"/>
                <w:highlight w:val="none"/>
              </w:rPr>
              <w:t>说明：</w:t>
            </w:r>
            <w:r>
              <w:rPr>
                <w:rFonts w:hint="eastAsia" w:ascii="仿宋_GB2312" w:hAnsi="宋体" w:eastAsia="仿宋_GB2312"/>
                <w:sz w:val="24"/>
                <w:highlight w:val="none"/>
              </w:rPr>
              <w:t>无演示或不符合要求本项不得分。</w:t>
            </w:r>
          </w:p>
          <w:p w14:paraId="785A371B">
            <w:pPr>
              <w:snapToGrid w:val="0"/>
              <w:jc w:val="left"/>
              <w:rPr>
                <w:rFonts w:ascii="仿宋_GB2312" w:hAnsi="宋体" w:eastAsia="仿宋_GB2312"/>
                <w:sz w:val="24"/>
                <w:highlight w:val="none"/>
              </w:rPr>
            </w:pPr>
            <w:r>
              <w:rPr>
                <w:rFonts w:hint="eastAsia" w:ascii="仿宋_GB2312" w:hAnsi="宋体" w:eastAsia="仿宋_GB2312"/>
                <w:sz w:val="24"/>
                <w:highlight w:val="none"/>
              </w:rPr>
              <w:t>根据演讲及答辩内容由评审小组（</w:t>
            </w:r>
            <w:r>
              <w:rPr>
                <w:rFonts w:hint="eastAsia" w:ascii="仿宋_GB2312" w:hAnsi="宋体" w:eastAsia="仿宋_GB2312"/>
                <w:sz w:val="24"/>
                <w:highlight w:val="none"/>
                <w:lang w:val="en-US" w:eastAsia="zh-CN"/>
              </w:rPr>
              <w:t>21</w:t>
            </w:r>
            <w:r>
              <w:rPr>
                <w:rFonts w:hint="eastAsia" w:ascii="仿宋_GB2312" w:hAnsi="宋体" w:eastAsia="仿宋_GB2312"/>
                <w:sz w:val="24"/>
                <w:highlight w:val="none"/>
              </w:rPr>
              <w:t>人）进行打分。</w:t>
            </w:r>
          </w:p>
        </w:tc>
      </w:tr>
    </w:tbl>
    <w:p w14:paraId="41F549B9">
      <w:pPr>
        <w:pStyle w:val="141"/>
        <w:keepNext w:val="0"/>
        <w:keepLines w:val="0"/>
        <w:spacing w:before="0" w:beforeAutospacing="0" w:afterLines="0" w:afterAutospacing="0"/>
        <w:jc w:val="both"/>
        <w:outlineLvl w:val="9"/>
        <w:rPr>
          <w:rFonts w:ascii="黑体" w:hAnsi="黑体" w:eastAsia="黑体"/>
          <w:b w:val="0"/>
          <w:sz w:val="24"/>
          <w:szCs w:val="24"/>
          <w:highlight w:val="none"/>
        </w:rPr>
      </w:pPr>
      <w:r>
        <w:rPr>
          <w:rFonts w:hint="eastAsia" w:ascii="黑体" w:hAnsi="黑体" w:eastAsia="黑体"/>
          <w:b w:val="0"/>
          <w:sz w:val="24"/>
          <w:szCs w:val="24"/>
          <w:highlight w:val="none"/>
        </w:rPr>
        <w:t>说明：</w:t>
      </w:r>
    </w:p>
    <w:p w14:paraId="34927906">
      <w:pPr>
        <w:pStyle w:val="141"/>
        <w:keepNext w:val="0"/>
        <w:keepLines w:val="0"/>
        <w:spacing w:before="0" w:beforeAutospacing="0" w:afterLines="0" w:afterAutospacing="0"/>
        <w:ind w:firstLine="480" w:firstLineChars="200"/>
        <w:jc w:val="both"/>
        <w:outlineLvl w:val="9"/>
        <w:rPr>
          <w:rFonts w:ascii="黑体" w:hAnsi="黑体" w:eastAsia="黑体"/>
          <w:b w:val="0"/>
          <w:sz w:val="24"/>
          <w:szCs w:val="24"/>
          <w:highlight w:val="none"/>
        </w:rPr>
      </w:pPr>
      <w:r>
        <w:rPr>
          <w:rFonts w:hint="eastAsia" w:ascii="黑体" w:hAnsi="黑体" w:eastAsia="黑体"/>
          <w:b w:val="0"/>
          <w:sz w:val="24"/>
          <w:szCs w:val="24"/>
          <w:highlight w:val="none"/>
        </w:rPr>
        <w:t>1</w:t>
      </w:r>
      <w:r>
        <w:rPr>
          <w:rFonts w:ascii="黑体" w:hAnsi="黑体" w:eastAsia="黑体"/>
          <w:b w:val="0"/>
          <w:sz w:val="24"/>
          <w:szCs w:val="24"/>
          <w:highlight w:val="none"/>
        </w:rPr>
        <w:t>.</w:t>
      </w:r>
      <w:r>
        <w:rPr>
          <w:rFonts w:hint="eastAsia" w:ascii="黑体" w:hAnsi="黑体" w:eastAsia="黑体"/>
          <w:b w:val="0"/>
          <w:sz w:val="24"/>
          <w:szCs w:val="24"/>
          <w:highlight w:val="none"/>
        </w:rPr>
        <w:t>“评分标准”中要求提供的评分所需的证明材料，应当在递交投标文件时同时装袋递交，开标后不予接受。</w:t>
      </w:r>
    </w:p>
    <w:p w14:paraId="4E19C32A">
      <w:pPr>
        <w:pStyle w:val="141"/>
        <w:keepNext w:val="0"/>
        <w:keepLines w:val="0"/>
        <w:spacing w:before="0" w:beforeAutospacing="0" w:afterLines="0" w:afterAutospacing="0"/>
        <w:ind w:firstLine="480" w:firstLineChars="200"/>
        <w:jc w:val="both"/>
        <w:outlineLvl w:val="9"/>
        <w:rPr>
          <w:rFonts w:ascii="黑体" w:hAnsi="黑体" w:eastAsia="黑体"/>
          <w:b w:val="0"/>
          <w:sz w:val="24"/>
          <w:szCs w:val="24"/>
          <w:highlight w:val="none"/>
        </w:rPr>
      </w:pPr>
      <w:r>
        <w:rPr>
          <w:rFonts w:ascii="黑体" w:hAnsi="黑体" w:eastAsia="黑体"/>
          <w:b w:val="0"/>
          <w:sz w:val="24"/>
          <w:szCs w:val="24"/>
          <w:highlight w:val="none"/>
        </w:rPr>
        <w:t>2.</w:t>
      </w:r>
      <w:r>
        <w:rPr>
          <w:rFonts w:hint="eastAsia" w:ascii="黑体" w:hAnsi="黑体" w:eastAsia="黑体"/>
          <w:b w:val="0"/>
          <w:sz w:val="24"/>
          <w:szCs w:val="24"/>
          <w:highlight w:val="none"/>
        </w:rPr>
        <w:t>证明文件的复印件应当装订于投标文件中（页数过多时，可以提供证明材料的主要条款页复印件），否则不予计分。</w:t>
      </w:r>
    </w:p>
    <w:p w14:paraId="4FA388A7">
      <w:pPr>
        <w:pStyle w:val="141"/>
        <w:keepNext w:val="0"/>
        <w:keepLines w:val="0"/>
        <w:spacing w:before="100" w:after="312" w:afterAutospacing="0"/>
        <w:rPr>
          <w:rFonts w:ascii="黑体" w:eastAsia="黑体"/>
          <w:b w:val="0"/>
          <w:highlight w:val="none"/>
        </w:rPr>
      </w:pPr>
    </w:p>
    <w:p w14:paraId="523833B8">
      <w:pPr>
        <w:rPr>
          <w:highlight w:val="none"/>
        </w:rPr>
      </w:pPr>
    </w:p>
    <w:p w14:paraId="2D7EDF34">
      <w:pPr>
        <w:rPr>
          <w:highlight w:val="none"/>
        </w:rPr>
      </w:pPr>
    </w:p>
    <w:p w14:paraId="12522EF6">
      <w:pPr>
        <w:rPr>
          <w:highlight w:val="none"/>
        </w:rPr>
      </w:pPr>
    </w:p>
    <w:p w14:paraId="6C803246">
      <w:pPr>
        <w:rPr>
          <w:highlight w:val="none"/>
        </w:rPr>
      </w:pPr>
    </w:p>
    <w:p w14:paraId="3E4CCF76">
      <w:pPr>
        <w:rPr>
          <w:highlight w:val="none"/>
        </w:rPr>
      </w:pPr>
    </w:p>
    <w:p w14:paraId="3BC31882">
      <w:pPr>
        <w:pStyle w:val="141"/>
        <w:keepNext w:val="0"/>
        <w:keepLines w:val="0"/>
        <w:spacing w:before="100" w:after="312" w:afterAutospacing="0"/>
        <w:rPr>
          <w:rFonts w:ascii="黑体" w:hAnsi="宋体" w:eastAsia="黑体"/>
          <w:sz w:val="28"/>
          <w:szCs w:val="28"/>
          <w:highlight w:val="none"/>
        </w:rPr>
      </w:pPr>
      <w:r>
        <w:rPr>
          <w:highlight w:val="none"/>
        </w:rPr>
        <w:br w:type="page"/>
      </w:r>
      <w:bookmarkStart w:id="57" w:name="_Toc11851496"/>
      <w:r>
        <w:rPr>
          <w:rFonts w:hint="eastAsia" w:ascii="黑体" w:eastAsia="黑体"/>
          <w:b w:val="0"/>
          <w:highlight w:val="none"/>
        </w:rPr>
        <w:t>第三章招标需求</w:t>
      </w:r>
      <w:bookmarkEnd w:id="57"/>
    </w:p>
    <w:p w14:paraId="7023DF3B">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1"/>
        <w:rPr>
          <w:rFonts w:ascii="黑体" w:eastAsia="黑体"/>
          <w:b w:val="0"/>
          <w:sz w:val="24"/>
          <w:szCs w:val="24"/>
          <w:highlight w:val="none"/>
        </w:rPr>
      </w:pPr>
      <w:bookmarkStart w:id="58" w:name="_Toc11851497"/>
      <w:r>
        <w:rPr>
          <w:rFonts w:hint="eastAsia" w:ascii="黑体" w:eastAsia="黑体"/>
          <w:b w:val="0"/>
          <w:sz w:val="24"/>
          <w:szCs w:val="24"/>
          <w:highlight w:val="none"/>
        </w:rPr>
        <w:t>一、需实现的目标或功能</w:t>
      </w:r>
      <w:bookmarkEnd w:id="58"/>
    </w:p>
    <w:p w14:paraId="6958445C">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9"/>
        <w:rPr>
          <w:rFonts w:ascii="仿宋_GB2312" w:hAnsi="宋体"/>
          <w:b w:val="0"/>
          <w:sz w:val="24"/>
          <w:highlight w:val="none"/>
        </w:rPr>
      </w:pPr>
      <w:r>
        <w:rPr>
          <w:rFonts w:hint="eastAsia" w:ascii="仿宋_GB2312" w:hAnsi="宋体"/>
          <w:b w:val="0"/>
          <w:sz w:val="24"/>
          <w:highlight w:val="none"/>
        </w:rPr>
        <w:t>本项目采购标的为学校供餐帮厨服务。根据学校餐饮服务的客观需求和管理要求，通过公开招标的方式，确定一家专业的餐饮服务管理单位，为学校供餐提供帮厨服务。</w:t>
      </w:r>
    </w:p>
    <w:p w14:paraId="2DBCD0BE">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1"/>
        <w:rPr>
          <w:rFonts w:ascii="黑体" w:eastAsia="黑体"/>
          <w:b w:val="0"/>
          <w:sz w:val="24"/>
          <w:szCs w:val="24"/>
          <w:highlight w:val="none"/>
        </w:rPr>
      </w:pPr>
      <w:bookmarkStart w:id="59" w:name="_Toc11851498"/>
      <w:r>
        <w:rPr>
          <w:rFonts w:hint="eastAsia" w:ascii="黑体" w:hAnsi="黑体" w:eastAsia="黑体"/>
          <w:b w:val="0"/>
          <w:sz w:val="24"/>
          <w:szCs w:val="24"/>
          <w:highlight w:val="none"/>
        </w:rPr>
        <w:t>★</w:t>
      </w:r>
      <w:r>
        <w:rPr>
          <w:rFonts w:hint="eastAsia" w:ascii="黑体" w:eastAsia="黑体"/>
          <w:b w:val="0"/>
          <w:sz w:val="24"/>
          <w:szCs w:val="24"/>
          <w:highlight w:val="none"/>
        </w:rPr>
        <w:t>二、需执行的相关法律法规、标准、规</w:t>
      </w:r>
      <w:bookmarkEnd w:id="59"/>
      <w:r>
        <w:rPr>
          <w:rFonts w:hint="eastAsia" w:ascii="黑体" w:eastAsia="黑体"/>
          <w:b w:val="0"/>
          <w:sz w:val="24"/>
          <w:szCs w:val="24"/>
          <w:highlight w:val="none"/>
        </w:rPr>
        <w:t>范</w:t>
      </w:r>
    </w:p>
    <w:p w14:paraId="2D4E3744">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9"/>
        <w:rPr>
          <w:rFonts w:ascii="仿宋_GB2312" w:hAnsi="宋体"/>
          <w:b w:val="0"/>
          <w:sz w:val="24"/>
          <w:highlight w:val="none"/>
        </w:rPr>
      </w:pPr>
      <w:r>
        <w:rPr>
          <w:rFonts w:hint="eastAsia" w:ascii="仿宋_GB2312" w:hAnsi="宋体"/>
          <w:b w:val="0"/>
          <w:sz w:val="24"/>
          <w:highlight w:val="none"/>
        </w:rPr>
        <w:t>必须严格按照《食品安全法》、《学校食品安全与营养健康管理规定》（教育部、市场监管总局、卫生健康委令第45号）、《餐饮服务食品安全操作规范》《青岛市中小学生营养餐管理规范》、《青岛市中小学习（生）(托幼机构）食堂标准管理规范》、《青岛市中小学校学生集中用餐成本控制管理规范》等法规制度，结合服务学校实际，认真做好学校食堂餐饮安全工作。</w:t>
      </w:r>
    </w:p>
    <w:p w14:paraId="73DA762B">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1"/>
        <w:rPr>
          <w:rFonts w:ascii="黑体" w:eastAsia="黑体"/>
          <w:b w:val="0"/>
          <w:sz w:val="24"/>
          <w:szCs w:val="24"/>
          <w:highlight w:val="none"/>
        </w:rPr>
      </w:pPr>
      <w:bookmarkStart w:id="60" w:name="_Toc11851499"/>
      <w:r>
        <w:rPr>
          <w:rFonts w:hint="eastAsia" w:ascii="黑体" w:eastAsia="黑体"/>
          <w:b w:val="0"/>
          <w:sz w:val="24"/>
          <w:szCs w:val="24"/>
          <w:highlight w:val="none"/>
        </w:rPr>
        <w:t>三、基本需求</w:t>
      </w:r>
    </w:p>
    <w:p w14:paraId="21B79A74">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9"/>
        <w:rPr>
          <w:rFonts w:ascii="仿宋_GB2312" w:hAnsi="宋体"/>
          <w:b w:val="0"/>
          <w:sz w:val="24"/>
          <w:highlight w:val="none"/>
        </w:rPr>
      </w:pPr>
      <w:r>
        <w:rPr>
          <w:rFonts w:ascii="仿宋_GB2312" w:hAnsi="宋体"/>
          <w:b w:val="0"/>
          <w:sz w:val="24"/>
          <w:highlight w:val="none"/>
        </w:rPr>
        <w:t>1.</w:t>
      </w:r>
      <w:r>
        <w:rPr>
          <w:rFonts w:hint="eastAsia" w:ascii="仿宋_GB2312" w:hAnsi="宋体"/>
          <w:b w:val="0"/>
          <w:sz w:val="24"/>
          <w:highlight w:val="none"/>
        </w:rPr>
        <w:t>投标人中标后直至验收止，未经招标人同意，中标人不得以任何形式和理由转包或者分包；如出现上述情形，招标人可取消其中标资格，并与其立即解除合同，由此引起的经济损失全部由中标人承担。</w:t>
      </w:r>
    </w:p>
    <w:p w14:paraId="63152792">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2" w:firstLineChars="200"/>
        <w:jc w:val="both"/>
        <w:textAlignment w:val="auto"/>
        <w:outlineLvl w:val="9"/>
        <w:rPr>
          <w:rFonts w:ascii="仿宋_GB2312" w:hAnsi="宋体"/>
          <w:bCs w:val="0"/>
          <w:sz w:val="24"/>
          <w:highlight w:val="none"/>
        </w:rPr>
      </w:pPr>
      <w:bookmarkStart w:id="61" w:name="_Hlk517616777"/>
      <w:r>
        <w:rPr>
          <w:rFonts w:ascii="仿宋_GB2312" w:hAnsi="宋体"/>
          <w:bCs w:val="0"/>
          <w:sz w:val="24"/>
          <w:highlight w:val="none"/>
        </w:rPr>
        <w:t>2.</w:t>
      </w:r>
      <w:r>
        <w:rPr>
          <w:rFonts w:hint="eastAsia" w:ascii="仿宋_GB2312" w:hAnsi="宋体"/>
          <w:bCs w:val="0"/>
          <w:sz w:val="24"/>
          <w:highlight w:val="none"/>
        </w:rPr>
        <w:t>以下内容为实质性要求和条件，投标人必须对其做出实质性响应，否则其投标无效：</w:t>
      </w:r>
    </w:p>
    <w:p w14:paraId="66EA4492">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9"/>
        <w:rPr>
          <w:rFonts w:ascii="仿宋_GB2312" w:hAnsi="宋体"/>
          <w:b w:val="0"/>
          <w:sz w:val="24"/>
          <w:highlight w:val="none"/>
        </w:rPr>
      </w:pPr>
      <w:r>
        <w:rPr>
          <w:rFonts w:hint="eastAsia" w:ascii="仿宋_GB2312" w:hAnsi="宋体"/>
          <w:b w:val="0"/>
          <w:sz w:val="24"/>
          <w:highlight w:val="none"/>
        </w:rPr>
        <w:t>（1）招标文件中带“★”标注的条款；</w:t>
      </w:r>
    </w:p>
    <w:p w14:paraId="6B992F7C">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9"/>
        <w:rPr>
          <w:rFonts w:ascii="仿宋_GB2312" w:hAnsi="宋体"/>
          <w:b w:val="0"/>
          <w:sz w:val="24"/>
          <w:highlight w:val="none"/>
        </w:rPr>
      </w:pPr>
      <w:r>
        <w:rPr>
          <w:rFonts w:hint="eastAsia" w:ascii="仿宋_GB2312" w:hAnsi="宋体"/>
          <w:b w:val="0"/>
          <w:sz w:val="24"/>
          <w:highlight w:val="none"/>
        </w:rPr>
        <w:t>（2）第四章“合同”</w:t>
      </w:r>
    </w:p>
    <w:p w14:paraId="0EEA1098">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9"/>
        <w:rPr>
          <w:rFonts w:ascii="仿宋_GB2312" w:hAnsi="宋体"/>
          <w:b w:val="0"/>
          <w:sz w:val="24"/>
          <w:highlight w:val="none"/>
        </w:rPr>
      </w:pPr>
      <w:r>
        <w:rPr>
          <w:rFonts w:hint="eastAsia" w:ascii="仿宋_GB2312" w:hAnsi="宋体"/>
          <w:b w:val="0"/>
          <w:sz w:val="24"/>
          <w:highlight w:val="none"/>
        </w:rPr>
        <w:t>（3）招标文件中其他明确要求投标人响应，否则其投标无效的条款。</w:t>
      </w:r>
      <w:bookmarkEnd w:id="61"/>
      <w:bookmarkStart w:id="62" w:name="_Hlk493103223"/>
    </w:p>
    <w:bookmarkEnd w:id="62"/>
    <w:p w14:paraId="78D496CD">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1"/>
        <w:rPr>
          <w:rFonts w:ascii="黑体" w:eastAsia="黑体"/>
          <w:b w:val="0"/>
          <w:sz w:val="24"/>
          <w:szCs w:val="24"/>
          <w:highlight w:val="none"/>
        </w:rPr>
      </w:pPr>
      <w:r>
        <w:rPr>
          <w:rFonts w:hint="eastAsia" w:ascii="黑体" w:eastAsia="黑体"/>
          <w:b w:val="0"/>
          <w:sz w:val="24"/>
          <w:szCs w:val="24"/>
          <w:highlight w:val="none"/>
        </w:rPr>
        <w:t>三、采购范围</w:t>
      </w:r>
      <w:bookmarkEnd w:id="60"/>
    </w:p>
    <w:p w14:paraId="26E41327">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（一）项目基本情况</w:t>
      </w:r>
    </w:p>
    <w:p w14:paraId="13CBD9CC">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9"/>
        <w:rPr>
          <w:rFonts w:ascii="仿宋_GB2312" w:hAnsi="宋体" w:cs="Times New Roman"/>
          <w:b w:val="0"/>
          <w:bCs w:val="0"/>
          <w:kern w:val="2"/>
          <w:sz w:val="24"/>
          <w:szCs w:val="24"/>
          <w:highlight w:val="none"/>
        </w:rPr>
      </w:pPr>
      <w:r>
        <w:rPr>
          <w:rFonts w:hint="eastAsia" w:ascii="仿宋_GB2312" w:hAnsi="宋体" w:cs="Times New Roman"/>
          <w:b w:val="0"/>
          <w:bCs w:val="0"/>
          <w:kern w:val="2"/>
          <w:sz w:val="24"/>
          <w:szCs w:val="24"/>
          <w:highlight w:val="none"/>
        </w:rPr>
        <w:t>1</w:t>
      </w:r>
      <w:r>
        <w:rPr>
          <w:rFonts w:ascii="仿宋_GB2312" w:hAnsi="宋体" w:cs="Times New Roman"/>
          <w:b w:val="0"/>
          <w:bCs w:val="0"/>
          <w:kern w:val="2"/>
          <w:sz w:val="24"/>
          <w:szCs w:val="24"/>
          <w:highlight w:val="none"/>
        </w:rPr>
        <w:t>.</w:t>
      </w:r>
      <w:r>
        <w:rPr>
          <w:rFonts w:hint="eastAsia" w:ascii="仿宋_GB2312" w:hAnsi="宋体" w:cs="Times New Roman"/>
          <w:b w:val="0"/>
          <w:bCs w:val="0"/>
          <w:kern w:val="2"/>
          <w:sz w:val="24"/>
          <w:szCs w:val="24"/>
          <w:highlight w:val="none"/>
        </w:rPr>
        <w:t>项目概况</w:t>
      </w:r>
    </w:p>
    <w:p w14:paraId="524B86CD">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1</w:t>
      </w:r>
      <w:r>
        <w:rPr>
          <w:rFonts w:ascii="仿宋_GB2312" w:hAnsi="宋体" w:eastAsia="仿宋_GB2312"/>
          <w:sz w:val="24"/>
          <w:highlight w:val="none"/>
        </w:rPr>
        <w:t>.1</w:t>
      </w:r>
      <w:r>
        <w:rPr>
          <w:rFonts w:hint="eastAsia" w:ascii="仿宋_GB2312" w:hAnsi="宋体" w:eastAsia="仿宋_GB2312" w:cs="宋体"/>
          <w:color w:val="auto"/>
          <w:kern w:val="0"/>
          <w:sz w:val="24"/>
          <w:highlight w:val="none"/>
          <w:lang w:val="zh-CN"/>
        </w:rPr>
        <w:t>青岛西海岸新区凤凰岛初级中学</w:t>
      </w:r>
      <w:r>
        <w:rPr>
          <w:rFonts w:hint="eastAsia" w:ascii="仿宋_GB2312" w:hAnsi="宋体" w:eastAsia="仿宋_GB2312"/>
          <w:color w:val="auto"/>
          <w:sz w:val="24"/>
          <w:highlight w:val="none"/>
        </w:rPr>
        <w:t>教师编制为</w:t>
      </w:r>
      <w:r>
        <w:rPr>
          <w:rFonts w:hint="eastAsia" w:ascii="仿宋_GB2312" w:hAnsi="宋体" w:eastAsia="仿宋_GB2312"/>
          <w:color w:val="auto"/>
          <w:sz w:val="24"/>
          <w:highlight w:val="none"/>
          <w:u w:val="single"/>
          <w:lang w:val="en-US" w:eastAsia="zh-CN"/>
        </w:rPr>
        <w:t>65</w:t>
      </w:r>
      <w:r>
        <w:rPr>
          <w:rFonts w:hint="eastAsia" w:ascii="仿宋_GB2312" w:hAnsi="宋体" w:eastAsia="仿宋_GB2312"/>
          <w:color w:val="auto"/>
          <w:sz w:val="24"/>
          <w:highlight w:val="none"/>
        </w:rPr>
        <w:t>人，学生学位约</w:t>
      </w:r>
      <w:r>
        <w:rPr>
          <w:rFonts w:hint="eastAsia" w:ascii="仿宋_GB2312" w:hAnsi="宋体" w:eastAsia="仿宋_GB2312"/>
          <w:color w:val="auto"/>
          <w:sz w:val="24"/>
          <w:highlight w:val="none"/>
          <w:u w:val="single"/>
          <w:lang w:val="en-US" w:eastAsia="zh-CN"/>
        </w:rPr>
        <w:t>780</w:t>
      </w:r>
      <w:r>
        <w:rPr>
          <w:rFonts w:hint="eastAsia" w:ascii="仿宋_GB2312" w:hAnsi="宋体" w:eastAsia="仿宋_GB2312"/>
          <w:color w:val="auto"/>
          <w:sz w:val="24"/>
          <w:highlight w:val="none"/>
        </w:rPr>
        <w:t>位。</w:t>
      </w:r>
    </w:p>
    <w:p w14:paraId="09C6F13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w:t>
      </w:r>
      <w:r>
        <w:rPr>
          <w:rFonts w:ascii="仿宋_GB2312" w:hAnsi="宋体" w:eastAsia="仿宋_GB2312"/>
          <w:sz w:val="24"/>
          <w:highlight w:val="none"/>
        </w:rPr>
        <w:t>.2</w:t>
      </w:r>
      <w:r>
        <w:rPr>
          <w:rFonts w:hint="eastAsia" w:ascii="仿宋_GB2312" w:hAnsi="宋体" w:eastAsia="仿宋_GB2312"/>
          <w:sz w:val="24"/>
          <w:highlight w:val="none"/>
        </w:rPr>
        <w:t>本项目采用购买帮厨服务方式，所有食材由招标人提供并承担本项目产生的能源消耗费用，帮厨单位在服务期内接受相关行业主管部门和招标人的监督检查，提供学校供餐帮厨服务。</w:t>
      </w:r>
    </w:p>
    <w:p w14:paraId="1E520458">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w:t>
      </w:r>
      <w:r>
        <w:rPr>
          <w:rFonts w:ascii="仿宋_GB2312" w:hAnsi="宋体" w:eastAsia="仿宋_GB2312"/>
          <w:sz w:val="24"/>
          <w:highlight w:val="none"/>
        </w:rPr>
        <w:t>.</w:t>
      </w:r>
      <w:r>
        <w:rPr>
          <w:rFonts w:hint="eastAsia" w:ascii="仿宋_GB2312" w:hAnsi="宋体" w:eastAsia="仿宋_GB2312"/>
          <w:sz w:val="24"/>
          <w:highlight w:val="none"/>
        </w:rPr>
        <w:t>运营模式</w:t>
      </w:r>
    </w:p>
    <w:p w14:paraId="5AA4552A">
      <w:pPr>
        <w:topLinePunct/>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2.1</w:t>
      </w:r>
      <w:r>
        <w:rPr>
          <w:rFonts w:hint="eastAsia" w:ascii="仿宋_GB2312" w:hAnsi="宋体" w:eastAsia="仿宋_GB2312"/>
          <w:sz w:val="24"/>
          <w:highlight w:val="none"/>
        </w:rPr>
        <w:t>帮厨单位提供人员及服务管理等服务业务，招标人负责提供工作场地、库房、设施设备、器皿用具等，并提供能源。</w:t>
      </w:r>
    </w:p>
    <w:p w14:paraId="04184CED">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w:t>
      </w:r>
      <w:r>
        <w:rPr>
          <w:rFonts w:ascii="仿宋_GB2312" w:hAnsi="宋体" w:eastAsia="仿宋_GB2312"/>
          <w:sz w:val="24"/>
          <w:highlight w:val="none"/>
        </w:rPr>
        <w:t>2</w:t>
      </w:r>
      <w:r>
        <w:rPr>
          <w:rFonts w:hint="eastAsia" w:ascii="仿宋_GB2312" w:hAnsi="宋体" w:eastAsia="仿宋_GB2312"/>
          <w:sz w:val="24"/>
          <w:highlight w:val="none"/>
        </w:rPr>
        <w:t>所有设施设备由帮厨单位负责管理使用，凡损坏或者帮厨单位认为不能满足需求的，需要进行维修或新购，维修及新购均由招标人负责并承担相关费用。人为因素损坏的设施设备应由帮厨单位照价赔偿。</w:t>
      </w:r>
    </w:p>
    <w:p w14:paraId="13FAFB52">
      <w:pPr>
        <w:topLinePunct/>
        <w:spacing w:line="440" w:lineRule="exact"/>
        <w:ind w:firstLine="480" w:firstLineChars="200"/>
        <w:rPr>
          <w:rFonts w:ascii="仿宋_GB2312" w:hAnsi="宋体" w:eastAsia="仿宋_GB2312"/>
          <w:sz w:val="24"/>
          <w:highlight w:val="none"/>
        </w:rPr>
      </w:pPr>
      <w:r>
        <w:rPr>
          <w:rFonts w:ascii="仿宋_GB2312" w:hAnsi="宋体" w:eastAsia="仿宋_GB2312"/>
          <w:sz w:val="24"/>
          <w:highlight w:val="none"/>
        </w:rPr>
        <w:t>2.3</w:t>
      </w:r>
      <w:r>
        <w:rPr>
          <w:rFonts w:hint="eastAsia" w:ascii="仿宋_GB2312" w:hAnsi="宋体" w:eastAsia="仿宋_GB2312"/>
          <w:sz w:val="24"/>
          <w:highlight w:val="none"/>
        </w:rPr>
        <w:t>招标人依据招标文件和中标人的投标承诺，按照食堂营业收入的百分比支付帮厨服务费用。</w:t>
      </w:r>
    </w:p>
    <w:p w14:paraId="7C6F1B94">
      <w:pPr>
        <w:topLinePunct/>
        <w:spacing w:line="440" w:lineRule="exact"/>
        <w:ind w:firstLine="480" w:firstLineChars="200"/>
        <w:rPr>
          <w:rFonts w:ascii="仿宋_GB2312" w:hAnsi="宋体" w:eastAsia="仿宋_GB2312"/>
          <w:color w:val="auto"/>
          <w:sz w:val="24"/>
          <w:highlight w:val="none"/>
        </w:rPr>
      </w:pPr>
      <w:r>
        <w:rPr>
          <w:rFonts w:hint="eastAsia" w:ascii="仿宋_GB2312" w:hAnsi="宋体" w:eastAsia="仿宋_GB2312"/>
          <w:sz w:val="24"/>
          <w:highlight w:val="none"/>
        </w:rPr>
        <w:t>3</w:t>
      </w:r>
      <w:r>
        <w:rPr>
          <w:rFonts w:ascii="仿宋_GB2312" w:hAnsi="宋体" w:eastAsia="仿宋_GB2312"/>
          <w:sz w:val="24"/>
          <w:highlight w:val="none"/>
        </w:rPr>
        <w:t>.</w:t>
      </w:r>
      <w:r>
        <w:rPr>
          <w:rFonts w:hint="eastAsia" w:ascii="仿宋_GB2312" w:hAnsi="宋体" w:eastAsia="仿宋_GB2312"/>
          <w:sz w:val="24"/>
          <w:highlight w:val="none"/>
        </w:rPr>
        <w:t>就餐人数：</w:t>
      </w:r>
      <w:r>
        <w:rPr>
          <w:rFonts w:hint="eastAsia" w:ascii="仿宋_GB2312" w:hAnsi="宋体" w:eastAsia="仿宋_GB2312"/>
          <w:color w:val="auto"/>
          <w:sz w:val="24"/>
          <w:highlight w:val="none"/>
        </w:rPr>
        <w:t>目前约</w:t>
      </w:r>
      <w:r>
        <w:rPr>
          <w:rFonts w:hint="eastAsia" w:ascii="仿宋_GB2312" w:hAnsi="宋体" w:eastAsia="仿宋_GB2312"/>
          <w:color w:val="auto"/>
          <w:sz w:val="24"/>
          <w:highlight w:val="none"/>
          <w:u w:val="single"/>
          <w:lang w:val="en-US" w:eastAsia="zh-CN"/>
        </w:rPr>
        <w:t>850</w:t>
      </w:r>
      <w:r>
        <w:rPr>
          <w:rFonts w:hint="eastAsia" w:ascii="仿宋_GB2312" w:hAnsi="宋体" w:eastAsia="仿宋_GB2312"/>
          <w:color w:val="auto"/>
          <w:sz w:val="24"/>
          <w:highlight w:val="none"/>
        </w:rPr>
        <w:t>人。</w:t>
      </w:r>
    </w:p>
    <w:p w14:paraId="22DCF7E6">
      <w:pPr>
        <w:topLinePunct/>
        <w:spacing w:line="44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w:t>
      </w:r>
      <w:r>
        <w:rPr>
          <w:rFonts w:ascii="仿宋_GB2312" w:hAnsi="宋体" w:eastAsia="仿宋_GB2312"/>
          <w:color w:val="auto"/>
          <w:sz w:val="24"/>
          <w:highlight w:val="none"/>
        </w:rPr>
        <w:t>.</w:t>
      </w:r>
      <w:r>
        <w:rPr>
          <w:rFonts w:hint="eastAsia" w:ascii="仿宋_GB2312" w:hAnsi="宋体" w:eastAsia="仿宋_GB2312"/>
          <w:color w:val="auto"/>
          <w:sz w:val="24"/>
          <w:highlight w:val="none"/>
        </w:rPr>
        <w:t>就餐类别及供餐时间</w:t>
      </w:r>
    </w:p>
    <w:p w14:paraId="2437B05D">
      <w:pPr>
        <w:spacing w:line="440" w:lineRule="exact"/>
        <w:ind w:firstLine="480" w:firstLineChars="200"/>
        <w:rPr>
          <w:rFonts w:hint="eastAsia" w:ascii="仿宋_GB2312" w:hAnsi="微软雅黑" w:eastAsia="仿宋_GB2312" w:cs="微软雅黑"/>
          <w:sz w:val="24"/>
          <w:highlight w:val="none"/>
        </w:rPr>
      </w:pPr>
      <w:r>
        <w:rPr>
          <w:rFonts w:ascii="仿宋_GB2312" w:hAnsi="微软雅黑" w:eastAsia="仿宋_GB2312" w:cs="微软雅黑"/>
          <w:color w:val="auto"/>
          <w:sz w:val="24"/>
          <w:highlight w:val="none"/>
        </w:rPr>
        <w:t>4.1</w:t>
      </w:r>
      <w:r>
        <w:rPr>
          <w:rFonts w:hint="eastAsia" w:ascii="仿宋_GB2312" w:hAnsi="微软雅黑" w:eastAsia="仿宋_GB2312" w:cs="微软雅黑"/>
          <w:color w:val="auto"/>
          <w:sz w:val="24"/>
          <w:highlight w:val="none"/>
        </w:rPr>
        <w:t>目前日常就餐：</w:t>
      </w:r>
      <w:r>
        <w:rPr>
          <w:rFonts w:hint="eastAsia" w:ascii="仿宋_GB2312" w:hAnsi="微软雅黑" w:eastAsia="仿宋_GB2312" w:cs="微软雅黑"/>
          <w:sz w:val="24"/>
          <w:highlight w:val="none"/>
        </w:rPr>
        <w:t>早餐</w:t>
      </w:r>
      <w:r>
        <w:rPr>
          <w:rFonts w:hint="eastAsia" w:ascii="仿宋_GB2312" w:hAnsi="微软雅黑" w:eastAsia="仿宋_GB2312" w:cs="微软雅黑"/>
          <w:sz w:val="24"/>
          <w:highlight w:val="none"/>
          <w:lang w:eastAsia="zh-CN"/>
        </w:rPr>
        <w:t>（教师）、</w:t>
      </w:r>
      <w:r>
        <w:rPr>
          <w:rFonts w:hint="eastAsia" w:ascii="仿宋_GB2312" w:hAnsi="微软雅黑" w:eastAsia="仿宋_GB2312" w:cs="微软雅黑"/>
          <w:sz w:val="24"/>
          <w:highlight w:val="none"/>
        </w:rPr>
        <w:t>午餐（</w:t>
      </w:r>
      <w:r>
        <w:rPr>
          <w:rFonts w:hint="eastAsia" w:ascii="仿宋_GB2312" w:hAnsi="微软雅黑" w:eastAsia="仿宋_GB2312" w:cs="微软雅黑"/>
          <w:sz w:val="24"/>
          <w:highlight w:val="none"/>
          <w:lang w:eastAsia="zh-CN"/>
        </w:rPr>
        <w:t>学生、教师</w:t>
      </w:r>
      <w:r>
        <w:rPr>
          <w:rFonts w:hint="eastAsia" w:ascii="仿宋_GB2312" w:hAnsi="微软雅黑" w:eastAsia="仿宋_GB2312" w:cs="微软雅黑"/>
          <w:sz w:val="24"/>
          <w:highlight w:val="none"/>
        </w:rPr>
        <w:t>）。</w:t>
      </w:r>
    </w:p>
    <w:p w14:paraId="583CF853">
      <w:pPr>
        <w:spacing w:line="440" w:lineRule="exact"/>
        <w:ind w:firstLine="480" w:firstLineChars="200"/>
        <w:rPr>
          <w:rFonts w:ascii="仿宋_GB2312" w:hAnsi="微软雅黑" w:eastAsia="仿宋_GB2312" w:cs="微软雅黑"/>
          <w:color w:val="auto"/>
          <w:sz w:val="24"/>
          <w:highlight w:val="none"/>
        </w:rPr>
      </w:pPr>
      <w:r>
        <w:rPr>
          <w:rFonts w:ascii="仿宋_GB2312" w:hAnsi="微软雅黑" w:eastAsia="仿宋_GB2312" w:cs="微软雅黑"/>
          <w:color w:val="auto"/>
          <w:sz w:val="24"/>
          <w:highlight w:val="none"/>
        </w:rPr>
        <w:t>4.2</w:t>
      </w:r>
      <w:r>
        <w:rPr>
          <w:rFonts w:hint="eastAsia" w:ascii="仿宋_GB2312" w:hAnsi="微软雅黑" w:eastAsia="仿宋_GB2312" w:cs="微软雅黑"/>
          <w:color w:val="auto"/>
          <w:sz w:val="24"/>
          <w:highlight w:val="none"/>
        </w:rPr>
        <w:t>其他就餐服务。</w:t>
      </w:r>
    </w:p>
    <w:p w14:paraId="2D2418E2">
      <w:pPr>
        <w:spacing w:line="440" w:lineRule="exact"/>
        <w:ind w:firstLine="480" w:firstLineChars="200"/>
        <w:rPr>
          <w:rFonts w:ascii="仿宋_GB2312" w:hAnsi="宋体" w:eastAsia="仿宋_GB2312"/>
          <w:sz w:val="24"/>
          <w:highlight w:val="none"/>
        </w:rPr>
      </w:pPr>
      <w:r>
        <w:rPr>
          <w:rFonts w:ascii="仿宋_GB2312" w:hAnsi="微软雅黑" w:eastAsia="仿宋_GB2312" w:cs="微软雅黑"/>
          <w:sz w:val="24"/>
          <w:highlight w:val="none"/>
        </w:rPr>
        <w:t>4.3</w:t>
      </w:r>
      <w:r>
        <w:rPr>
          <w:rFonts w:hint="eastAsia" w:ascii="仿宋_GB2312" w:hAnsi="微软雅黑" w:eastAsia="仿宋_GB2312" w:cs="微软雅黑"/>
          <w:sz w:val="24"/>
          <w:highlight w:val="none"/>
        </w:rPr>
        <w:t>供餐时间根据学校作息时间确定；其他就餐：以通知为准。</w:t>
      </w:r>
    </w:p>
    <w:p w14:paraId="3A532FD8">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（二）服务内容</w:t>
      </w:r>
    </w:p>
    <w:p w14:paraId="6821EC84">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w:t>
      </w:r>
      <w:r>
        <w:rPr>
          <w:rFonts w:ascii="仿宋_GB2312" w:hAnsi="宋体" w:eastAsia="仿宋_GB2312"/>
          <w:sz w:val="24"/>
          <w:highlight w:val="none"/>
        </w:rPr>
        <w:t>.</w:t>
      </w:r>
      <w:r>
        <w:rPr>
          <w:rFonts w:hint="eastAsia" w:ascii="仿宋_GB2312" w:hAnsi="宋体" w:eastAsia="仿宋_GB2312"/>
          <w:sz w:val="24"/>
          <w:highlight w:val="none"/>
        </w:rPr>
        <w:t>为学生提供基本供餐服务。</w:t>
      </w:r>
    </w:p>
    <w:p w14:paraId="6EB50517">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w:t>
      </w:r>
      <w:r>
        <w:rPr>
          <w:rFonts w:ascii="仿宋_GB2312" w:hAnsi="宋体" w:eastAsia="仿宋_GB2312"/>
          <w:sz w:val="24"/>
          <w:highlight w:val="none"/>
        </w:rPr>
        <w:t>.</w:t>
      </w:r>
      <w:r>
        <w:rPr>
          <w:rFonts w:hint="eastAsia" w:ascii="仿宋_GB2312" w:hAnsi="宋体" w:eastAsia="仿宋_GB2312"/>
          <w:sz w:val="24"/>
          <w:highlight w:val="none"/>
        </w:rPr>
        <w:t>为教职员工提供基本供餐服务。</w:t>
      </w:r>
    </w:p>
    <w:p w14:paraId="213AF74C">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w:t>
      </w:r>
      <w:r>
        <w:rPr>
          <w:rFonts w:ascii="仿宋_GB2312" w:hAnsi="宋体" w:eastAsia="仿宋_GB2312"/>
          <w:sz w:val="24"/>
          <w:highlight w:val="none"/>
        </w:rPr>
        <w:t>.</w:t>
      </w:r>
      <w:r>
        <w:rPr>
          <w:rFonts w:hint="eastAsia" w:ascii="仿宋_GB2312" w:hAnsi="宋体" w:eastAsia="仿宋_GB2312"/>
          <w:sz w:val="24"/>
          <w:highlight w:val="none"/>
        </w:rPr>
        <w:t>提供临时性会议保障供餐服务。</w:t>
      </w:r>
    </w:p>
    <w:p w14:paraId="41FF9E7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w:t>
      </w:r>
      <w:r>
        <w:rPr>
          <w:rFonts w:ascii="仿宋_GB2312" w:hAnsi="宋体" w:eastAsia="仿宋_GB2312"/>
          <w:sz w:val="24"/>
          <w:highlight w:val="none"/>
        </w:rPr>
        <w:t>.</w:t>
      </w:r>
      <w:r>
        <w:rPr>
          <w:rFonts w:hint="eastAsia" w:ascii="仿宋_GB2312" w:hAnsi="宋体" w:eastAsia="仿宋_GB2312"/>
          <w:sz w:val="24"/>
          <w:highlight w:val="none"/>
        </w:rPr>
        <w:t>其他需要完成的任务。</w:t>
      </w:r>
    </w:p>
    <w:p w14:paraId="062AC9AD">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w:t>
      </w:r>
      <w:r>
        <w:rPr>
          <w:rFonts w:ascii="仿宋_GB2312" w:hAnsi="宋体" w:eastAsia="仿宋_GB2312"/>
          <w:sz w:val="24"/>
          <w:highlight w:val="none"/>
        </w:rPr>
        <w:t>.</w:t>
      </w:r>
      <w:r>
        <w:rPr>
          <w:rFonts w:hint="eastAsia" w:ascii="仿宋_GB2312" w:hAnsi="宋体" w:eastAsia="仿宋_GB2312"/>
          <w:sz w:val="24"/>
          <w:highlight w:val="none"/>
        </w:rPr>
        <w:t>餐标：</w:t>
      </w:r>
      <w:r>
        <w:rPr>
          <w:rFonts w:hint="eastAsia" w:ascii="仿宋_GB2312" w:hAnsi="宋体" w:eastAsia="仿宋_GB2312"/>
          <w:sz w:val="24"/>
          <w:highlight w:val="none"/>
          <w:lang w:eastAsia="zh-CN"/>
        </w:rPr>
        <w:t>教师</w:t>
      </w:r>
      <w:r>
        <w:rPr>
          <w:rFonts w:hint="eastAsia" w:ascii="仿宋_GB2312" w:hAnsi="宋体" w:eastAsia="仿宋_GB2312"/>
          <w:sz w:val="24"/>
          <w:highlight w:val="none"/>
        </w:rPr>
        <w:t>（约13元/人/天）</w:t>
      </w:r>
      <w:r>
        <w:rPr>
          <w:rFonts w:hint="eastAsia" w:ascii="仿宋_GB2312" w:hAnsi="宋体" w:eastAsia="仿宋_GB2312"/>
          <w:sz w:val="24"/>
          <w:highlight w:val="none"/>
          <w:lang w:eastAsia="zh-CN"/>
        </w:rPr>
        <w:t>、学生（</w:t>
      </w:r>
      <w:r>
        <w:rPr>
          <w:rFonts w:hint="eastAsia" w:ascii="仿宋_GB2312" w:hAnsi="宋体" w:eastAsia="仿宋_GB2312"/>
          <w:sz w:val="24"/>
          <w:highlight w:val="none"/>
          <w:lang w:val="en-US" w:eastAsia="zh-CN"/>
        </w:rPr>
        <w:t>15元或10元/人/天</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w:t>
      </w:r>
    </w:p>
    <w:p w14:paraId="28311BB9">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（三）服务人员</w:t>
      </w:r>
    </w:p>
    <w:p w14:paraId="148C0061">
      <w:pPr>
        <w:topLinePunct/>
        <w:spacing w:line="440" w:lineRule="exact"/>
        <w:ind w:firstLine="480" w:firstLineChars="200"/>
        <w:rPr>
          <w:rFonts w:ascii="仿宋_GB2312" w:hAnsi="宋体" w:eastAsia="仿宋_GB2312"/>
          <w:sz w:val="24"/>
          <w:highlight w:val="none"/>
          <w:u w:val="single"/>
        </w:rPr>
      </w:pPr>
      <w:r>
        <w:rPr>
          <w:rFonts w:hint="eastAsia" w:ascii="仿宋_GB2312" w:hAnsi="宋体" w:eastAsia="仿宋_GB2312"/>
          <w:sz w:val="24"/>
          <w:highlight w:val="none"/>
        </w:rPr>
        <w:t>★</w:t>
      </w:r>
      <w:r>
        <w:rPr>
          <w:rFonts w:hint="eastAsia" w:ascii="仿宋_GB2312" w:hAnsi="宋体" w:eastAsia="仿宋_GB2312"/>
          <w:sz w:val="24"/>
          <w:highlight w:val="none"/>
          <w:u w:val="single"/>
        </w:rPr>
        <w:t>1</w:t>
      </w:r>
      <w:r>
        <w:rPr>
          <w:rFonts w:ascii="仿宋_GB2312" w:hAnsi="宋体" w:eastAsia="仿宋_GB2312"/>
          <w:sz w:val="24"/>
          <w:highlight w:val="none"/>
          <w:u w:val="single"/>
        </w:rPr>
        <w:t>.</w:t>
      </w:r>
      <w:r>
        <w:rPr>
          <w:rFonts w:hint="eastAsia" w:ascii="仿宋_GB2312" w:hAnsi="宋体" w:eastAsia="仿宋_GB2312"/>
          <w:sz w:val="24"/>
          <w:highlight w:val="none"/>
          <w:u w:val="single"/>
        </w:rPr>
        <w:t>人员配备标准如下：帮厨人员配备标准：厨师长1人，食品安全管理员1人，营养师1人；厨师配备比例按就餐人数1000人以上2人，1000人以下1人；员工配备（不含厨师长）按就餐人数1:80的比例配备。投标人应承诺在服务期间，若学校就餐人员增加，应按前述人员配备标准增加相应的服务人员。</w:t>
      </w:r>
    </w:p>
    <w:p w14:paraId="2AA22C27">
      <w:pPr>
        <w:topLinePunct/>
        <w:spacing w:line="440" w:lineRule="exact"/>
        <w:ind w:firstLine="482" w:firstLineChars="200"/>
        <w:rPr>
          <w:rFonts w:ascii="仿宋_GB2312" w:hAnsi="宋体" w:eastAsia="仿宋_GB2312"/>
          <w:b/>
          <w:sz w:val="24"/>
          <w:highlight w:val="none"/>
        </w:rPr>
      </w:pPr>
      <w:r>
        <w:rPr>
          <w:rFonts w:hint="eastAsia" w:ascii="仿宋_GB2312" w:hAnsi="宋体" w:eastAsia="仿宋_GB2312"/>
          <w:b/>
          <w:sz w:val="24"/>
          <w:highlight w:val="none"/>
        </w:rPr>
        <w:t>提供本项目配备人员的姓名、身份证号等相关信息，不得有违法犯罪纪录。投标人通过“全国法院失信被执行人名单信息发布与查询”平台（shixin.court.gov.cn））自行查询相关人员信用记录，并打印查询结果网页，附在，《服务人员一览表》后面。</w:t>
      </w:r>
    </w:p>
    <w:p w14:paraId="26B2CF41">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w:t>
      </w:r>
      <w:r>
        <w:rPr>
          <w:rFonts w:ascii="仿宋_GB2312" w:hAnsi="宋体" w:eastAsia="仿宋_GB2312"/>
          <w:sz w:val="24"/>
          <w:highlight w:val="none"/>
        </w:rPr>
        <w:t>.</w:t>
      </w:r>
      <w:r>
        <w:rPr>
          <w:rFonts w:hint="eastAsia" w:ascii="仿宋_GB2312" w:hAnsi="宋体" w:eastAsia="仿宋_GB2312"/>
          <w:sz w:val="24"/>
          <w:highlight w:val="none"/>
        </w:rPr>
        <w:t>服务人员原则上不得更换，如特殊情况需进行调换，必须向招标人提交书面申请，经同意后方可调换，否则，招标人有权终止合同且不承担违约责任。</w:t>
      </w:r>
    </w:p>
    <w:p w14:paraId="690349E2">
      <w:pPr>
        <w:topLinePunct/>
        <w:spacing w:line="440" w:lineRule="exact"/>
        <w:ind w:firstLine="480" w:firstLineChars="200"/>
        <w:rPr>
          <w:rFonts w:ascii="仿宋_GB2312" w:hAnsi="宋体" w:eastAsia="仿宋_GB2312"/>
          <w:sz w:val="24"/>
          <w:highlight w:val="none"/>
          <w:lang w:val="en-GB"/>
        </w:rPr>
      </w:pPr>
      <w:r>
        <w:rPr>
          <w:rFonts w:hint="eastAsia" w:ascii="仿宋_GB2312" w:hAnsi="宋体" w:eastAsia="仿宋_GB2312"/>
          <w:sz w:val="24"/>
          <w:highlight w:val="none"/>
          <w:lang w:val="en-GB"/>
        </w:rPr>
        <w:t>3</w:t>
      </w:r>
      <w:r>
        <w:rPr>
          <w:rFonts w:ascii="仿宋_GB2312" w:hAnsi="宋体" w:eastAsia="仿宋_GB2312"/>
          <w:sz w:val="24"/>
          <w:highlight w:val="none"/>
          <w:lang w:val="en-GB"/>
        </w:rPr>
        <w:t>.</w:t>
      </w:r>
      <w:r>
        <w:rPr>
          <w:rFonts w:hint="eastAsia" w:ascii="仿宋_GB2312" w:hAnsi="宋体" w:eastAsia="仿宋_GB2312"/>
          <w:sz w:val="24"/>
          <w:highlight w:val="none"/>
          <w:lang w:val="en-GB"/>
        </w:rPr>
        <w:t>不得安排临时人员进行帮厨服务，</w:t>
      </w:r>
      <w:r>
        <w:rPr>
          <w:rFonts w:hint="eastAsia" w:ascii="仿宋_GB2312" w:hAnsi="宋体" w:eastAsia="仿宋_GB2312"/>
          <w:sz w:val="24"/>
          <w:highlight w:val="none"/>
        </w:rPr>
        <w:t>否则，招标人有权终止合同且不承担违约责任。</w:t>
      </w:r>
    </w:p>
    <w:p w14:paraId="197D5DA3">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（四）服务要求</w:t>
      </w:r>
    </w:p>
    <w:p w14:paraId="6C7EBAB5">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严格执行学校的管理规定及供餐模式。每周五营养师确定好下周带量食谱，报食堂负责人同意后，向全体师生及家长公示。按照《青岛市中小学生营养餐管理规范》要求，制定食谱，做到为学生提供丰富多样的食品、菜品，具体应按学校实际需求确定，保质保量，规范加工，确保每日供餐的正常供应。</w:t>
      </w:r>
    </w:p>
    <w:p w14:paraId="0E260882">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2.按照《餐饮服务食品安全操作规范》的要求加工制作食品。按照规范要求进行食品留样，做好留样记录。食品安全关键控制点管理应符合《青岛市中小学校（托幼机构）食堂标准管理规范》要求。</w:t>
      </w:r>
    </w:p>
    <w:p w14:paraId="07F189C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保证参与现场服务的供餐人员心理健康、个人卫生、工作服装、防护用品到位，服务态度良好，具备符合食品卫生供餐要求和处理现场突发事故的能力；要加强对食品安全、规范操作、个人人身安全等各方面的培训，不断完善，自我管理，保障服务期间无责任事故发生。</w:t>
      </w:r>
    </w:p>
    <w:p w14:paraId="556B9517">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4.帮厨公司主动接受服务学校及各级各类专业部门对环境卫生、食品安全、服务态度、饭菜质量等进行的监督、检查。</w:t>
      </w:r>
    </w:p>
    <w:p w14:paraId="11F04BD9">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5.师生、家长针对饭菜质量满意率达不到</w:t>
      </w:r>
      <w:r>
        <w:rPr>
          <w:rFonts w:ascii="仿宋_GB2312" w:hAnsi="宋体" w:eastAsia="仿宋_GB2312"/>
          <w:sz w:val="24"/>
          <w:highlight w:val="none"/>
        </w:rPr>
        <w:t>85</w:t>
      </w:r>
      <w:r>
        <w:rPr>
          <w:rFonts w:hint="eastAsia" w:ascii="仿宋_GB2312" w:hAnsi="宋体" w:eastAsia="仿宋_GB2312"/>
          <w:sz w:val="24"/>
          <w:highlight w:val="none"/>
        </w:rPr>
        <w:t>%，视同违约，按合同执行；如因帮厨单位原因发生的食品安全事故，视同违约，按合同执行。</w:t>
      </w:r>
    </w:p>
    <w:p w14:paraId="5B33C61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（五）管理要求</w:t>
      </w:r>
    </w:p>
    <w:p w14:paraId="5976EF65">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1.许可管理</w:t>
      </w:r>
    </w:p>
    <w:p w14:paraId="3B157EB4">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1.1.不得超出学校食堂《食品经营许可证》上的许可范围。</w:t>
      </w:r>
    </w:p>
    <w:p w14:paraId="4547EF23">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1.2.不得擅自改变许可类别、备注项目及经营地址。</w:t>
      </w:r>
    </w:p>
    <w:p w14:paraId="7E4007EF">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1.3.没有转让、涂改、出借、倒卖、出租许可证的行为。</w:t>
      </w:r>
    </w:p>
    <w:p w14:paraId="77E101E6">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2.人员管理</w:t>
      </w:r>
    </w:p>
    <w:p w14:paraId="419BF68A">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2.1.不得聘用禁聘人员从事食品安全管理。（禁聘人员指：被吊销食品相关许可证的单位，其直接负责的主管人员自处罚决定作出之日起五年内不得从事食品生产经营管理工作，及患有痢疾、伤寒、甲型病毒性肝炎、戊型病毒性肝炎等消化道传染病，以及患有活动性肺结核、化脓性或者渗出性皮肤病的人员）。</w:t>
      </w:r>
    </w:p>
    <w:p w14:paraId="792229DE">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2.2.食品安全管理人员、从业人员须持健康上岗，建立健康、培训管理档案。</w:t>
      </w:r>
    </w:p>
    <w:p w14:paraId="369BF477">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2.3.执行从业人员晨检制度（晨检项目：发热、呕吐、腹泻、咳血</w:t>
      </w:r>
      <w:bookmarkStart w:id="118" w:name="_GoBack"/>
      <w:bookmarkEnd w:id="118"/>
      <w:r>
        <w:rPr>
          <w:rFonts w:hint="eastAsia" w:ascii="仿宋_GB2312" w:hAnsi="宋体" w:eastAsia="仿宋_GB2312"/>
          <w:sz w:val="24"/>
          <w:highlight w:val="none"/>
        </w:rPr>
        <w:t>以及咽部、肺部、皮肤化脓性病症等）。患有有碍食品安全上述病症的人员应立即调离工作岗位，待查明原因并将有碍食品安全的病症治愈后，方可重新上岗。</w:t>
      </w:r>
    </w:p>
    <w:p w14:paraId="5CF16C13">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2.4.从业人员个人卫生符合卫生要求（操作时应穿戴清洁的工作衣帽，头发不得外露，不得留长指甲、涂指甲油、佩带饰物。专间操作人员应戴口罩。操作前应洗净手部，操作过程中应保持手部清洁，手部受到污染后应及时洗手）。售卖食品时戴口罩、胸卡（工号牌），售卖熟食戴一次性手套。</w:t>
      </w:r>
    </w:p>
    <w:p w14:paraId="4E162B01">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2.5.开展食品安全管理人员、从业人员、营养师的专题培训。食品安全管理人员原则上每年应接受不少于40小时的食品安全集中培训。</w:t>
      </w:r>
    </w:p>
    <w:p w14:paraId="6B66AFC0">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3.索证管理</w:t>
      </w:r>
    </w:p>
    <w:p w14:paraId="73B1C55C">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3.1.食堂台账登记规范，验收、出库手续齐备，品名、数量、单价、金额真实准确，经手人、验收人、审批人签字手续齐全。</w:t>
      </w:r>
    </w:p>
    <w:p w14:paraId="24276BF4">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3.2.原料贮存符合安全要求，库存食品未超过保质期。</w:t>
      </w:r>
    </w:p>
    <w:p w14:paraId="46A40766">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4.加工管理</w:t>
      </w:r>
    </w:p>
    <w:p w14:paraId="431AA6A1">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4.1.没有使用超期变质食品原料等影响食品安全的行为。</w:t>
      </w:r>
    </w:p>
    <w:p w14:paraId="6A405DC6">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4.2.生熟食品未存在交叉污染。</w:t>
      </w:r>
    </w:p>
    <w:p w14:paraId="5743311A">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4.3.加工制作的食品能够做到烧熟煮透。</w:t>
      </w:r>
    </w:p>
    <w:p w14:paraId="2605CEBD">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4.4.存放时间超过2小时的食品食用前经过充分加热。</w:t>
      </w:r>
    </w:p>
    <w:p w14:paraId="51016710">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5.添加剂管理</w:t>
      </w:r>
    </w:p>
    <w:p w14:paraId="33FE950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5.1食堂食品添加剂使用符合GB2760-2011《食品添加剂使用标准》。</w:t>
      </w:r>
    </w:p>
    <w:p w14:paraId="4D7E4D00">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5.2达到专店采购、专柜存放、专人负责、专用工具、专用台账的“五专”要求。</w:t>
      </w:r>
    </w:p>
    <w:p w14:paraId="07BE82ED">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6.洗消管理</w:t>
      </w:r>
    </w:p>
    <w:p w14:paraId="20ABE22C">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6.1.食堂坚持每天保洁，餐饮具一洗、二刷、三冲、四消毒、五保洁。经常对设施设备进行消毒，有消毒记录。</w:t>
      </w:r>
    </w:p>
    <w:p w14:paraId="45041226">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6.2.消毒池与其他水池不能混用。</w:t>
      </w:r>
    </w:p>
    <w:p w14:paraId="69D665E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6.3.餐饮具消毒符合《餐饮服务食品安全操作规范》中附件2（餐用具清洗消毒方法）的要求。</w:t>
      </w:r>
    </w:p>
    <w:p w14:paraId="40E3FAA9">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6.4.消毒人员掌握基本消毒知识（详见《餐饮服务食品安全操作规范》附件6）。</w:t>
      </w:r>
    </w:p>
    <w:p w14:paraId="05B45195">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6.5.紫外线消毒灯的使用要符合安全要求，并有消毒记录。</w:t>
      </w:r>
    </w:p>
    <w:p w14:paraId="7B761986">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7.日常管理</w:t>
      </w:r>
    </w:p>
    <w:p w14:paraId="36B48D11">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7.1.严格执行《食品安全法》《餐饮服务食品安全操作规范》《山东省学校食堂食品安全监督检查办法》，定期开展食品安全自查，及时整改；开展周</w:t>
      </w:r>
      <w:r>
        <w:rPr>
          <w:rFonts w:hint="eastAsia" w:ascii="仿宋_GB2312" w:hAnsi="宋体" w:eastAsia="仿宋_GB2312"/>
          <w:b/>
          <w:bCs/>
          <w:sz w:val="24"/>
          <w:highlight w:val="none"/>
        </w:rPr>
        <w:t>、</w:t>
      </w:r>
      <w:r>
        <w:rPr>
          <w:rFonts w:hint="eastAsia" w:ascii="仿宋_GB2312" w:hAnsi="宋体" w:eastAsia="仿宋_GB2312"/>
          <w:sz w:val="24"/>
          <w:highlight w:val="none"/>
        </w:rPr>
        <w:t>月度自查活动，做好自查记录并公示。</w:t>
      </w:r>
    </w:p>
    <w:p w14:paraId="03C6BDF4">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7.2.盛放生食、半成品、熟食的容器标志明确，严格分开，离地上架，严格消毒。</w:t>
      </w:r>
    </w:p>
    <w:p w14:paraId="71E297E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7.3.厨房餐具、用具实行液浸和高温消毒；学生公共餐具原则上采取高温消毒。</w:t>
      </w:r>
    </w:p>
    <w:p w14:paraId="51FFBB00">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7.4.食堂内划分卫生区，责任到人；每餐后清扫，每周进行大清扫，保持食堂内外环境整洁。</w:t>
      </w:r>
    </w:p>
    <w:p w14:paraId="5361ED56">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7.5.油脂等废弃物有专用容器存放，并加盖做好记录。</w:t>
      </w:r>
    </w:p>
    <w:p w14:paraId="438A3DF2">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7.6.食堂储藏间做到防潮、防蛀、防霉、防盗，物品分类、分架、隔墙、离地存放，且有标识（品名、出厂日期、保持期等）。</w:t>
      </w:r>
    </w:p>
    <w:p w14:paraId="786B29EA">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7.7.保证机械设备完好，操作规范安全，使用完毕应清洗干净，摆放整齐。</w:t>
      </w:r>
    </w:p>
    <w:p w14:paraId="43921C49">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7.8.中小学校食堂杜绝制售冷凉菜。</w:t>
      </w:r>
    </w:p>
    <w:p w14:paraId="5C75183C">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7.9.食堂每天应有值班人员，防火、防盗、防食物中毒措施落实。</w:t>
      </w:r>
    </w:p>
    <w:p w14:paraId="23E438C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7.10.水、电、燃气及时关闭，杜绝浪费。</w:t>
      </w:r>
    </w:p>
    <w:p w14:paraId="5AFA0BDB">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1"/>
        <w:rPr>
          <w:rFonts w:ascii="黑体" w:eastAsia="黑体"/>
          <w:b w:val="0"/>
          <w:sz w:val="24"/>
          <w:szCs w:val="24"/>
          <w:highlight w:val="none"/>
        </w:rPr>
      </w:pPr>
      <w:bookmarkStart w:id="63" w:name="_Toc11851500"/>
      <w:r>
        <w:rPr>
          <w:rFonts w:hint="eastAsia" w:ascii="黑体" w:eastAsia="黑体"/>
          <w:b w:val="0"/>
          <w:sz w:val="24"/>
          <w:szCs w:val="24"/>
          <w:highlight w:val="none"/>
        </w:rPr>
        <w:t>四、项目主要方案要求</w:t>
      </w:r>
      <w:bookmarkEnd w:id="63"/>
    </w:p>
    <w:p w14:paraId="3CA69C97">
      <w:pPr>
        <w:keepNext w:val="0"/>
        <w:keepLines w:val="0"/>
        <w:pageBreakBefore w:val="0"/>
        <w:widowControl w:val="0"/>
        <w:kinsoku/>
        <w:wordWrap/>
        <w:overflowPunct/>
        <w:topLinePunct/>
        <w:autoSpaceDE/>
        <w:autoSpaceDN/>
        <w:bidi w:val="0"/>
        <w:adjustRightInd/>
        <w:snapToGrid/>
        <w:spacing w:line="440" w:lineRule="exact"/>
        <w:ind w:firstLine="482" w:firstLineChars="200"/>
        <w:textAlignment w:val="auto"/>
        <w:rPr>
          <w:rFonts w:ascii="仿宋_GB2312" w:hAnsi="宋体" w:eastAsia="仿宋_GB2312"/>
          <w:b/>
          <w:sz w:val="24"/>
          <w:highlight w:val="none"/>
        </w:rPr>
      </w:pPr>
      <w:r>
        <w:rPr>
          <w:rFonts w:hint="eastAsia" w:ascii="仿宋_GB2312" w:hAnsi="宋体" w:eastAsia="仿宋_GB2312"/>
          <w:b/>
          <w:sz w:val="24"/>
          <w:highlight w:val="none"/>
        </w:rPr>
        <w:t>（一）服务方案</w:t>
      </w:r>
    </w:p>
    <w:p w14:paraId="56F36F91">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主要内容包括但不限于：</w:t>
      </w:r>
    </w:p>
    <w:p w14:paraId="4146AFEE">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1、经营管理理念；</w:t>
      </w:r>
    </w:p>
    <w:p w14:paraId="7F7A1869">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2、经营团队；</w:t>
      </w:r>
    </w:p>
    <w:p w14:paraId="540F1941">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3、企业团队优势；</w:t>
      </w:r>
    </w:p>
    <w:p w14:paraId="1B284852">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4、经营定位、目标；</w:t>
      </w:r>
    </w:p>
    <w:p w14:paraId="65DD253F">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5、工作职责、态度；</w:t>
      </w:r>
    </w:p>
    <w:p w14:paraId="69F84765">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6、卫生与安全；</w:t>
      </w:r>
    </w:p>
    <w:p w14:paraId="77BDFC3E">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7、品质与价格；</w:t>
      </w:r>
    </w:p>
    <w:p w14:paraId="51A15820">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8、突发事件的应急预案（如停水、停电、员工受伤等）。</w:t>
      </w:r>
    </w:p>
    <w:p w14:paraId="04686580">
      <w:pPr>
        <w:topLinePunct/>
        <w:spacing w:line="440" w:lineRule="exact"/>
        <w:ind w:firstLine="482" w:firstLineChars="200"/>
        <w:rPr>
          <w:rFonts w:ascii="仿宋_GB2312" w:hAnsi="宋体" w:eastAsia="仿宋_GB2312"/>
          <w:b/>
          <w:sz w:val="24"/>
          <w:highlight w:val="none"/>
        </w:rPr>
      </w:pPr>
      <w:r>
        <w:rPr>
          <w:rFonts w:hint="eastAsia" w:ascii="仿宋_GB2312" w:hAnsi="宋体" w:eastAsia="仿宋_GB2312"/>
          <w:b/>
          <w:sz w:val="24"/>
          <w:highlight w:val="none"/>
        </w:rPr>
        <w:t>（二）安全方案</w:t>
      </w:r>
    </w:p>
    <w:p w14:paraId="1A6CEA13">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主要内容包括但不限于：</w:t>
      </w:r>
    </w:p>
    <w:p w14:paraId="04F7EE20">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1、食堂卫生管理制度；</w:t>
      </w:r>
    </w:p>
    <w:p w14:paraId="7F59E136">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2、食堂从业人员培训管理制度；</w:t>
      </w:r>
    </w:p>
    <w:p w14:paraId="5A447660">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3、食堂从业人员健康管理制度；</w:t>
      </w:r>
    </w:p>
    <w:p w14:paraId="6A6D6BB3">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4、食堂加工经营场所及设施设备清洁、消毒制度；</w:t>
      </w:r>
    </w:p>
    <w:p w14:paraId="36951233">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5、食堂采购索证索票、进货查验和台账记录制度；</w:t>
      </w:r>
    </w:p>
    <w:p w14:paraId="0432E109">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6、食堂库房管理制度；</w:t>
      </w:r>
    </w:p>
    <w:p w14:paraId="47128CEF">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7、食堂餐厨废弃物处置管理制度；</w:t>
      </w:r>
    </w:p>
    <w:p w14:paraId="73CAA0C9">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8、食堂食品留样制度；</w:t>
      </w:r>
    </w:p>
    <w:p w14:paraId="2A8CE007">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9、食堂除虫灭害管理制度；</w:t>
      </w:r>
    </w:p>
    <w:p w14:paraId="32BCCF23">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10、学校食品安全突发事件应急处置预案。</w:t>
      </w:r>
    </w:p>
    <w:p w14:paraId="2E54AA15">
      <w:pPr>
        <w:pStyle w:val="141"/>
        <w:keepNext w:val="0"/>
        <w:keepLines w:val="0"/>
        <w:pageBreakBefore w:val="0"/>
        <w:widowControl w:val="0"/>
        <w:kinsoku/>
        <w:wordWrap/>
        <w:overflowPunct/>
        <w:autoSpaceDE/>
        <w:autoSpaceDN/>
        <w:bidi w:val="0"/>
        <w:adjustRightInd/>
        <w:snapToGrid/>
        <w:spacing w:before="0" w:beforeAutospacing="0" w:after="0" w:afterLines="0" w:afterAutospacing="0" w:line="440" w:lineRule="exact"/>
        <w:ind w:firstLine="480" w:firstLineChars="200"/>
        <w:jc w:val="both"/>
        <w:textAlignment w:val="auto"/>
        <w:outlineLvl w:val="1"/>
        <w:rPr>
          <w:rFonts w:ascii="黑体" w:eastAsia="黑体"/>
          <w:b w:val="0"/>
          <w:sz w:val="24"/>
          <w:szCs w:val="24"/>
          <w:highlight w:val="none"/>
        </w:rPr>
      </w:pPr>
      <w:bookmarkStart w:id="64" w:name="_Toc11851501"/>
      <w:r>
        <w:rPr>
          <w:rFonts w:hint="eastAsia" w:ascii="黑体" w:eastAsia="黑体"/>
          <w:b w:val="0"/>
          <w:sz w:val="24"/>
          <w:szCs w:val="24"/>
          <w:highlight w:val="none"/>
        </w:rPr>
        <w:t>五、投标演示要求</w:t>
      </w:r>
      <w:bookmarkEnd w:id="64"/>
    </w:p>
    <w:p w14:paraId="2F16CB66">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1、投标时需要针对本次招标学校情况如何提供服务、预防安全事故的发生，进行PPT演示，演示时间</w:t>
      </w:r>
      <w:r>
        <w:rPr>
          <w:rFonts w:ascii="仿宋_GB2312" w:hAnsi="宋体" w:eastAsia="仿宋_GB2312"/>
          <w:sz w:val="24"/>
          <w:highlight w:val="none"/>
        </w:rPr>
        <w:t>10</w:t>
      </w:r>
      <w:r>
        <w:rPr>
          <w:rFonts w:hint="eastAsia" w:ascii="仿宋_GB2312" w:hAnsi="宋体" w:eastAsia="仿宋_GB2312"/>
          <w:sz w:val="24"/>
          <w:highlight w:val="none"/>
        </w:rPr>
        <w:t>分钟，且现场演示内容需与招标文件要求内容相符，不能满足者，做无效标处理。</w:t>
      </w:r>
    </w:p>
    <w:p w14:paraId="09669FA4">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2、应列出服务内容及优惠条款。</w:t>
      </w:r>
    </w:p>
    <w:p w14:paraId="5E350540">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3、应对服务内容、期限做出承诺。</w:t>
      </w:r>
    </w:p>
    <w:p w14:paraId="3E960ECB">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4、投标人不得将本项目进行分包和转包。</w:t>
      </w:r>
    </w:p>
    <w:p w14:paraId="4503252C">
      <w:pPr>
        <w:topLinePunct/>
        <w:spacing w:line="44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5、应能充分满足招标人的其他需求。</w:t>
      </w:r>
    </w:p>
    <w:p w14:paraId="5669EFCD">
      <w:pPr>
        <w:pStyle w:val="141"/>
        <w:keepNext w:val="0"/>
        <w:keepLines w:val="0"/>
        <w:pageBreakBefore w:val="0"/>
        <w:widowControl w:val="0"/>
        <w:kinsoku/>
        <w:wordWrap/>
        <w:overflowPunct/>
        <w:topLinePunct w:val="0"/>
        <w:autoSpaceDE/>
        <w:autoSpaceDN/>
        <w:bidi w:val="0"/>
        <w:adjustRightInd/>
        <w:spacing w:before="0" w:beforeAutospacing="0" w:after="0" w:afterLines="0" w:afterAutospacing="0" w:line="440" w:lineRule="exact"/>
        <w:ind w:firstLine="480" w:firstLineChars="200"/>
        <w:jc w:val="both"/>
        <w:textAlignment w:val="auto"/>
        <w:outlineLvl w:val="1"/>
        <w:rPr>
          <w:rFonts w:ascii="黑体" w:eastAsia="黑体"/>
          <w:b w:val="0"/>
          <w:sz w:val="24"/>
          <w:szCs w:val="24"/>
          <w:highlight w:val="none"/>
        </w:rPr>
      </w:pPr>
      <w:bookmarkStart w:id="65" w:name="_Toc11851502"/>
      <w:r>
        <w:rPr>
          <w:rFonts w:hint="eastAsia" w:ascii="黑体" w:eastAsia="黑体"/>
          <w:b w:val="0"/>
          <w:sz w:val="24"/>
          <w:szCs w:val="24"/>
          <w:highlight w:val="none"/>
        </w:rPr>
        <w:t>六、项目考核方法</w:t>
      </w:r>
      <w:bookmarkEnd w:id="65"/>
    </w:p>
    <w:p w14:paraId="45D5FB1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微软雅黑" w:hAnsi="微软雅黑" w:eastAsia="微软雅黑" w:cs="微软雅黑"/>
          <w:sz w:val="24"/>
          <w:highlight w:val="none"/>
        </w:rPr>
      </w:pPr>
      <w:r>
        <w:rPr>
          <w:rFonts w:hint="eastAsia" w:ascii="仿宋_GB2312" w:hAnsi="微软雅黑" w:eastAsia="仿宋_GB2312" w:cs="微软雅黑"/>
          <w:sz w:val="24"/>
          <w:highlight w:val="none"/>
        </w:rPr>
        <w:t>招标人每学期</w:t>
      </w:r>
      <w:r>
        <w:rPr>
          <w:rFonts w:hint="eastAsia" w:ascii="仿宋_GB2312" w:hAnsi="仿宋" w:eastAsia="仿宋_GB2312" w:cs="仿宋"/>
          <w:sz w:val="24"/>
          <w:highlight w:val="none"/>
          <w:lang w:val="zh-CN"/>
        </w:rPr>
        <w:t>随机选取80%（教师代表、学生代表及家委会代表）的人员，</w:t>
      </w:r>
      <w:r>
        <w:rPr>
          <w:rFonts w:hint="eastAsia" w:ascii="仿宋_GB2312" w:hAnsi="微软雅黑" w:eastAsia="仿宋_GB2312" w:cs="微软雅黑"/>
          <w:sz w:val="24"/>
          <w:highlight w:val="none"/>
        </w:rPr>
        <w:t>进行满意度测评</w:t>
      </w:r>
      <w:r>
        <w:rPr>
          <w:rFonts w:hint="eastAsia" w:ascii="仿宋_GB2312" w:hAnsi="仿宋" w:eastAsia="仿宋_GB2312" w:cs="仿宋"/>
          <w:sz w:val="24"/>
          <w:highlight w:val="none"/>
          <w:lang w:val="zh-CN"/>
        </w:rPr>
        <w:t>，满意度达不到8</w:t>
      </w:r>
      <w:r>
        <w:rPr>
          <w:rFonts w:ascii="仿宋_GB2312" w:hAnsi="仿宋" w:eastAsia="仿宋_GB2312" w:cs="仿宋"/>
          <w:sz w:val="24"/>
          <w:highlight w:val="none"/>
          <w:lang w:val="zh-CN"/>
        </w:rPr>
        <w:t>5</w:t>
      </w:r>
      <w:r>
        <w:rPr>
          <w:rFonts w:hint="eastAsia" w:ascii="仿宋_GB2312" w:hAnsi="仿宋" w:eastAsia="仿宋_GB2312" w:cs="仿宋"/>
          <w:sz w:val="24"/>
          <w:highlight w:val="none"/>
          <w:lang w:val="zh-CN"/>
        </w:rPr>
        <w:t>分的，按合同违约条款执行。</w:t>
      </w:r>
    </w:p>
    <w:p w14:paraId="3435277A">
      <w:pPr>
        <w:snapToGrid w:val="0"/>
        <w:spacing w:beforeLines="50" w:afterLines="50" w:line="440" w:lineRule="exact"/>
        <w:jc w:val="center"/>
        <w:rPr>
          <w:rFonts w:ascii="仿宋_GB2312" w:hAnsi="微软雅黑" w:eastAsia="仿宋_GB2312" w:cs="微软雅黑"/>
          <w:sz w:val="24"/>
          <w:highlight w:val="none"/>
        </w:rPr>
      </w:pPr>
      <w:r>
        <w:rPr>
          <w:rFonts w:hint="eastAsia" w:ascii="黑体" w:hAnsi="黑体" w:eastAsia="黑体" w:cs="微软雅黑"/>
          <w:sz w:val="24"/>
          <w:highlight w:val="none"/>
        </w:rPr>
        <w:t>满意度测评表</w:t>
      </w:r>
    </w:p>
    <w:tbl>
      <w:tblPr>
        <w:tblStyle w:val="40"/>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4298"/>
        <w:gridCol w:w="950"/>
        <w:gridCol w:w="950"/>
        <w:gridCol w:w="950"/>
        <w:gridCol w:w="950"/>
      </w:tblGrid>
      <w:tr w14:paraId="0DC9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4A7CDA34">
            <w:pPr>
              <w:snapToGrid w:val="0"/>
              <w:spacing w:line="440" w:lineRule="exact"/>
              <w:jc w:val="center"/>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序号</w:t>
            </w:r>
          </w:p>
        </w:tc>
        <w:tc>
          <w:tcPr>
            <w:tcW w:w="4298" w:type="dxa"/>
            <w:tcBorders>
              <w:top w:val="single" w:color="auto" w:sz="4" w:space="0"/>
              <w:left w:val="single" w:color="auto" w:sz="4" w:space="0"/>
              <w:bottom w:val="single" w:color="auto" w:sz="4" w:space="0"/>
              <w:right w:val="single" w:color="auto" w:sz="4" w:space="0"/>
            </w:tcBorders>
            <w:vAlign w:val="center"/>
          </w:tcPr>
          <w:p w14:paraId="49969C66">
            <w:pPr>
              <w:snapToGrid w:val="0"/>
              <w:spacing w:line="440" w:lineRule="exact"/>
              <w:jc w:val="center"/>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测评项目</w:t>
            </w:r>
          </w:p>
        </w:tc>
        <w:tc>
          <w:tcPr>
            <w:tcW w:w="950" w:type="dxa"/>
            <w:tcBorders>
              <w:top w:val="single" w:color="auto" w:sz="4" w:space="0"/>
              <w:left w:val="single" w:color="auto" w:sz="4" w:space="0"/>
              <w:bottom w:val="single" w:color="auto" w:sz="4" w:space="0"/>
              <w:right w:val="single" w:color="auto" w:sz="4" w:space="0"/>
            </w:tcBorders>
            <w:vAlign w:val="center"/>
          </w:tcPr>
          <w:p w14:paraId="54C69DDC">
            <w:pPr>
              <w:snapToGrid w:val="0"/>
              <w:spacing w:line="440" w:lineRule="exact"/>
              <w:jc w:val="center"/>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很满意</w:t>
            </w:r>
          </w:p>
        </w:tc>
        <w:tc>
          <w:tcPr>
            <w:tcW w:w="950" w:type="dxa"/>
            <w:tcBorders>
              <w:top w:val="single" w:color="auto" w:sz="4" w:space="0"/>
              <w:left w:val="single" w:color="auto" w:sz="4" w:space="0"/>
              <w:bottom w:val="single" w:color="auto" w:sz="4" w:space="0"/>
              <w:right w:val="single" w:color="auto" w:sz="4" w:space="0"/>
            </w:tcBorders>
            <w:vAlign w:val="center"/>
          </w:tcPr>
          <w:p w14:paraId="496BFC1F">
            <w:pPr>
              <w:snapToGrid w:val="0"/>
              <w:spacing w:line="440" w:lineRule="exact"/>
              <w:jc w:val="center"/>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满意</w:t>
            </w:r>
          </w:p>
        </w:tc>
        <w:tc>
          <w:tcPr>
            <w:tcW w:w="950" w:type="dxa"/>
            <w:tcBorders>
              <w:top w:val="single" w:color="auto" w:sz="4" w:space="0"/>
              <w:left w:val="single" w:color="auto" w:sz="4" w:space="0"/>
              <w:bottom w:val="single" w:color="auto" w:sz="4" w:space="0"/>
              <w:right w:val="single" w:color="auto" w:sz="4" w:space="0"/>
            </w:tcBorders>
            <w:vAlign w:val="center"/>
          </w:tcPr>
          <w:p w14:paraId="3AE4C3EB">
            <w:pPr>
              <w:snapToGrid w:val="0"/>
              <w:spacing w:line="440" w:lineRule="exact"/>
              <w:jc w:val="center"/>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一般</w:t>
            </w:r>
          </w:p>
        </w:tc>
        <w:tc>
          <w:tcPr>
            <w:tcW w:w="950" w:type="dxa"/>
            <w:tcBorders>
              <w:top w:val="single" w:color="auto" w:sz="4" w:space="0"/>
              <w:left w:val="single" w:color="auto" w:sz="4" w:space="0"/>
              <w:bottom w:val="single" w:color="auto" w:sz="4" w:space="0"/>
              <w:right w:val="single" w:color="auto" w:sz="4" w:space="0"/>
            </w:tcBorders>
            <w:vAlign w:val="center"/>
          </w:tcPr>
          <w:p w14:paraId="32A31E2C">
            <w:pPr>
              <w:snapToGrid w:val="0"/>
              <w:spacing w:line="440" w:lineRule="exact"/>
              <w:jc w:val="center"/>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不满意</w:t>
            </w:r>
          </w:p>
        </w:tc>
      </w:tr>
      <w:tr w14:paraId="21E9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40EE63A0">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1</w:t>
            </w:r>
          </w:p>
        </w:tc>
        <w:tc>
          <w:tcPr>
            <w:tcW w:w="4298" w:type="dxa"/>
            <w:tcBorders>
              <w:top w:val="single" w:color="auto" w:sz="4" w:space="0"/>
              <w:left w:val="single" w:color="auto" w:sz="4" w:space="0"/>
              <w:bottom w:val="single" w:color="auto" w:sz="4" w:space="0"/>
              <w:right w:val="single" w:color="auto" w:sz="4" w:space="0"/>
            </w:tcBorders>
            <w:vAlign w:val="center"/>
          </w:tcPr>
          <w:p w14:paraId="16C0D20C">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食堂饭菜的新鲜度及食材质量（10分）</w:t>
            </w:r>
          </w:p>
        </w:tc>
        <w:tc>
          <w:tcPr>
            <w:tcW w:w="950" w:type="dxa"/>
            <w:tcBorders>
              <w:top w:val="single" w:color="auto" w:sz="4" w:space="0"/>
              <w:left w:val="single" w:color="auto" w:sz="4" w:space="0"/>
              <w:bottom w:val="single" w:color="auto" w:sz="4" w:space="0"/>
              <w:right w:val="single" w:color="auto" w:sz="4" w:space="0"/>
            </w:tcBorders>
            <w:vAlign w:val="center"/>
          </w:tcPr>
          <w:p w14:paraId="775757F9">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68EECB5">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4EF972D9">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3E30B26">
            <w:pPr>
              <w:snapToGrid w:val="0"/>
              <w:spacing w:line="440" w:lineRule="exact"/>
              <w:ind w:firstLine="480" w:firstLineChars="200"/>
              <w:rPr>
                <w:rFonts w:ascii="仿宋_GB2312" w:hAnsi="微软雅黑" w:eastAsia="仿宋_GB2312" w:cs="微软雅黑"/>
                <w:sz w:val="24"/>
                <w:highlight w:val="none"/>
              </w:rPr>
            </w:pPr>
          </w:p>
        </w:tc>
      </w:tr>
      <w:tr w14:paraId="3547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2BB39A81">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2</w:t>
            </w:r>
          </w:p>
        </w:tc>
        <w:tc>
          <w:tcPr>
            <w:tcW w:w="4298" w:type="dxa"/>
            <w:tcBorders>
              <w:top w:val="single" w:color="auto" w:sz="4" w:space="0"/>
              <w:left w:val="single" w:color="auto" w:sz="4" w:space="0"/>
              <w:bottom w:val="single" w:color="auto" w:sz="4" w:space="0"/>
              <w:right w:val="single" w:color="auto" w:sz="4" w:space="0"/>
            </w:tcBorders>
            <w:vAlign w:val="center"/>
          </w:tcPr>
          <w:p w14:paraId="4050F627">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食堂饭菜荤素营养搭配（10分）</w:t>
            </w:r>
          </w:p>
        </w:tc>
        <w:tc>
          <w:tcPr>
            <w:tcW w:w="950" w:type="dxa"/>
            <w:tcBorders>
              <w:top w:val="single" w:color="auto" w:sz="4" w:space="0"/>
              <w:left w:val="single" w:color="auto" w:sz="4" w:space="0"/>
              <w:bottom w:val="single" w:color="auto" w:sz="4" w:space="0"/>
              <w:right w:val="single" w:color="auto" w:sz="4" w:space="0"/>
            </w:tcBorders>
            <w:vAlign w:val="center"/>
          </w:tcPr>
          <w:p w14:paraId="418569DF">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8026B7E">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25F08A3D">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03DAD0BC">
            <w:pPr>
              <w:snapToGrid w:val="0"/>
              <w:spacing w:line="440" w:lineRule="exact"/>
              <w:ind w:firstLine="480" w:firstLineChars="200"/>
              <w:rPr>
                <w:rFonts w:ascii="仿宋_GB2312" w:hAnsi="微软雅黑" w:eastAsia="仿宋_GB2312" w:cs="微软雅黑"/>
                <w:sz w:val="24"/>
                <w:highlight w:val="none"/>
              </w:rPr>
            </w:pPr>
          </w:p>
        </w:tc>
      </w:tr>
      <w:tr w14:paraId="2ADA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3C0A7170">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3</w:t>
            </w:r>
          </w:p>
        </w:tc>
        <w:tc>
          <w:tcPr>
            <w:tcW w:w="4298" w:type="dxa"/>
            <w:tcBorders>
              <w:top w:val="single" w:color="auto" w:sz="4" w:space="0"/>
              <w:left w:val="single" w:color="auto" w:sz="4" w:space="0"/>
              <w:bottom w:val="single" w:color="auto" w:sz="4" w:space="0"/>
              <w:right w:val="single" w:color="auto" w:sz="4" w:space="0"/>
            </w:tcBorders>
            <w:vAlign w:val="center"/>
          </w:tcPr>
          <w:p w14:paraId="6B2139F5">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食堂饭菜种类、创新（10分）</w:t>
            </w:r>
          </w:p>
        </w:tc>
        <w:tc>
          <w:tcPr>
            <w:tcW w:w="950" w:type="dxa"/>
            <w:tcBorders>
              <w:top w:val="single" w:color="auto" w:sz="4" w:space="0"/>
              <w:left w:val="single" w:color="auto" w:sz="4" w:space="0"/>
              <w:bottom w:val="single" w:color="auto" w:sz="4" w:space="0"/>
              <w:right w:val="single" w:color="auto" w:sz="4" w:space="0"/>
            </w:tcBorders>
            <w:vAlign w:val="center"/>
          </w:tcPr>
          <w:p w14:paraId="076F59B8">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AD2DC76">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A1E9491">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4E15BC54">
            <w:pPr>
              <w:snapToGrid w:val="0"/>
              <w:spacing w:line="440" w:lineRule="exact"/>
              <w:ind w:firstLine="480" w:firstLineChars="200"/>
              <w:rPr>
                <w:rFonts w:ascii="仿宋_GB2312" w:hAnsi="微软雅黑" w:eastAsia="仿宋_GB2312" w:cs="微软雅黑"/>
                <w:sz w:val="24"/>
                <w:highlight w:val="none"/>
              </w:rPr>
            </w:pPr>
          </w:p>
        </w:tc>
      </w:tr>
      <w:tr w14:paraId="728C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5B127924">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4</w:t>
            </w:r>
          </w:p>
        </w:tc>
        <w:tc>
          <w:tcPr>
            <w:tcW w:w="4298" w:type="dxa"/>
            <w:tcBorders>
              <w:top w:val="single" w:color="auto" w:sz="4" w:space="0"/>
              <w:left w:val="single" w:color="auto" w:sz="4" w:space="0"/>
              <w:bottom w:val="single" w:color="auto" w:sz="4" w:space="0"/>
              <w:right w:val="single" w:color="auto" w:sz="4" w:space="0"/>
            </w:tcBorders>
            <w:vAlign w:val="center"/>
          </w:tcPr>
          <w:p w14:paraId="65274F00">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食堂饭菜味道、咸淡程度（10分）</w:t>
            </w:r>
          </w:p>
        </w:tc>
        <w:tc>
          <w:tcPr>
            <w:tcW w:w="950" w:type="dxa"/>
            <w:tcBorders>
              <w:top w:val="single" w:color="auto" w:sz="4" w:space="0"/>
              <w:left w:val="single" w:color="auto" w:sz="4" w:space="0"/>
              <w:bottom w:val="single" w:color="auto" w:sz="4" w:space="0"/>
              <w:right w:val="single" w:color="auto" w:sz="4" w:space="0"/>
            </w:tcBorders>
            <w:vAlign w:val="center"/>
          </w:tcPr>
          <w:p w14:paraId="19F8170F">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7724BA3">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4B688B3">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6333B68">
            <w:pPr>
              <w:snapToGrid w:val="0"/>
              <w:spacing w:line="440" w:lineRule="exact"/>
              <w:ind w:firstLine="480" w:firstLineChars="200"/>
              <w:rPr>
                <w:rFonts w:ascii="仿宋_GB2312" w:hAnsi="微软雅黑" w:eastAsia="仿宋_GB2312" w:cs="微软雅黑"/>
                <w:sz w:val="24"/>
                <w:highlight w:val="none"/>
              </w:rPr>
            </w:pPr>
          </w:p>
        </w:tc>
      </w:tr>
      <w:tr w14:paraId="607B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7E09F251">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5</w:t>
            </w:r>
          </w:p>
        </w:tc>
        <w:tc>
          <w:tcPr>
            <w:tcW w:w="4298" w:type="dxa"/>
            <w:tcBorders>
              <w:top w:val="single" w:color="auto" w:sz="4" w:space="0"/>
              <w:left w:val="single" w:color="auto" w:sz="4" w:space="0"/>
              <w:bottom w:val="single" w:color="auto" w:sz="4" w:space="0"/>
              <w:right w:val="single" w:color="auto" w:sz="4" w:space="0"/>
            </w:tcBorders>
            <w:vAlign w:val="center"/>
          </w:tcPr>
          <w:p w14:paraId="3AA163B0">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食堂饭菜保温效果（10分）</w:t>
            </w:r>
          </w:p>
        </w:tc>
        <w:tc>
          <w:tcPr>
            <w:tcW w:w="950" w:type="dxa"/>
            <w:tcBorders>
              <w:top w:val="single" w:color="auto" w:sz="4" w:space="0"/>
              <w:left w:val="single" w:color="auto" w:sz="4" w:space="0"/>
              <w:bottom w:val="single" w:color="auto" w:sz="4" w:space="0"/>
              <w:right w:val="single" w:color="auto" w:sz="4" w:space="0"/>
            </w:tcBorders>
            <w:vAlign w:val="center"/>
          </w:tcPr>
          <w:p w14:paraId="0BF6529C">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4C1DC65">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CB98163">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2A579447">
            <w:pPr>
              <w:snapToGrid w:val="0"/>
              <w:spacing w:line="440" w:lineRule="exact"/>
              <w:ind w:firstLine="480" w:firstLineChars="200"/>
              <w:rPr>
                <w:rFonts w:ascii="仿宋_GB2312" w:hAnsi="微软雅黑" w:eastAsia="仿宋_GB2312" w:cs="微软雅黑"/>
                <w:sz w:val="24"/>
                <w:highlight w:val="none"/>
              </w:rPr>
            </w:pPr>
          </w:p>
        </w:tc>
      </w:tr>
      <w:tr w14:paraId="1065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410A5CFF">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6</w:t>
            </w:r>
          </w:p>
        </w:tc>
        <w:tc>
          <w:tcPr>
            <w:tcW w:w="4298" w:type="dxa"/>
            <w:tcBorders>
              <w:top w:val="single" w:color="auto" w:sz="4" w:space="0"/>
              <w:left w:val="single" w:color="auto" w:sz="4" w:space="0"/>
              <w:bottom w:val="single" w:color="auto" w:sz="4" w:space="0"/>
              <w:right w:val="single" w:color="auto" w:sz="4" w:space="0"/>
            </w:tcBorders>
            <w:vAlign w:val="center"/>
          </w:tcPr>
          <w:p w14:paraId="4F2ABB7B">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食堂的早、中餐按时供应情况（10分）</w:t>
            </w:r>
          </w:p>
        </w:tc>
        <w:tc>
          <w:tcPr>
            <w:tcW w:w="950" w:type="dxa"/>
            <w:tcBorders>
              <w:top w:val="single" w:color="auto" w:sz="4" w:space="0"/>
              <w:left w:val="single" w:color="auto" w:sz="4" w:space="0"/>
              <w:bottom w:val="single" w:color="auto" w:sz="4" w:space="0"/>
              <w:right w:val="single" w:color="auto" w:sz="4" w:space="0"/>
            </w:tcBorders>
            <w:vAlign w:val="center"/>
          </w:tcPr>
          <w:p w14:paraId="098EF6E7">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194DD3A4">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136CFCAB">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87A71D3">
            <w:pPr>
              <w:snapToGrid w:val="0"/>
              <w:spacing w:line="440" w:lineRule="exact"/>
              <w:ind w:firstLine="480" w:firstLineChars="200"/>
              <w:rPr>
                <w:rFonts w:ascii="仿宋_GB2312" w:hAnsi="微软雅黑" w:eastAsia="仿宋_GB2312" w:cs="微软雅黑"/>
                <w:sz w:val="24"/>
                <w:highlight w:val="none"/>
              </w:rPr>
            </w:pPr>
          </w:p>
        </w:tc>
      </w:tr>
      <w:tr w14:paraId="1D85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6607AAB5">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7</w:t>
            </w:r>
          </w:p>
        </w:tc>
        <w:tc>
          <w:tcPr>
            <w:tcW w:w="4298" w:type="dxa"/>
            <w:tcBorders>
              <w:top w:val="single" w:color="auto" w:sz="4" w:space="0"/>
              <w:left w:val="single" w:color="auto" w:sz="4" w:space="0"/>
              <w:bottom w:val="single" w:color="auto" w:sz="4" w:space="0"/>
              <w:right w:val="single" w:color="auto" w:sz="4" w:space="0"/>
            </w:tcBorders>
            <w:vAlign w:val="center"/>
          </w:tcPr>
          <w:p w14:paraId="5EFECE36">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食堂就餐环境、卫生状况（10分）</w:t>
            </w:r>
          </w:p>
        </w:tc>
        <w:tc>
          <w:tcPr>
            <w:tcW w:w="950" w:type="dxa"/>
            <w:tcBorders>
              <w:top w:val="single" w:color="auto" w:sz="4" w:space="0"/>
              <w:left w:val="single" w:color="auto" w:sz="4" w:space="0"/>
              <w:bottom w:val="single" w:color="auto" w:sz="4" w:space="0"/>
              <w:right w:val="single" w:color="auto" w:sz="4" w:space="0"/>
            </w:tcBorders>
            <w:vAlign w:val="center"/>
          </w:tcPr>
          <w:p w14:paraId="100D0232">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710AD8B">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0964363">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D455974">
            <w:pPr>
              <w:snapToGrid w:val="0"/>
              <w:spacing w:line="440" w:lineRule="exact"/>
              <w:ind w:firstLine="480" w:firstLineChars="200"/>
              <w:rPr>
                <w:rFonts w:ascii="仿宋_GB2312" w:hAnsi="微软雅黑" w:eastAsia="仿宋_GB2312" w:cs="微软雅黑"/>
                <w:sz w:val="24"/>
                <w:highlight w:val="none"/>
              </w:rPr>
            </w:pPr>
          </w:p>
        </w:tc>
      </w:tr>
      <w:tr w14:paraId="2583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4529998C">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8</w:t>
            </w:r>
          </w:p>
        </w:tc>
        <w:tc>
          <w:tcPr>
            <w:tcW w:w="4298" w:type="dxa"/>
            <w:tcBorders>
              <w:top w:val="single" w:color="auto" w:sz="4" w:space="0"/>
              <w:left w:val="single" w:color="auto" w:sz="4" w:space="0"/>
              <w:bottom w:val="single" w:color="auto" w:sz="4" w:space="0"/>
              <w:right w:val="single" w:color="auto" w:sz="4" w:space="0"/>
            </w:tcBorders>
            <w:vAlign w:val="center"/>
          </w:tcPr>
          <w:p w14:paraId="426F2A85">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食堂餐具的卫生情况、消毒情况（10分）</w:t>
            </w:r>
          </w:p>
        </w:tc>
        <w:tc>
          <w:tcPr>
            <w:tcW w:w="950" w:type="dxa"/>
            <w:tcBorders>
              <w:top w:val="single" w:color="auto" w:sz="4" w:space="0"/>
              <w:left w:val="single" w:color="auto" w:sz="4" w:space="0"/>
              <w:bottom w:val="single" w:color="auto" w:sz="4" w:space="0"/>
              <w:right w:val="single" w:color="auto" w:sz="4" w:space="0"/>
            </w:tcBorders>
            <w:vAlign w:val="center"/>
          </w:tcPr>
          <w:p w14:paraId="4A0C51A6">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BA8E8BF">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B95D600">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00BC55D9">
            <w:pPr>
              <w:snapToGrid w:val="0"/>
              <w:spacing w:line="440" w:lineRule="exact"/>
              <w:ind w:firstLine="480" w:firstLineChars="200"/>
              <w:rPr>
                <w:rFonts w:ascii="仿宋_GB2312" w:hAnsi="微软雅黑" w:eastAsia="仿宋_GB2312" w:cs="微软雅黑"/>
                <w:sz w:val="24"/>
                <w:highlight w:val="none"/>
              </w:rPr>
            </w:pPr>
          </w:p>
        </w:tc>
      </w:tr>
      <w:tr w14:paraId="79E5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0836FED0">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9</w:t>
            </w:r>
          </w:p>
        </w:tc>
        <w:tc>
          <w:tcPr>
            <w:tcW w:w="4298" w:type="dxa"/>
            <w:tcBorders>
              <w:top w:val="single" w:color="auto" w:sz="4" w:space="0"/>
              <w:left w:val="single" w:color="auto" w:sz="4" w:space="0"/>
              <w:bottom w:val="single" w:color="auto" w:sz="4" w:space="0"/>
              <w:right w:val="single" w:color="auto" w:sz="4" w:space="0"/>
            </w:tcBorders>
            <w:vAlign w:val="center"/>
          </w:tcPr>
          <w:p w14:paraId="4EC5B7FD">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食堂工作人员的服务质量及服务态度（10分）</w:t>
            </w:r>
          </w:p>
        </w:tc>
        <w:tc>
          <w:tcPr>
            <w:tcW w:w="950" w:type="dxa"/>
            <w:tcBorders>
              <w:top w:val="single" w:color="auto" w:sz="4" w:space="0"/>
              <w:left w:val="single" w:color="auto" w:sz="4" w:space="0"/>
              <w:bottom w:val="single" w:color="auto" w:sz="4" w:space="0"/>
              <w:right w:val="single" w:color="auto" w:sz="4" w:space="0"/>
            </w:tcBorders>
            <w:vAlign w:val="center"/>
          </w:tcPr>
          <w:p w14:paraId="7E6E7DE9">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20D99871">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284DA322">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1F7BC2C">
            <w:pPr>
              <w:snapToGrid w:val="0"/>
              <w:spacing w:line="440" w:lineRule="exact"/>
              <w:ind w:firstLine="480" w:firstLineChars="200"/>
              <w:rPr>
                <w:rFonts w:ascii="仿宋_GB2312" w:hAnsi="微软雅黑" w:eastAsia="仿宋_GB2312" w:cs="微软雅黑"/>
                <w:sz w:val="24"/>
                <w:highlight w:val="none"/>
              </w:rPr>
            </w:pPr>
          </w:p>
        </w:tc>
      </w:tr>
      <w:tr w14:paraId="1C2F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7B1A2AE0">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10</w:t>
            </w:r>
          </w:p>
        </w:tc>
        <w:tc>
          <w:tcPr>
            <w:tcW w:w="4298" w:type="dxa"/>
            <w:tcBorders>
              <w:top w:val="single" w:color="auto" w:sz="4" w:space="0"/>
              <w:left w:val="single" w:color="auto" w:sz="4" w:space="0"/>
              <w:bottom w:val="single" w:color="auto" w:sz="4" w:space="0"/>
              <w:right w:val="single" w:color="auto" w:sz="4" w:space="0"/>
            </w:tcBorders>
            <w:vAlign w:val="center"/>
          </w:tcPr>
          <w:p w14:paraId="34DAB8E4">
            <w:pPr>
              <w:snapToGrid w:val="0"/>
              <w:spacing w:line="440" w:lineRule="exact"/>
              <w:jc w:val="center"/>
              <w:rPr>
                <w:rFonts w:ascii="仿宋_GB2312" w:hAnsi="微软雅黑" w:eastAsia="仿宋_GB2312" w:cs="微软雅黑"/>
                <w:sz w:val="24"/>
                <w:highlight w:val="none"/>
              </w:rPr>
            </w:pPr>
            <w:r>
              <w:rPr>
                <w:rFonts w:hint="eastAsia" w:ascii="仿宋_GB2312" w:hAnsi="微软雅黑" w:eastAsia="仿宋_GB2312" w:cs="微软雅黑"/>
                <w:sz w:val="24"/>
                <w:highlight w:val="none"/>
              </w:rPr>
              <w:t>食堂工作人员的个人卫生情况（10分）</w:t>
            </w:r>
          </w:p>
        </w:tc>
        <w:tc>
          <w:tcPr>
            <w:tcW w:w="950" w:type="dxa"/>
            <w:tcBorders>
              <w:top w:val="single" w:color="auto" w:sz="4" w:space="0"/>
              <w:left w:val="single" w:color="auto" w:sz="4" w:space="0"/>
              <w:bottom w:val="single" w:color="auto" w:sz="4" w:space="0"/>
              <w:right w:val="single" w:color="auto" w:sz="4" w:space="0"/>
            </w:tcBorders>
            <w:vAlign w:val="center"/>
          </w:tcPr>
          <w:p w14:paraId="232A26D1">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647B1DC">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0D0A56B0">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6FD3389">
            <w:pPr>
              <w:snapToGrid w:val="0"/>
              <w:spacing w:line="440" w:lineRule="exact"/>
              <w:ind w:firstLine="480" w:firstLineChars="200"/>
              <w:rPr>
                <w:rFonts w:ascii="仿宋_GB2312" w:hAnsi="微软雅黑" w:eastAsia="仿宋_GB2312" w:cs="微软雅黑"/>
                <w:sz w:val="24"/>
                <w:highlight w:val="none"/>
              </w:rPr>
            </w:pPr>
          </w:p>
        </w:tc>
      </w:tr>
      <w:tr w14:paraId="4EEB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217" w:type="dxa"/>
            <w:gridSpan w:val="2"/>
            <w:tcBorders>
              <w:top w:val="single" w:color="auto" w:sz="4" w:space="0"/>
              <w:left w:val="single" w:color="auto" w:sz="4" w:space="0"/>
              <w:bottom w:val="single" w:color="auto" w:sz="4" w:space="0"/>
              <w:right w:val="single" w:color="auto" w:sz="4" w:space="0"/>
            </w:tcBorders>
            <w:vAlign w:val="center"/>
          </w:tcPr>
          <w:p w14:paraId="3F6C841E">
            <w:pPr>
              <w:snapToGrid w:val="0"/>
              <w:spacing w:line="440" w:lineRule="exact"/>
              <w:ind w:firstLine="480" w:firstLineChars="200"/>
              <w:rPr>
                <w:rFonts w:ascii="仿宋_GB2312" w:hAnsi="微软雅黑" w:eastAsia="仿宋_GB2312" w:cs="微软雅黑"/>
                <w:sz w:val="24"/>
                <w:highlight w:val="none"/>
              </w:rPr>
            </w:pPr>
            <w:r>
              <w:rPr>
                <w:rFonts w:hint="eastAsia" w:ascii="仿宋_GB2312" w:hAnsi="微软雅黑" w:eastAsia="仿宋_GB2312" w:cs="微软雅黑"/>
                <w:sz w:val="24"/>
                <w:highlight w:val="none"/>
              </w:rPr>
              <w:t>分值小计</w:t>
            </w:r>
          </w:p>
        </w:tc>
        <w:tc>
          <w:tcPr>
            <w:tcW w:w="950" w:type="dxa"/>
            <w:tcBorders>
              <w:top w:val="single" w:color="auto" w:sz="4" w:space="0"/>
              <w:left w:val="single" w:color="auto" w:sz="4" w:space="0"/>
              <w:bottom w:val="single" w:color="auto" w:sz="4" w:space="0"/>
              <w:right w:val="single" w:color="auto" w:sz="4" w:space="0"/>
            </w:tcBorders>
            <w:vAlign w:val="center"/>
          </w:tcPr>
          <w:p w14:paraId="2F79B1C0">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40AEDF46">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A77C4C0">
            <w:pPr>
              <w:snapToGrid w:val="0"/>
              <w:spacing w:line="440" w:lineRule="exact"/>
              <w:ind w:firstLine="480" w:firstLineChars="200"/>
              <w:rPr>
                <w:rFonts w:ascii="仿宋_GB2312" w:hAnsi="微软雅黑" w:eastAsia="仿宋_GB2312" w:cs="微软雅黑"/>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09B25BCD">
            <w:pPr>
              <w:snapToGrid w:val="0"/>
              <w:spacing w:line="440" w:lineRule="exact"/>
              <w:ind w:firstLine="480" w:firstLineChars="200"/>
              <w:rPr>
                <w:rFonts w:ascii="仿宋_GB2312" w:hAnsi="微软雅黑" w:eastAsia="仿宋_GB2312" w:cs="微软雅黑"/>
                <w:sz w:val="24"/>
                <w:highlight w:val="none"/>
              </w:rPr>
            </w:pPr>
          </w:p>
        </w:tc>
      </w:tr>
      <w:tr w14:paraId="39D1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7" w:type="dxa"/>
            <w:gridSpan w:val="2"/>
            <w:tcBorders>
              <w:top w:val="single" w:color="auto" w:sz="4" w:space="0"/>
              <w:left w:val="single" w:color="auto" w:sz="4" w:space="0"/>
              <w:bottom w:val="single" w:color="auto" w:sz="4" w:space="0"/>
              <w:right w:val="single" w:color="auto" w:sz="4" w:space="0"/>
            </w:tcBorders>
            <w:vAlign w:val="center"/>
          </w:tcPr>
          <w:p w14:paraId="281AAC27">
            <w:pPr>
              <w:snapToGrid w:val="0"/>
              <w:spacing w:line="440" w:lineRule="exact"/>
              <w:ind w:firstLine="480" w:firstLineChars="200"/>
              <w:rPr>
                <w:rFonts w:ascii="仿宋_GB2312" w:hAnsi="微软雅黑" w:eastAsia="仿宋_GB2312" w:cs="微软雅黑"/>
                <w:sz w:val="24"/>
                <w:highlight w:val="none"/>
              </w:rPr>
            </w:pPr>
            <w:r>
              <w:rPr>
                <w:rFonts w:hint="eastAsia" w:ascii="仿宋_GB2312" w:hAnsi="微软雅黑" w:eastAsia="仿宋_GB2312" w:cs="微软雅黑"/>
                <w:sz w:val="24"/>
                <w:highlight w:val="none"/>
              </w:rPr>
              <w:t>总分</w:t>
            </w:r>
          </w:p>
        </w:tc>
        <w:tc>
          <w:tcPr>
            <w:tcW w:w="3800" w:type="dxa"/>
            <w:gridSpan w:val="4"/>
            <w:tcBorders>
              <w:top w:val="single" w:color="auto" w:sz="4" w:space="0"/>
              <w:left w:val="single" w:color="auto" w:sz="4" w:space="0"/>
              <w:bottom w:val="single" w:color="auto" w:sz="4" w:space="0"/>
              <w:right w:val="single" w:color="auto" w:sz="4" w:space="0"/>
            </w:tcBorders>
            <w:vAlign w:val="center"/>
          </w:tcPr>
          <w:p w14:paraId="52B688F3">
            <w:pPr>
              <w:snapToGrid w:val="0"/>
              <w:spacing w:line="440" w:lineRule="exact"/>
              <w:ind w:firstLine="480" w:firstLineChars="200"/>
              <w:rPr>
                <w:rFonts w:ascii="仿宋_GB2312" w:hAnsi="微软雅黑" w:eastAsia="仿宋_GB2312" w:cs="微软雅黑"/>
                <w:sz w:val="24"/>
                <w:highlight w:val="none"/>
              </w:rPr>
            </w:pPr>
          </w:p>
        </w:tc>
      </w:tr>
      <w:tr w14:paraId="1AFC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17" w:type="dxa"/>
            <w:gridSpan w:val="6"/>
            <w:tcBorders>
              <w:top w:val="single" w:color="auto" w:sz="4" w:space="0"/>
              <w:left w:val="single" w:color="auto" w:sz="4" w:space="0"/>
              <w:bottom w:val="single" w:color="auto" w:sz="4" w:space="0"/>
              <w:right w:val="single" w:color="auto" w:sz="4" w:space="0"/>
            </w:tcBorders>
          </w:tcPr>
          <w:p w14:paraId="6F8FEE5E">
            <w:pPr>
              <w:snapToGrid w:val="0"/>
              <w:spacing w:line="440" w:lineRule="exact"/>
              <w:ind w:firstLine="480" w:firstLineChars="200"/>
              <w:rPr>
                <w:rFonts w:ascii="仿宋_GB2312" w:hAnsi="微软雅黑" w:eastAsia="仿宋_GB2312" w:cs="微软雅黑"/>
                <w:sz w:val="24"/>
                <w:highlight w:val="none"/>
              </w:rPr>
            </w:pPr>
            <w:r>
              <w:rPr>
                <w:rFonts w:hint="eastAsia" w:ascii="仿宋_GB2312" w:hAnsi="微软雅黑" w:eastAsia="仿宋_GB2312" w:cs="微软雅黑"/>
                <w:sz w:val="24"/>
                <w:highlight w:val="none"/>
              </w:rPr>
              <w:t>您对食堂有什么意见或建议：</w:t>
            </w:r>
          </w:p>
        </w:tc>
      </w:tr>
    </w:tbl>
    <w:p w14:paraId="335F80E7">
      <w:pPr>
        <w:snapToGrid w:val="0"/>
        <w:spacing w:line="440" w:lineRule="exact"/>
        <w:ind w:firstLine="480" w:firstLineChars="200"/>
        <w:rPr>
          <w:rFonts w:ascii="仿宋_GB2312" w:hAnsi="微软雅黑" w:eastAsia="仿宋_GB2312" w:cs="微软雅黑"/>
          <w:sz w:val="24"/>
          <w:highlight w:val="none"/>
        </w:rPr>
      </w:pPr>
      <w:r>
        <w:rPr>
          <w:rFonts w:hint="eastAsia" w:ascii="仿宋_GB2312" w:hAnsi="微软雅黑" w:eastAsia="仿宋_GB2312" w:cs="微软雅黑"/>
          <w:sz w:val="24"/>
          <w:highlight w:val="none"/>
        </w:rPr>
        <w:t>说明：“很满意”得10分，“满意”得9分，“一般”得7分，“不满意”得0分。</w:t>
      </w:r>
    </w:p>
    <w:p w14:paraId="2E947C99">
      <w:pPr>
        <w:snapToGrid w:val="0"/>
        <w:spacing w:line="440" w:lineRule="exact"/>
        <w:ind w:firstLine="482" w:firstLineChars="200"/>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测评人员签字</w:t>
      </w:r>
    </w:p>
    <w:p w14:paraId="6674EFF6">
      <w:pPr>
        <w:snapToGrid w:val="0"/>
        <w:spacing w:line="440" w:lineRule="exact"/>
        <w:ind w:firstLine="482" w:firstLineChars="200"/>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学生：</w:t>
      </w:r>
    </w:p>
    <w:p w14:paraId="42029073">
      <w:pPr>
        <w:snapToGrid w:val="0"/>
        <w:spacing w:line="440" w:lineRule="exact"/>
        <w:ind w:firstLine="482" w:firstLineChars="200"/>
        <w:rPr>
          <w:rFonts w:ascii="仿宋_GB2312" w:hAnsi="微软雅黑" w:eastAsia="仿宋_GB2312" w:cs="微软雅黑"/>
          <w:b/>
          <w:sz w:val="24"/>
          <w:highlight w:val="none"/>
        </w:rPr>
      </w:pPr>
      <w:r>
        <w:rPr>
          <w:rFonts w:hint="eastAsia" w:ascii="仿宋_GB2312" w:hAnsi="微软雅黑" w:eastAsia="仿宋_GB2312" w:cs="微软雅黑"/>
          <w:b/>
          <w:sz w:val="24"/>
          <w:highlight w:val="none"/>
        </w:rPr>
        <w:t>家长：</w:t>
      </w:r>
    </w:p>
    <w:p w14:paraId="5EFF643B">
      <w:pPr>
        <w:snapToGrid w:val="0"/>
        <w:spacing w:line="440" w:lineRule="exact"/>
        <w:ind w:firstLine="482" w:firstLineChars="200"/>
        <w:rPr>
          <w:rFonts w:ascii="仿宋_GB2312" w:hAnsi="微软雅黑" w:eastAsia="仿宋_GB2312" w:cs="微软雅黑"/>
          <w:sz w:val="24"/>
          <w:highlight w:val="none"/>
        </w:rPr>
      </w:pPr>
      <w:r>
        <w:rPr>
          <w:rFonts w:hint="eastAsia" w:ascii="仿宋_GB2312" w:hAnsi="微软雅黑" w:eastAsia="仿宋_GB2312" w:cs="微软雅黑"/>
          <w:b/>
          <w:sz w:val="24"/>
          <w:highlight w:val="none"/>
        </w:rPr>
        <w:t>教师：</w:t>
      </w:r>
    </w:p>
    <w:p w14:paraId="22A282BA">
      <w:pPr>
        <w:snapToGrid w:val="0"/>
        <w:spacing w:line="440" w:lineRule="exact"/>
        <w:ind w:firstLine="480" w:firstLineChars="200"/>
        <w:jc w:val="right"/>
        <w:rPr>
          <w:rFonts w:ascii="仿宋_GB2312" w:hAnsi="微软雅黑" w:eastAsia="仿宋_GB2312" w:cs="微软雅黑"/>
          <w:sz w:val="24"/>
          <w:highlight w:val="none"/>
        </w:rPr>
      </w:pPr>
      <w:r>
        <w:rPr>
          <w:rFonts w:hint="eastAsia" w:ascii="仿宋_GB2312" w:hAnsi="微软雅黑" w:eastAsia="仿宋_GB2312" w:cs="微软雅黑"/>
          <w:sz w:val="24"/>
          <w:highlight w:val="none"/>
        </w:rPr>
        <w:t>年</w:t>
      </w:r>
      <w:r>
        <w:rPr>
          <w:rFonts w:hint="eastAsia" w:ascii="仿宋_GB2312" w:hAnsi="微软雅黑" w:eastAsia="仿宋_GB2312" w:cs="微软雅黑"/>
          <w:sz w:val="24"/>
          <w:highlight w:val="none"/>
          <w:lang w:val="en-US" w:eastAsia="zh-CN"/>
        </w:rPr>
        <w:t xml:space="preserve">  </w:t>
      </w:r>
      <w:r>
        <w:rPr>
          <w:rFonts w:hint="eastAsia" w:ascii="仿宋_GB2312" w:hAnsi="微软雅黑" w:eastAsia="仿宋_GB2312" w:cs="微软雅黑"/>
          <w:sz w:val="24"/>
          <w:highlight w:val="none"/>
        </w:rPr>
        <w:t>月</w:t>
      </w:r>
      <w:r>
        <w:rPr>
          <w:rFonts w:hint="eastAsia" w:ascii="仿宋_GB2312" w:hAnsi="微软雅黑" w:eastAsia="仿宋_GB2312" w:cs="微软雅黑"/>
          <w:sz w:val="24"/>
          <w:highlight w:val="none"/>
          <w:lang w:val="en-US" w:eastAsia="zh-CN"/>
        </w:rPr>
        <w:t xml:space="preserve">  </w:t>
      </w:r>
      <w:r>
        <w:rPr>
          <w:rFonts w:hint="eastAsia" w:ascii="仿宋_GB2312" w:hAnsi="微软雅黑" w:eastAsia="仿宋_GB2312" w:cs="微软雅黑"/>
          <w:sz w:val="24"/>
          <w:highlight w:val="none"/>
        </w:rPr>
        <w:t>日</w:t>
      </w:r>
    </w:p>
    <w:p w14:paraId="64FED465">
      <w:pPr>
        <w:widowControl/>
        <w:jc w:val="left"/>
        <w:rPr>
          <w:rFonts w:ascii="仿宋_GB2312" w:hAnsi="微软雅黑" w:eastAsia="仿宋_GB2312" w:cs="微软雅黑"/>
          <w:sz w:val="24"/>
          <w:highlight w:val="none"/>
        </w:rPr>
      </w:pPr>
      <w:r>
        <w:rPr>
          <w:rFonts w:ascii="仿宋_GB2312" w:hAnsi="微软雅黑" w:eastAsia="仿宋_GB2312" w:cs="微软雅黑"/>
          <w:sz w:val="24"/>
          <w:highlight w:val="none"/>
        </w:rPr>
        <w:br w:type="page"/>
      </w:r>
    </w:p>
    <w:p w14:paraId="4D8CDBBB">
      <w:pPr>
        <w:pStyle w:val="141"/>
        <w:keepNext w:val="0"/>
        <w:keepLines w:val="0"/>
        <w:spacing w:before="100" w:after="312" w:afterAutospacing="0"/>
        <w:rPr>
          <w:rFonts w:ascii="黑体" w:eastAsia="黑体"/>
          <w:b w:val="0"/>
          <w:highlight w:val="none"/>
        </w:rPr>
      </w:pPr>
      <w:bookmarkStart w:id="66" w:name="_Toc11851503"/>
      <w:r>
        <w:rPr>
          <w:rFonts w:hint="eastAsia" w:ascii="黑体" w:eastAsia="黑体"/>
          <w:b w:val="0"/>
          <w:highlight w:val="none"/>
        </w:rPr>
        <w:t>第四章合同</w:t>
      </w:r>
      <w:bookmarkEnd w:id="66"/>
    </w:p>
    <w:p w14:paraId="6ADCB68D">
      <w:pPr>
        <w:spacing w:line="360" w:lineRule="auto"/>
        <w:ind w:firstLine="480" w:firstLineChars="200"/>
        <w:outlineLvl w:val="1"/>
        <w:rPr>
          <w:rFonts w:ascii="仿宋_GB2312" w:hAnsi="楷体" w:eastAsia="仿宋_GB2312"/>
          <w:sz w:val="24"/>
          <w:highlight w:val="none"/>
        </w:rPr>
      </w:pPr>
      <w:bookmarkStart w:id="67" w:name="_Toc11851504"/>
      <w:bookmarkStart w:id="68" w:name="_Toc436169053"/>
      <w:bookmarkStart w:id="69" w:name="_Toc6353"/>
      <w:r>
        <w:rPr>
          <w:rFonts w:hint="eastAsia" w:ascii="仿宋_GB2312" w:hAnsi="楷体" w:eastAsia="仿宋_GB2312"/>
          <w:sz w:val="24"/>
          <w:highlight w:val="none"/>
        </w:rPr>
        <w:t>1.签订合同</w:t>
      </w:r>
      <w:bookmarkEnd w:id="67"/>
      <w:bookmarkEnd w:id="68"/>
      <w:bookmarkEnd w:id="69"/>
    </w:p>
    <w:p w14:paraId="4AC1EA79">
      <w:pPr>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1.1招标人应当自中标通知书发出之日起三十日内，按照招标文件和中标人投标文件的约定，与中标人签订书面合同。所签订合同不得对招标文件和中标人投标文件作实质性修改。</w:t>
      </w:r>
    </w:p>
    <w:p w14:paraId="787B189D">
      <w:pPr>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1.2签订的合同原则以本章第</w:t>
      </w:r>
      <w:r>
        <w:rPr>
          <w:rFonts w:ascii="仿宋_GB2312" w:hAnsi="仿宋" w:eastAsia="仿宋_GB2312"/>
          <w:sz w:val="24"/>
          <w:highlight w:val="none"/>
        </w:rPr>
        <w:t>3</w:t>
      </w:r>
      <w:r>
        <w:rPr>
          <w:rFonts w:hint="eastAsia" w:ascii="仿宋_GB2312" w:hAnsi="仿宋" w:eastAsia="仿宋_GB2312"/>
          <w:sz w:val="24"/>
          <w:highlight w:val="none"/>
        </w:rPr>
        <w:t>条的规定为基础，并根据评标、答疑情况进行修改补充，但该款并不限制招标人以其他方式签订合同的权利。招标人不得向中标人提出任何不合理的要求，作为签订合同的条件，不得与中标人私下订立背离合同实质性内容的协议。</w:t>
      </w:r>
    </w:p>
    <w:p w14:paraId="55D70788">
      <w:pPr>
        <w:spacing w:line="360" w:lineRule="auto"/>
        <w:ind w:firstLine="480" w:firstLineChars="200"/>
        <w:rPr>
          <w:rFonts w:ascii="仿宋_GB2312" w:hAnsi="仿宋" w:eastAsia="仿宋_GB2312"/>
          <w:sz w:val="24"/>
          <w:highlight w:val="none"/>
          <w:u w:val="single"/>
        </w:rPr>
      </w:pPr>
      <w:r>
        <w:rPr>
          <w:rFonts w:hint="eastAsia" w:ascii="仿宋_GB2312" w:hAnsi="仿宋" w:eastAsia="仿宋_GB2312"/>
          <w:sz w:val="24"/>
          <w:highlight w:val="none"/>
          <w:u w:val="single"/>
        </w:rPr>
        <w:t>1.3招标文件、投标文件、书面承诺和中标通知书均作为经济合同的一部分，且具有法律效力。中标人应严格履行经济合同所规定的各项义务和责任，否则将依法处理。</w:t>
      </w:r>
    </w:p>
    <w:p w14:paraId="5DC6CA97">
      <w:pPr>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1.4有关法规或者招标文件明确不允许分包方式履行合同的，中标人不得分包履行合同，否则将依法承担法律责任。招标文件明确允许分包方式履行合同的，按照招标文件相关规定执行。</w:t>
      </w:r>
    </w:p>
    <w:p w14:paraId="5B9743D2">
      <w:pPr>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w:t>
      </w:r>
      <w:r>
        <w:rPr>
          <w:rFonts w:ascii="仿宋_GB2312" w:hAnsi="仿宋" w:eastAsia="仿宋_GB2312"/>
          <w:sz w:val="24"/>
          <w:highlight w:val="none"/>
        </w:rPr>
        <w:t>5</w:t>
      </w:r>
      <w:r>
        <w:rPr>
          <w:rFonts w:hint="eastAsia" w:ascii="仿宋_GB2312" w:hAnsi="仿宋" w:eastAsia="仿宋_GB2312"/>
          <w:sz w:val="24"/>
          <w:highlight w:val="none"/>
        </w:rPr>
        <w:t>法律、行政法规规定应当办理批准、登记等手续后生效的合同，依照其规定。</w:t>
      </w:r>
    </w:p>
    <w:p w14:paraId="5BE6C0C3">
      <w:pPr>
        <w:spacing w:line="360" w:lineRule="auto"/>
        <w:ind w:firstLine="480" w:firstLineChars="200"/>
        <w:outlineLvl w:val="1"/>
        <w:rPr>
          <w:rFonts w:ascii="仿宋_GB2312" w:hAnsi="楷体" w:eastAsia="仿宋_GB2312"/>
          <w:sz w:val="24"/>
          <w:highlight w:val="none"/>
        </w:rPr>
      </w:pPr>
      <w:bookmarkStart w:id="70" w:name="_Toc10203"/>
      <w:bookmarkStart w:id="71" w:name="_Toc11851505"/>
      <w:bookmarkStart w:id="72" w:name="_Toc436169055"/>
      <w:r>
        <w:rPr>
          <w:rFonts w:hint="eastAsia" w:ascii="仿宋_GB2312" w:hAnsi="楷体" w:eastAsia="仿宋_GB2312"/>
          <w:sz w:val="24"/>
          <w:highlight w:val="none"/>
        </w:rPr>
        <w:t>2.服务质量与验收</w:t>
      </w:r>
      <w:bookmarkEnd w:id="70"/>
      <w:bookmarkEnd w:id="71"/>
      <w:bookmarkEnd w:id="72"/>
    </w:p>
    <w:p w14:paraId="49693DE8">
      <w:pPr>
        <w:autoSpaceDE w:val="0"/>
        <w:autoSpaceDN w:val="0"/>
        <w:adjustRightInd w:val="0"/>
        <w:spacing w:line="360" w:lineRule="auto"/>
        <w:ind w:firstLine="482"/>
        <w:rPr>
          <w:rFonts w:ascii="仿宋_GB2312" w:eastAsia="仿宋_GB2312"/>
          <w:sz w:val="24"/>
          <w:highlight w:val="none"/>
          <w:lang w:val="zh-CN"/>
        </w:rPr>
      </w:pPr>
      <w:r>
        <w:rPr>
          <w:rFonts w:hint="eastAsia" w:ascii="仿宋_GB2312" w:eastAsia="仿宋_GB2312" w:cs="仿宋"/>
          <w:sz w:val="24"/>
          <w:highlight w:val="none"/>
          <w:lang w:val="zh-CN"/>
        </w:rPr>
        <w:t>招标文件中的服务按照国标、部标、行业标准或者双方技术协议或者招标文件、投标文件、书面承诺提供服务。如对服务质量有争议，招标人组织相关人员对服务质量进行检验，未达到服务要求的，由中标人承担全部责任。</w:t>
      </w:r>
    </w:p>
    <w:p w14:paraId="483D6C3A">
      <w:pPr>
        <w:spacing w:line="360" w:lineRule="auto"/>
        <w:ind w:firstLine="480" w:firstLineChars="200"/>
        <w:outlineLvl w:val="1"/>
        <w:rPr>
          <w:rFonts w:ascii="仿宋_GB2312" w:hAnsi="楷体" w:eastAsia="仿宋_GB2312"/>
          <w:sz w:val="24"/>
          <w:highlight w:val="none"/>
        </w:rPr>
      </w:pPr>
      <w:bookmarkStart w:id="73" w:name="_Toc436169056"/>
      <w:bookmarkStart w:id="74" w:name="_Toc2777"/>
      <w:bookmarkStart w:id="75" w:name="_Toc11851506"/>
      <w:r>
        <w:rPr>
          <w:rFonts w:hint="eastAsia" w:ascii="仿宋_GB2312" w:hAnsi="楷体" w:eastAsia="仿宋_GB2312"/>
          <w:sz w:val="24"/>
          <w:highlight w:val="none"/>
        </w:rPr>
        <w:t>3.合同主要条款</w:t>
      </w:r>
      <w:bookmarkEnd w:id="73"/>
      <w:bookmarkEnd w:id="74"/>
      <w:bookmarkEnd w:id="75"/>
    </w:p>
    <w:p w14:paraId="1AA494BA">
      <w:pPr>
        <w:spacing w:line="360" w:lineRule="auto"/>
        <w:ind w:firstLine="480" w:firstLineChars="200"/>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合同编号：</w:t>
      </w:r>
    </w:p>
    <w:p w14:paraId="7D68CA50">
      <w:pPr>
        <w:spacing w:line="360" w:lineRule="auto"/>
        <w:ind w:firstLine="480" w:firstLineChars="200"/>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甲方（招标人）：</w:t>
      </w:r>
    </w:p>
    <w:p w14:paraId="73DA1824">
      <w:pPr>
        <w:spacing w:line="360" w:lineRule="auto"/>
        <w:ind w:firstLine="480" w:firstLineChars="200"/>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住所地：</w:t>
      </w:r>
    </w:p>
    <w:p w14:paraId="1BBC311F">
      <w:pPr>
        <w:spacing w:line="360" w:lineRule="auto"/>
        <w:ind w:firstLine="480" w:firstLineChars="200"/>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乙方（中标人）：</w:t>
      </w:r>
    </w:p>
    <w:p w14:paraId="389EEBB0">
      <w:pPr>
        <w:autoSpaceDE w:val="0"/>
        <w:autoSpaceDN w:val="0"/>
        <w:adjustRightInd w:val="0"/>
        <w:spacing w:line="360" w:lineRule="auto"/>
        <w:ind w:firstLine="480"/>
        <w:jc w:val="left"/>
        <w:rPr>
          <w:rFonts w:ascii="仿宋_GB2312" w:hAnsi="仿宋" w:eastAsia="仿宋_GB2312" w:cs="仿宋"/>
          <w:sz w:val="24"/>
          <w:highlight w:val="none"/>
          <w:u w:val="single"/>
        </w:rPr>
      </w:pPr>
      <w:r>
        <w:rPr>
          <w:rFonts w:hint="eastAsia" w:ascii="仿宋_GB2312" w:hAnsi="仿宋" w:eastAsia="仿宋_GB2312" w:cs="仿宋"/>
          <w:sz w:val="24"/>
          <w:highlight w:val="none"/>
          <w:lang w:val="zh-CN"/>
        </w:rPr>
        <w:t>住所地：</w:t>
      </w:r>
    </w:p>
    <w:p w14:paraId="55EB893D">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乙方于年月日参加了</w:t>
      </w:r>
      <w:r>
        <w:rPr>
          <w:rFonts w:hint="eastAsia" w:ascii="仿宋_GB2312" w:hAnsi="仿宋" w:eastAsia="仿宋_GB2312" w:cs="仿宋"/>
          <w:sz w:val="24"/>
          <w:highlight w:val="none"/>
          <w:u w:val="single"/>
          <w:lang w:val="zh-CN"/>
        </w:rPr>
        <w:t>（招标人或者代理机构）</w:t>
      </w:r>
      <w:r>
        <w:rPr>
          <w:rFonts w:hint="eastAsia" w:ascii="仿宋_GB2312" w:hAnsi="仿宋" w:eastAsia="仿宋_GB2312" w:cs="仿宋"/>
          <w:sz w:val="24"/>
          <w:highlight w:val="none"/>
          <w:lang w:val="zh-CN"/>
        </w:rPr>
        <w:t>组织的“</w:t>
      </w:r>
      <w:r>
        <w:rPr>
          <w:rFonts w:hint="eastAsia" w:ascii="仿宋_GB2312" w:hAnsi="仿宋" w:eastAsia="仿宋_GB2312" w:cs="仿宋"/>
          <w:sz w:val="24"/>
          <w:highlight w:val="none"/>
          <w:u w:val="single"/>
          <w:lang w:val="zh-CN"/>
        </w:rPr>
        <w:t>（项目名称及项目编号）</w:t>
      </w:r>
      <w:r>
        <w:rPr>
          <w:rFonts w:hint="eastAsia" w:ascii="仿宋_GB2312" w:hAnsi="仿宋" w:eastAsia="仿宋_GB2312" w:cs="仿宋"/>
          <w:sz w:val="24"/>
          <w:highlight w:val="none"/>
          <w:lang w:val="zh-CN"/>
        </w:rPr>
        <w:t>”采购活动，经评标委员会评审确定乙方为中标人，按照《中华人民共和国合同法》和相关的法律法规规定，以及招标文件要求，经甲乙双方协商一致，签订本采购合同。</w:t>
      </w:r>
    </w:p>
    <w:p w14:paraId="231DDF08">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第一条合同标的</w:t>
      </w:r>
    </w:p>
    <w:p w14:paraId="580A24BC">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服务名称：</w:t>
      </w:r>
    </w:p>
    <w:p w14:paraId="21B1BFF1">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服务内容：</w:t>
      </w:r>
    </w:p>
    <w:p w14:paraId="7704F24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技术标准：</w:t>
      </w:r>
    </w:p>
    <w:p w14:paraId="40CFF68D">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第二条合同总金额</w:t>
      </w:r>
    </w:p>
    <w:p w14:paraId="4689FF4C">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合同总金额应为服务期内学校食堂营业总收入（即收取的总餐费）×乙方中标价。</w:t>
      </w:r>
    </w:p>
    <w:p w14:paraId="503056C2">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第三条服务交付</w:t>
      </w:r>
    </w:p>
    <w:p w14:paraId="4A1D0729">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1、交付日期：按甲方通知时间入场服务。</w:t>
      </w:r>
    </w:p>
    <w:p w14:paraId="07AD2DF5">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2、交付地点：甲方指定地点。</w:t>
      </w:r>
    </w:p>
    <w:p w14:paraId="7A2AD74E">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第四条付款方式</w:t>
      </w:r>
    </w:p>
    <w:p w14:paraId="66F6B4E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招标人次月月初支付上月的服务费。</w:t>
      </w:r>
    </w:p>
    <w:p w14:paraId="1D97BBE0">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第五条履约保证金</w:t>
      </w:r>
    </w:p>
    <w:p w14:paraId="2637E7E5">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1、签订合同时，乙方须向甲方交纳人民币壹仟元整作为本合同的履约保证金。</w:t>
      </w:r>
    </w:p>
    <w:p w14:paraId="644280BC">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2、履约保证金用于补偿甲方因乙方不能履行或不能完全履行合同义务而蒙受的损失。</w:t>
      </w:r>
    </w:p>
    <w:p w14:paraId="32B0653F">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3、服务期满，乙方无违约现象，甲方一次性向乙方无息付清。</w:t>
      </w:r>
    </w:p>
    <w:p w14:paraId="65A9F2D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第六条服务及承诺</w:t>
      </w:r>
    </w:p>
    <w:p w14:paraId="1669DE91">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1、在服务期内，乙方应对服务出现的问题负责处理并承担一切费用，并且赔偿甲方的损失。</w:t>
      </w:r>
    </w:p>
    <w:p w14:paraId="4E5EE8C0">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2、乙方有完善的服务体系，有能力提供持续的、本地化售后服务。</w:t>
      </w:r>
    </w:p>
    <w:p w14:paraId="4809B15F">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3、乙方负责操作人员的培训，并制定详细的培训计划，使操作人员能独立进行管理、操作、维护和故障处理等工作，做好相关记录。</w:t>
      </w:r>
    </w:p>
    <w:p w14:paraId="57FF143C">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4、服务范围：负责招标文件所涉及到的所有服务。</w:t>
      </w:r>
    </w:p>
    <w:p w14:paraId="3BBC6E02">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第七条甲方权利和义务</w:t>
      </w:r>
    </w:p>
    <w:p w14:paraId="3B38C39A">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1、及时办理付款手续。</w:t>
      </w:r>
    </w:p>
    <w:p w14:paraId="1DA87D07">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2、负责提供工作场地，负责所有餐厅证件的办理，协助乙方办理有关事宜。</w:t>
      </w:r>
    </w:p>
    <w:p w14:paraId="2F3CF6D9">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3、对合同条款及所知悉的乙方商业秘密负有保密义务。</w:t>
      </w:r>
    </w:p>
    <w:p w14:paraId="2A4C80E8">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4</w:t>
      </w:r>
      <w:r>
        <w:rPr>
          <w:rFonts w:hint="eastAsia" w:ascii="仿宋_GB2312" w:hAnsi="仿宋" w:eastAsia="仿宋_GB2312" w:cs="仿宋"/>
          <w:sz w:val="24"/>
          <w:highlight w:val="none"/>
          <w:lang w:val="zh-CN"/>
        </w:rPr>
        <w:t>、甲方负责采购食材，为学生提供安全、环保、质美价廉的饭菜原料。采购原料必须按时、足量，否则因此造成的误餐由甲方负责。</w:t>
      </w:r>
    </w:p>
    <w:p w14:paraId="56A7521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5</w:t>
      </w:r>
      <w:r>
        <w:rPr>
          <w:rFonts w:hint="eastAsia" w:ascii="仿宋_GB2312" w:hAnsi="仿宋" w:eastAsia="仿宋_GB2312" w:cs="仿宋"/>
          <w:sz w:val="24"/>
          <w:highlight w:val="none"/>
          <w:lang w:val="zh-CN"/>
        </w:rPr>
        <w:t>、甲方负责保障食堂等相关区域设施设备的配备、维修保养、环境改善及有关食堂所需劳动工具、餐具洗消及卫生保洁材料的及时供应。</w:t>
      </w:r>
    </w:p>
    <w:p w14:paraId="40A512FF">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en-US" w:eastAsia="zh-CN"/>
        </w:rPr>
        <w:t>6</w:t>
      </w:r>
      <w:r>
        <w:rPr>
          <w:rFonts w:hint="eastAsia" w:ascii="仿宋_GB2312" w:hAnsi="仿宋" w:eastAsia="仿宋_GB2312" w:cs="仿宋"/>
          <w:sz w:val="24"/>
          <w:highlight w:val="none"/>
          <w:lang w:val="zh-CN"/>
        </w:rPr>
        <w:t>、甲方拥有对乙方派出人员的资格核查权，有权对乙方派出的不服从学校管理、工作失职、违反治安管理条例与学校规章制度的人员，要求乙方予以更换。</w:t>
      </w:r>
    </w:p>
    <w:p w14:paraId="6B835E1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en-US" w:eastAsia="zh-CN"/>
        </w:rPr>
        <w:t>7</w:t>
      </w:r>
      <w:r>
        <w:rPr>
          <w:rFonts w:hint="eastAsia" w:ascii="仿宋_GB2312" w:hAnsi="仿宋" w:eastAsia="仿宋_GB2312" w:cs="仿宋"/>
          <w:sz w:val="24"/>
          <w:highlight w:val="none"/>
          <w:lang w:val="zh-CN"/>
        </w:rPr>
        <w:t>、上级教育、卫生等部门制定的以及甲乙双方共同商定的有关食堂方面的管理规定作为本协议的一部分，与本协议具有同等效力，如乙方违反规定甲方有权酌情处罚。</w:t>
      </w:r>
    </w:p>
    <w:p w14:paraId="78E7E57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lang w:val="zh-CN"/>
        </w:rPr>
        <w:t>、如饭菜质量引起就餐人员投诉，查实属乙方原因，甲方有权要求乙方及时纠正直至更换厨师；如遇停水、停电、停气等特殊情况确实无法按时供餐时，甲方为乙方提供协调，帮助克服困难保证师生按时就餐，并向师生进行必要的解释。</w:t>
      </w:r>
    </w:p>
    <w:p w14:paraId="09751337">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en-US" w:eastAsia="zh-CN"/>
        </w:rPr>
        <w:t>9</w:t>
      </w:r>
      <w:r>
        <w:rPr>
          <w:rFonts w:hint="eastAsia" w:ascii="仿宋_GB2312" w:hAnsi="仿宋" w:eastAsia="仿宋_GB2312" w:cs="仿宋"/>
          <w:sz w:val="24"/>
          <w:highlight w:val="none"/>
          <w:lang w:val="zh-CN"/>
        </w:rPr>
        <w:t>、因乙方原因不能保证学生正常就餐时，甲方有权提前解除协议且由乙方承担相应的经济赔偿。</w:t>
      </w:r>
    </w:p>
    <w:p w14:paraId="714FE978">
      <w:pPr>
        <w:autoSpaceDE w:val="0"/>
        <w:autoSpaceDN w:val="0"/>
        <w:adjustRightInd w:val="0"/>
        <w:spacing w:line="360" w:lineRule="auto"/>
        <w:ind w:firstLine="482"/>
        <w:rPr>
          <w:rFonts w:ascii="仿宋_GB2312" w:hAnsi="仿宋" w:eastAsia="仿宋_GB2312" w:cs="仿宋"/>
          <w:sz w:val="24"/>
          <w:highlight w:val="none"/>
        </w:rPr>
      </w:pPr>
      <w:r>
        <w:rPr>
          <w:rFonts w:hint="eastAsia" w:ascii="仿宋_GB2312" w:hAnsi="仿宋" w:eastAsia="仿宋_GB2312" w:cs="仿宋"/>
          <w:sz w:val="24"/>
          <w:highlight w:val="none"/>
        </w:rPr>
        <w:t>1</w:t>
      </w:r>
      <w:r>
        <w:rPr>
          <w:rFonts w:hint="eastAsia" w:ascii="仿宋_GB2312" w:hAnsi="仿宋" w:eastAsia="仿宋_GB2312" w:cs="仿宋"/>
          <w:sz w:val="24"/>
          <w:highlight w:val="none"/>
          <w:lang w:val="en-US" w:eastAsia="zh-CN"/>
        </w:rPr>
        <w:t>0</w:t>
      </w:r>
      <w:r>
        <w:rPr>
          <w:rFonts w:hint="eastAsia" w:ascii="仿宋_GB2312" w:hAnsi="仿宋" w:eastAsia="仿宋_GB2312" w:cs="仿宋"/>
          <w:sz w:val="24"/>
          <w:highlight w:val="none"/>
        </w:rPr>
        <w:t>、甲方定期召开食堂管理工作会议，应通知乙方出席，甲方针对现状、问题及改善事项等与乙方进行沟通协调，如有特殊情况或者突发事件，甲方可召开临时会议，也应通知乙方出席。</w:t>
      </w:r>
    </w:p>
    <w:p w14:paraId="4A947440">
      <w:pPr>
        <w:autoSpaceDE w:val="0"/>
        <w:autoSpaceDN w:val="0"/>
        <w:adjustRightInd w:val="0"/>
        <w:spacing w:line="360" w:lineRule="auto"/>
        <w:ind w:firstLine="482"/>
        <w:rPr>
          <w:rFonts w:ascii="仿宋_GB2312" w:hAnsi="仿宋" w:eastAsia="仿宋_GB2312" w:cs="仿宋"/>
          <w:sz w:val="24"/>
          <w:highlight w:val="none"/>
        </w:rPr>
      </w:pPr>
      <w:r>
        <w:rPr>
          <w:rFonts w:hint="eastAsia" w:ascii="仿宋_GB2312" w:hAnsi="仿宋" w:eastAsia="仿宋_GB2312" w:cs="仿宋"/>
          <w:sz w:val="24"/>
          <w:highlight w:val="none"/>
        </w:rPr>
        <w:t>1</w:t>
      </w:r>
      <w:r>
        <w:rPr>
          <w:rFonts w:hint="eastAsia" w:ascii="仿宋_GB2312" w:hAnsi="仿宋" w:eastAsia="仿宋_GB2312" w:cs="仿宋"/>
          <w:sz w:val="24"/>
          <w:highlight w:val="none"/>
          <w:lang w:val="en-US" w:eastAsia="zh-CN"/>
        </w:rPr>
        <w:t>1</w:t>
      </w:r>
      <w:r>
        <w:rPr>
          <w:rFonts w:hint="eastAsia" w:ascii="仿宋_GB2312" w:hAnsi="仿宋" w:eastAsia="仿宋_GB2312" w:cs="仿宋"/>
          <w:sz w:val="24"/>
          <w:highlight w:val="none"/>
        </w:rPr>
        <w:t>、甲方应积极协助乙方处理对内、外的各种纠纷或者矛盾，维护乙方合法权益，但不承担任何相关责任。</w:t>
      </w:r>
    </w:p>
    <w:p w14:paraId="5C1C76B1">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第八条乙方权利和义务</w:t>
      </w:r>
    </w:p>
    <w:p w14:paraId="7D84028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1、乙方负责餐厅工作人员根据就餐实际人数的需要，配备相应的工作人员，并负责培训、教育管理、工资发放等一切劳务事宜。具体帮厨服务人员数量需根据投标人承诺及就餐实际情况确定。</w:t>
      </w:r>
    </w:p>
    <w:p w14:paraId="2580D9B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2、乙方必须事先向甲方提供拟派人员的基本资料，所有餐厅工作人员必须</w:t>
      </w:r>
      <w:r>
        <w:rPr>
          <w:rFonts w:hint="eastAsia" w:ascii="仿宋_GB2312" w:hAnsi="仿宋" w:eastAsia="仿宋_GB2312" w:cs="仿宋"/>
          <w:sz w:val="24"/>
          <w:highlight w:val="none"/>
        </w:rPr>
        <w:t>为身体健康无心理疾病且</w:t>
      </w:r>
      <w:r>
        <w:rPr>
          <w:rFonts w:hint="eastAsia" w:ascii="仿宋_GB2312" w:hAnsi="仿宋" w:eastAsia="仿宋_GB2312" w:cs="仿宋"/>
          <w:sz w:val="24"/>
          <w:highlight w:val="none"/>
          <w:lang w:val="zh-CN"/>
        </w:rPr>
        <w:t>持有健康证及卫生知识培训合格证，必须</w:t>
      </w:r>
      <w:r>
        <w:rPr>
          <w:rFonts w:hint="eastAsia" w:ascii="仿宋_GB2312" w:hAnsi="仿宋" w:eastAsia="仿宋_GB2312" w:cs="仿宋"/>
          <w:sz w:val="24"/>
          <w:highlight w:val="none"/>
        </w:rPr>
        <w:t>无违法违纪行为，</w:t>
      </w:r>
      <w:r>
        <w:rPr>
          <w:rFonts w:hint="eastAsia" w:ascii="仿宋_GB2312" w:hAnsi="仿宋" w:eastAsia="仿宋_GB2312" w:cs="仿宋"/>
          <w:sz w:val="24"/>
          <w:highlight w:val="none"/>
          <w:lang w:val="zh-CN"/>
        </w:rPr>
        <w:t>遵纪守法，遵守甲方的规章制度。</w:t>
      </w:r>
    </w:p>
    <w:p w14:paraId="039E8C2B">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3、乙方负责餐厅的食品安全、生产安全、饭菜制作、餐饮卫生的日常管理，严格执行《食品安全法》、《生产安全法》和相关卫生法规，严禁加工使用腐烂变质、有毒有害的原料，严格餐具消毒措施，每餐做好食品留样和记录，杜绝食品安全事故的发生。如因违反法规及烹饪操作流程而发生食品安全、生产安全、食物中毒事故由乙方承担全部责任。</w:t>
      </w:r>
    </w:p>
    <w:p w14:paraId="52A2A342">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4、乙方必须由经理、厨师长、保管员三人共同按照索证购买的原则验收原材料</w:t>
      </w:r>
      <w:r>
        <w:rPr>
          <w:rFonts w:hint="eastAsia" w:ascii="仿宋_GB2312" w:hAnsi="仿宋" w:eastAsia="仿宋_GB2312" w:cs="仿宋"/>
          <w:sz w:val="24"/>
          <w:highlight w:val="none"/>
        </w:rPr>
        <w:t>并签字确认</w:t>
      </w:r>
      <w:r>
        <w:rPr>
          <w:rFonts w:hint="eastAsia" w:ascii="仿宋_GB2312" w:hAnsi="仿宋" w:eastAsia="仿宋_GB2312" w:cs="仿宋"/>
          <w:sz w:val="24"/>
          <w:highlight w:val="none"/>
          <w:lang w:val="zh-CN"/>
        </w:rPr>
        <w:t>，做好登记，从源头上杜绝有毒有害、腐烂变质的食材进入餐厅，保证学生饭菜的安全。</w:t>
      </w:r>
      <w:r>
        <w:rPr>
          <w:rFonts w:hint="eastAsia" w:ascii="仿宋_GB2312" w:hAnsi="仿宋" w:eastAsia="仿宋_GB2312" w:cs="仿宋"/>
          <w:sz w:val="24"/>
          <w:highlight w:val="none"/>
        </w:rPr>
        <w:t>乙方认为食材存在安全隐患可拒收，由甲方负责更换食材，经有关部分检测食材无毒、无害的，需乙方承担相应赔偿及责任。</w:t>
      </w:r>
      <w:r>
        <w:rPr>
          <w:rFonts w:hint="eastAsia" w:ascii="仿宋_GB2312" w:hAnsi="仿宋" w:eastAsia="仿宋_GB2312" w:cs="仿宋"/>
          <w:sz w:val="24"/>
          <w:highlight w:val="none"/>
          <w:lang w:val="zh-CN"/>
        </w:rPr>
        <w:t>乙方须与所派遣到甲方处的员工签订劳动合同并依法缴纳社会保险。如乙方派遣人员发生工伤或劳动争议等事项，全部由乙方承担赔偿责任或负责处理，甲方不承担任何责任。</w:t>
      </w:r>
    </w:p>
    <w:p w14:paraId="4D2327CC">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5、乙方必须按照《中小学生膳食指南》和甲方的要求制定周食谱，报甲方核定后实施制作，保证按时、足量供餐，并做到新鲜可口、花样翻新、营养搭配合理。乙方应根据原材料成本合理安排，确保收支均衡。</w:t>
      </w:r>
    </w:p>
    <w:p w14:paraId="645B06D4">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6、乙方要爱护并规范使用甲方提供的一切设备及设施，如有人为损坏和丢失，乙方应照实际价格赔偿。</w:t>
      </w:r>
    </w:p>
    <w:p w14:paraId="26A00F12">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7、如遇停水、停电、停气等特殊情况确实影响按时供餐时，必须即时告知甲方，商定包括从外单位订餐等措施为学生供餐。</w:t>
      </w:r>
    </w:p>
    <w:p w14:paraId="35DEDAF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8、乙方须密切配合校方将餐厅办成德育教育的课堂，以培养学生的讲究卫生、珍爱健康的良好生活习惯和珍惜粮食勤俭节约的美德。</w:t>
      </w:r>
    </w:p>
    <w:p w14:paraId="37D5AF75">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9、</w:t>
      </w:r>
      <w:r>
        <w:rPr>
          <w:rFonts w:hint="eastAsia" w:ascii="仿宋_GB2312" w:hAnsi="仿宋" w:eastAsia="仿宋_GB2312" w:cs="仿宋"/>
          <w:sz w:val="24"/>
          <w:highlight w:val="none"/>
          <w:lang w:val="zh-CN"/>
        </w:rPr>
        <w:t>乙方须在甲方规定的范围生产经营，不得扩大使用场所。乙方在食堂内只经营饭菜，不得经营生活用品、食杂、文具、饮料等。</w:t>
      </w:r>
    </w:p>
    <w:p w14:paraId="22B067BF">
      <w:pPr>
        <w:autoSpaceDE w:val="0"/>
        <w:autoSpaceDN w:val="0"/>
        <w:adjustRightInd w:val="0"/>
        <w:spacing w:line="360" w:lineRule="auto"/>
        <w:ind w:firstLine="482"/>
        <w:rPr>
          <w:rFonts w:hint="eastAsia" w:ascii="仿宋_GB2312" w:hAnsi="仿宋" w:eastAsia="仿宋_GB2312" w:cs="仿宋"/>
          <w:sz w:val="24"/>
          <w:highlight w:val="none"/>
        </w:rPr>
      </w:pPr>
      <w:r>
        <w:rPr>
          <w:rFonts w:hint="eastAsia" w:ascii="仿宋_GB2312" w:hAnsi="仿宋" w:eastAsia="仿宋_GB2312" w:cs="仿宋"/>
          <w:sz w:val="24"/>
          <w:highlight w:val="none"/>
        </w:rPr>
        <w:t>10、未经甲方事先同意，乙方不得对食堂实施水、电改造或房屋装修以及房屋结构改造。</w:t>
      </w:r>
    </w:p>
    <w:p w14:paraId="785CD517">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仿宋_GB2312"/>
          <w:highlight w:val="none"/>
          <w:lang w:val="en-US" w:eastAsia="zh-CN"/>
        </w:rPr>
      </w:pPr>
      <w:r>
        <w:rPr>
          <w:rFonts w:hint="eastAsia" w:ascii="仿宋_GB2312" w:hAnsi="仿宋" w:eastAsia="仿宋_GB2312" w:cs="仿宋"/>
          <w:sz w:val="24"/>
          <w:highlight w:val="none"/>
          <w:lang w:val="en-US" w:eastAsia="zh-CN"/>
        </w:rPr>
        <w:t>11、乙方负责所有生产费用包括水、电、气、暖。</w:t>
      </w:r>
    </w:p>
    <w:p w14:paraId="2FC4E8FA">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第九条违约责任</w:t>
      </w:r>
    </w:p>
    <w:p w14:paraId="75B0F2EB">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1</w:t>
      </w:r>
      <w:r>
        <w:rPr>
          <w:rFonts w:hint="eastAsia" w:ascii="仿宋_GB2312" w:hAnsi="仿宋" w:eastAsia="仿宋_GB2312" w:cs="仿宋"/>
          <w:sz w:val="24"/>
          <w:highlight w:val="none"/>
          <w:lang w:val="zh-CN"/>
        </w:rPr>
        <w:t>、甲方有权随机选取80%（教师代表、学生代表及家委会代表）以上的人员进行满意度测评，满意度测评不达</w:t>
      </w:r>
      <w:r>
        <w:rPr>
          <w:rFonts w:ascii="仿宋_GB2312" w:hAnsi="仿宋" w:eastAsia="仿宋_GB2312" w:cs="仿宋"/>
          <w:sz w:val="24"/>
          <w:highlight w:val="none"/>
        </w:rPr>
        <w:t>85</w:t>
      </w:r>
      <w:r>
        <w:rPr>
          <w:rFonts w:hint="eastAsia" w:ascii="仿宋_GB2312" w:hAnsi="仿宋" w:eastAsia="仿宋_GB2312" w:cs="仿宋"/>
          <w:sz w:val="24"/>
          <w:highlight w:val="none"/>
        </w:rPr>
        <w:t>分的</w:t>
      </w:r>
      <w:r>
        <w:rPr>
          <w:rFonts w:hint="eastAsia" w:ascii="仿宋_GB2312" w:hAnsi="仿宋" w:eastAsia="仿宋_GB2312" w:cs="仿宋"/>
          <w:sz w:val="24"/>
          <w:highlight w:val="none"/>
          <w:lang w:val="zh-CN"/>
        </w:rPr>
        <w:t>，或违反上述乙方义务的，乙方向甲方支付5</w:t>
      </w:r>
      <w:r>
        <w:rPr>
          <w:rFonts w:ascii="仿宋_GB2312" w:hAnsi="仿宋" w:eastAsia="仿宋_GB2312" w:cs="仿宋"/>
          <w:sz w:val="24"/>
          <w:highlight w:val="none"/>
          <w:lang w:val="zh-CN"/>
        </w:rPr>
        <w:t>0000</w:t>
      </w:r>
      <w:r>
        <w:rPr>
          <w:rFonts w:hint="eastAsia" w:ascii="仿宋_GB2312" w:hAnsi="仿宋" w:eastAsia="仿宋_GB2312" w:cs="仿宋"/>
          <w:sz w:val="24"/>
          <w:highlight w:val="none"/>
          <w:lang w:val="zh-CN"/>
        </w:rPr>
        <w:t>元的违约金，甲方有权解除合同，履约保证金不予退还。</w:t>
      </w:r>
    </w:p>
    <w:p w14:paraId="1F6DA2BF">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2</w:t>
      </w:r>
      <w:r>
        <w:rPr>
          <w:rFonts w:hint="eastAsia" w:ascii="仿宋_GB2312" w:hAnsi="仿宋" w:eastAsia="仿宋_GB2312" w:cs="仿宋"/>
          <w:sz w:val="24"/>
          <w:highlight w:val="none"/>
          <w:lang w:val="zh-CN"/>
        </w:rPr>
        <w:t>、乙方服务人员未按时按需为学生供餐，每逾期</w:t>
      </w:r>
      <w:r>
        <w:rPr>
          <w:rFonts w:hint="eastAsia" w:ascii="仿宋_GB2312" w:hAnsi="仿宋" w:eastAsia="仿宋_GB2312" w:cs="仿宋"/>
          <w:sz w:val="24"/>
          <w:highlight w:val="none"/>
        </w:rPr>
        <w:t>30分钟</w:t>
      </w:r>
      <w:r>
        <w:rPr>
          <w:rFonts w:hint="eastAsia" w:ascii="仿宋_GB2312" w:hAnsi="仿宋" w:eastAsia="仿宋_GB2312" w:cs="仿宋"/>
          <w:sz w:val="24"/>
          <w:highlight w:val="none"/>
          <w:lang w:val="zh-CN"/>
        </w:rPr>
        <w:t>乙方向甲方支付合同总金额3‰的滞纳金。逾期交付超过</w:t>
      </w:r>
      <w:r>
        <w:rPr>
          <w:rFonts w:hint="eastAsia" w:ascii="仿宋_GB2312" w:hAnsi="仿宋" w:eastAsia="仿宋_GB2312" w:cs="仿宋"/>
          <w:sz w:val="24"/>
          <w:highlight w:val="none"/>
        </w:rPr>
        <w:t>2小时</w:t>
      </w:r>
      <w:r>
        <w:rPr>
          <w:rFonts w:hint="eastAsia" w:ascii="仿宋_GB2312" w:hAnsi="仿宋" w:eastAsia="仿宋_GB2312" w:cs="仿宋"/>
          <w:sz w:val="24"/>
          <w:highlight w:val="none"/>
          <w:lang w:val="zh-CN"/>
        </w:rPr>
        <w:t>，甲方有权决定是否继续履行合同，如甲方决定终止履行合同的，甲方扣除乙方的履约保证金，甲方保留依法追究其经济责任的权利，赔偿甲方因此所遭受的损失。</w:t>
      </w:r>
    </w:p>
    <w:p w14:paraId="449E6BDE">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3、乙方不按照《餐饮服务食品安全操作规范》操作的，每发现一次，</w:t>
      </w:r>
      <w:r>
        <w:rPr>
          <w:rFonts w:hint="eastAsia" w:ascii="仿宋_GB2312" w:hAnsi="仿宋" w:eastAsia="仿宋_GB2312" w:cs="仿宋"/>
          <w:sz w:val="24"/>
          <w:highlight w:val="none"/>
          <w:lang w:val="zh-CN"/>
        </w:rPr>
        <w:t>甲方视情况扣罚乙方5</w:t>
      </w:r>
      <w:r>
        <w:rPr>
          <w:rFonts w:ascii="仿宋_GB2312" w:hAnsi="仿宋" w:eastAsia="仿宋_GB2312" w:cs="仿宋"/>
          <w:sz w:val="24"/>
          <w:highlight w:val="none"/>
          <w:lang w:val="zh-CN"/>
        </w:rPr>
        <w:t>000</w:t>
      </w:r>
      <w:r>
        <w:rPr>
          <w:rFonts w:hint="eastAsia" w:ascii="仿宋_GB2312" w:hAnsi="仿宋" w:eastAsia="仿宋_GB2312" w:cs="仿宋"/>
          <w:sz w:val="24"/>
          <w:highlight w:val="none"/>
          <w:lang w:val="zh-CN"/>
        </w:rPr>
        <w:t>-</w:t>
      </w:r>
      <w:r>
        <w:rPr>
          <w:rFonts w:ascii="仿宋_GB2312" w:hAnsi="仿宋" w:eastAsia="仿宋_GB2312" w:cs="仿宋"/>
          <w:sz w:val="24"/>
          <w:highlight w:val="none"/>
          <w:lang w:val="zh-CN"/>
        </w:rPr>
        <w:t>20000</w:t>
      </w:r>
      <w:r>
        <w:rPr>
          <w:rFonts w:hint="eastAsia" w:ascii="仿宋_GB2312" w:hAnsi="仿宋" w:eastAsia="仿宋_GB2312" w:cs="仿宋"/>
          <w:sz w:val="24"/>
          <w:highlight w:val="none"/>
          <w:lang w:val="zh-CN"/>
        </w:rPr>
        <w:t>元。</w:t>
      </w:r>
    </w:p>
    <w:p w14:paraId="47CF29C2">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4、因乙方原因出现食品安全事故的，</w:t>
      </w:r>
      <w:r>
        <w:rPr>
          <w:rFonts w:hint="eastAsia" w:ascii="仿宋_GB2312" w:hAnsi="仿宋" w:eastAsia="仿宋_GB2312" w:cs="仿宋"/>
          <w:sz w:val="24"/>
          <w:highlight w:val="none"/>
          <w:lang w:val="zh-CN"/>
        </w:rPr>
        <w:t>所有相关责任均由乙方负责，</w:t>
      </w:r>
      <w:r>
        <w:rPr>
          <w:rFonts w:hint="eastAsia" w:ascii="仿宋_GB2312" w:hAnsi="仿宋" w:eastAsia="仿宋_GB2312" w:cs="仿宋"/>
          <w:sz w:val="24"/>
          <w:highlight w:val="none"/>
        </w:rPr>
        <w:t>乙方承担全部的经济赔偿，</w:t>
      </w:r>
      <w:r>
        <w:rPr>
          <w:rFonts w:hint="eastAsia" w:ascii="仿宋_GB2312" w:hAnsi="仿宋" w:eastAsia="仿宋_GB2312" w:cs="仿宋"/>
          <w:sz w:val="24"/>
          <w:highlight w:val="none"/>
          <w:lang w:val="zh-CN"/>
        </w:rPr>
        <w:t>并立即终止合同，且乙方今后不得参与黄岛区任何形式的中小学校帮厨或配餐项目。</w:t>
      </w:r>
    </w:p>
    <w:p w14:paraId="66AD60A2">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第十条不可抗力</w:t>
      </w:r>
    </w:p>
    <w:p w14:paraId="10D26604">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7B1825E0">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第十一条保密</w:t>
      </w:r>
    </w:p>
    <w:p w14:paraId="7CE8F42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乙方在合同履行期间知悉甲方的工作秘密，不得透露或以其他方式提供给合同双方以外的其他方（包括乙方内部与本合同无关的任何人员），乙方的保密责任不因本合同的终止而终止。</w:t>
      </w:r>
    </w:p>
    <w:p w14:paraId="1508C3A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乙方违反本合同所规定的保密义务，扣除履约保证金，直至解除合同。</w:t>
      </w:r>
    </w:p>
    <w:p w14:paraId="762EE5EC">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第十二条争议解决</w:t>
      </w:r>
    </w:p>
    <w:p w14:paraId="1A33C50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甲乙双方在合同履行中发生争议，应通过协商解决。如协商不成，可以向青岛市黄岛区人民法院提起诉讼。</w:t>
      </w:r>
    </w:p>
    <w:p w14:paraId="1BBD39C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第十三条其他约定</w:t>
      </w:r>
    </w:p>
    <w:p w14:paraId="65630EC5">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1</w:t>
      </w:r>
      <w:r>
        <w:rPr>
          <w:rFonts w:hint="eastAsia" w:ascii="仿宋_GB2312" w:hAnsi="仿宋" w:eastAsia="仿宋_GB2312" w:cs="仿宋"/>
          <w:sz w:val="24"/>
          <w:highlight w:val="none"/>
          <w:lang w:val="zh-CN"/>
        </w:rPr>
        <w:t>、有下列情形之一的，</w:t>
      </w:r>
      <w:r>
        <w:rPr>
          <w:rFonts w:hint="eastAsia" w:ascii="仿宋_GB2312" w:hAnsi="仿宋" w:eastAsia="仿宋_GB2312" w:cs="仿宋"/>
          <w:sz w:val="24"/>
          <w:highlight w:val="none"/>
        </w:rPr>
        <w:t>经甲方催告整改后仍未改变或造成严重后果或社会影响较大的，甲方有权单方解除合同。</w:t>
      </w:r>
    </w:p>
    <w:p w14:paraId="5AAD3E9E">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1.</w:t>
      </w:r>
      <w:r>
        <w:rPr>
          <w:rFonts w:hint="eastAsia" w:ascii="仿宋_GB2312" w:hAnsi="仿宋" w:eastAsia="仿宋_GB2312" w:cs="仿宋"/>
          <w:sz w:val="24"/>
          <w:highlight w:val="none"/>
          <w:lang w:val="zh-CN"/>
        </w:rPr>
        <w:t>1.未设立专职食品安全管理人员的。</w:t>
      </w:r>
    </w:p>
    <w:p w14:paraId="78788155">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1.2</w:t>
      </w:r>
      <w:r>
        <w:rPr>
          <w:rFonts w:hint="eastAsia" w:ascii="仿宋_GB2312" w:hAnsi="仿宋" w:eastAsia="仿宋_GB2312" w:cs="仿宋"/>
          <w:sz w:val="24"/>
          <w:highlight w:val="none"/>
          <w:lang w:val="zh-CN"/>
        </w:rPr>
        <w:t>.</w:t>
      </w:r>
      <w:r>
        <w:rPr>
          <w:rFonts w:hint="eastAsia" w:ascii="仿宋_GB2312" w:hAnsi="仿宋" w:eastAsia="仿宋_GB2312" w:cs="仿宋"/>
          <w:sz w:val="24"/>
          <w:highlight w:val="none"/>
        </w:rPr>
        <w:t>为</w:t>
      </w:r>
      <w:r>
        <w:rPr>
          <w:rFonts w:hint="eastAsia" w:ascii="仿宋_GB2312" w:hAnsi="仿宋" w:eastAsia="仿宋_GB2312" w:cs="仿宋"/>
          <w:sz w:val="24"/>
          <w:highlight w:val="none"/>
          <w:lang w:val="zh-CN"/>
        </w:rPr>
        <w:t>学校食堂</w:t>
      </w:r>
      <w:r>
        <w:rPr>
          <w:rFonts w:hint="eastAsia" w:ascii="仿宋_GB2312" w:hAnsi="仿宋" w:eastAsia="仿宋_GB2312" w:cs="仿宋"/>
          <w:sz w:val="24"/>
          <w:highlight w:val="none"/>
        </w:rPr>
        <w:t>提供服务的</w:t>
      </w:r>
      <w:r>
        <w:rPr>
          <w:rFonts w:hint="eastAsia" w:ascii="仿宋_GB2312" w:hAnsi="仿宋" w:eastAsia="仿宋_GB2312" w:cs="仿宋"/>
          <w:sz w:val="24"/>
          <w:highlight w:val="none"/>
          <w:lang w:val="zh-CN"/>
        </w:rPr>
        <w:t>人员未取得健康证明或存在影响食品安全病症未调离食品工作岗位的，以及未按规定安排从业人员进行食品安全知识培训的。</w:t>
      </w:r>
    </w:p>
    <w:p w14:paraId="4CA37600">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1.3</w:t>
      </w:r>
      <w:r>
        <w:rPr>
          <w:rFonts w:hint="eastAsia" w:ascii="仿宋_GB2312" w:hAnsi="仿宋" w:eastAsia="仿宋_GB2312" w:cs="仿宋"/>
          <w:sz w:val="24"/>
          <w:highlight w:val="none"/>
          <w:lang w:val="zh-CN"/>
        </w:rPr>
        <w:t>.对</w:t>
      </w:r>
      <w:r>
        <w:rPr>
          <w:rFonts w:hint="eastAsia" w:ascii="仿宋_GB2312" w:hAnsi="仿宋" w:eastAsia="仿宋_GB2312" w:cs="仿宋"/>
          <w:sz w:val="24"/>
          <w:highlight w:val="none"/>
        </w:rPr>
        <w:t>食药</w:t>
      </w:r>
      <w:r>
        <w:rPr>
          <w:rFonts w:hint="eastAsia" w:ascii="仿宋_GB2312" w:hAnsi="仿宋" w:eastAsia="仿宋_GB2312" w:cs="仿宋"/>
          <w:sz w:val="24"/>
          <w:highlight w:val="none"/>
          <w:lang w:val="zh-CN"/>
        </w:rPr>
        <w:t>部门或教育行政部门提出的整改意见，未按要求的时限进行整改的，</w:t>
      </w:r>
      <w:r>
        <w:rPr>
          <w:rFonts w:hint="eastAsia" w:ascii="仿宋_GB2312" w:hAnsi="仿宋" w:eastAsia="仿宋_GB2312" w:cs="仿宋"/>
          <w:sz w:val="24"/>
          <w:highlight w:val="none"/>
        </w:rPr>
        <w:t>造成人员伤亡或不良影响的</w:t>
      </w:r>
      <w:r>
        <w:rPr>
          <w:rFonts w:hint="eastAsia" w:ascii="仿宋_GB2312" w:hAnsi="仿宋" w:eastAsia="仿宋_GB2312" w:cs="仿宋"/>
          <w:sz w:val="24"/>
          <w:highlight w:val="none"/>
          <w:lang w:val="zh-CN"/>
        </w:rPr>
        <w:t>。</w:t>
      </w:r>
    </w:p>
    <w:p w14:paraId="4B89D33E">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1.4</w:t>
      </w:r>
      <w:r>
        <w:rPr>
          <w:rFonts w:hint="eastAsia" w:ascii="仿宋_GB2312" w:hAnsi="仿宋" w:eastAsia="仿宋_GB2312" w:cs="仿宋"/>
          <w:sz w:val="24"/>
          <w:highlight w:val="none"/>
          <w:lang w:val="zh-CN"/>
        </w:rPr>
        <w:t>.瞒报、迟报食物中毒事故</w:t>
      </w:r>
      <w:r>
        <w:rPr>
          <w:rFonts w:hint="eastAsia" w:ascii="仿宋_GB2312" w:hAnsi="仿宋" w:eastAsia="仿宋_GB2312" w:cs="仿宋"/>
          <w:sz w:val="24"/>
          <w:highlight w:val="none"/>
        </w:rPr>
        <w:t>或食源性疾病</w:t>
      </w:r>
      <w:r>
        <w:rPr>
          <w:rFonts w:hint="eastAsia" w:ascii="仿宋_GB2312" w:hAnsi="仿宋" w:eastAsia="仿宋_GB2312" w:cs="仿宋"/>
          <w:sz w:val="24"/>
          <w:highlight w:val="none"/>
          <w:lang w:val="zh-CN"/>
        </w:rPr>
        <w:t>，或没有采取有效控制措施、组织抢救工作致使食物中毒事态扩大的。</w:t>
      </w:r>
    </w:p>
    <w:p w14:paraId="64B408A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1.5</w:t>
      </w:r>
      <w:r>
        <w:rPr>
          <w:rFonts w:hint="eastAsia" w:ascii="仿宋_GB2312" w:hAnsi="仿宋" w:eastAsia="仿宋_GB2312" w:cs="仿宋"/>
          <w:sz w:val="24"/>
          <w:highlight w:val="none"/>
          <w:lang w:val="zh-CN"/>
        </w:rPr>
        <w:t>.未配合</w:t>
      </w:r>
      <w:r>
        <w:rPr>
          <w:rFonts w:hint="eastAsia" w:ascii="仿宋_GB2312" w:hAnsi="仿宋" w:eastAsia="仿宋_GB2312" w:cs="仿宋"/>
          <w:sz w:val="24"/>
          <w:highlight w:val="none"/>
        </w:rPr>
        <w:t>食药、</w:t>
      </w:r>
      <w:r>
        <w:rPr>
          <w:rFonts w:hint="eastAsia" w:ascii="仿宋_GB2312" w:hAnsi="仿宋" w:eastAsia="仿宋_GB2312" w:cs="仿宋"/>
          <w:sz w:val="24"/>
          <w:highlight w:val="none"/>
          <w:lang w:val="zh-CN"/>
        </w:rPr>
        <w:t>卫生</w:t>
      </w:r>
      <w:r>
        <w:rPr>
          <w:rFonts w:hint="eastAsia" w:ascii="仿宋_GB2312" w:hAnsi="仿宋" w:eastAsia="仿宋_GB2312" w:cs="仿宋"/>
          <w:sz w:val="24"/>
          <w:highlight w:val="none"/>
        </w:rPr>
        <w:t>等</w:t>
      </w:r>
      <w:r>
        <w:rPr>
          <w:rFonts w:hint="eastAsia" w:ascii="仿宋_GB2312" w:hAnsi="仿宋" w:eastAsia="仿宋_GB2312" w:cs="仿宋"/>
          <w:sz w:val="24"/>
          <w:highlight w:val="none"/>
          <w:lang w:val="zh-CN"/>
        </w:rPr>
        <w:t>部门进行食物中毒调查或未保留现场的。</w:t>
      </w:r>
    </w:p>
    <w:p w14:paraId="5BFBED1E">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2</w:t>
      </w:r>
      <w:r>
        <w:rPr>
          <w:rFonts w:hint="eastAsia" w:ascii="仿宋_GB2312" w:hAnsi="仿宋" w:eastAsia="仿宋_GB2312" w:cs="仿宋"/>
          <w:sz w:val="24"/>
          <w:highlight w:val="none"/>
          <w:lang w:val="zh-CN"/>
        </w:rPr>
        <w:t>、合同期内，甲乙方任何一方需要提前解除合同，必须提前三个月书面通知对方，否则应支付给对方相当于三个月的劳务费用作为赔偿。</w:t>
      </w:r>
    </w:p>
    <w:p w14:paraId="4CE857DF">
      <w:pPr>
        <w:autoSpaceDE w:val="0"/>
        <w:autoSpaceDN w:val="0"/>
        <w:adjustRightInd w:val="0"/>
        <w:spacing w:line="360" w:lineRule="auto"/>
        <w:ind w:firstLine="482"/>
        <w:rPr>
          <w:rFonts w:ascii="仿宋_GB2312" w:hAnsi="仿宋" w:eastAsia="仿宋_GB2312" w:cs="仿宋"/>
          <w:sz w:val="24"/>
          <w:highlight w:val="none"/>
        </w:rPr>
      </w:pPr>
      <w:r>
        <w:rPr>
          <w:rFonts w:hint="eastAsia" w:ascii="仿宋_GB2312" w:hAnsi="仿宋" w:eastAsia="仿宋_GB2312" w:cs="仿宋"/>
          <w:sz w:val="24"/>
          <w:highlight w:val="none"/>
        </w:rPr>
        <w:t>3</w:t>
      </w:r>
      <w:r>
        <w:rPr>
          <w:rFonts w:hint="eastAsia" w:ascii="仿宋_GB2312" w:hAnsi="仿宋" w:eastAsia="仿宋_GB2312" w:cs="仿宋"/>
          <w:sz w:val="24"/>
          <w:highlight w:val="none"/>
          <w:lang w:val="zh-CN"/>
        </w:rPr>
        <w:t>、因乙方员工拒不服从甲方管理、不遵守甲方制度、消极怠工等情况的存在，导致严重影响或危及到甲方食堂的正常运营，甲方有权单方解除合同由此造成甲方损失的，由乙方承担相应经济赔偿。</w:t>
      </w:r>
    </w:p>
    <w:p w14:paraId="374EEF52">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4</w:t>
      </w:r>
      <w:r>
        <w:rPr>
          <w:rFonts w:hint="eastAsia" w:ascii="仿宋_GB2312" w:hAnsi="仿宋" w:eastAsia="仿宋_GB2312" w:cs="仿宋"/>
          <w:sz w:val="24"/>
          <w:highlight w:val="none"/>
          <w:lang w:val="zh-CN"/>
        </w:rPr>
        <w:t>、在用餐场所张贴悬挂的内容：</w:t>
      </w:r>
      <w:r>
        <w:rPr>
          <w:rFonts w:hint="eastAsia" w:ascii="仿宋_GB2312" w:hAnsi="仿宋" w:eastAsia="仿宋_GB2312" w:cs="仿宋"/>
          <w:sz w:val="24"/>
          <w:highlight w:val="none"/>
        </w:rPr>
        <w:t>食品经营</w:t>
      </w:r>
      <w:r>
        <w:rPr>
          <w:rFonts w:hint="eastAsia" w:ascii="仿宋_GB2312" w:hAnsi="仿宋" w:eastAsia="仿宋_GB2312" w:cs="仿宋"/>
          <w:sz w:val="24"/>
          <w:highlight w:val="none"/>
          <w:lang w:val="zh-CN"/>
        </w:rPr>
        <w:t>许可</w:t>
      </w:r>
      <w:r>
        <w:rPr>
          <w:rFonts w:hint="eastAsia" w:ascii="仿宋_GB2312" w:hAnsi="仿宋" w:eastAsia="仿宋_GB2312" w:cs="仿宋"/>
          <w:sz w:val="24"/>
          <w:highlight w:val="none"/>
        </w:rPr>
        <w:t>证</w:t>
      </w:r>
      <w:r>
        <w:rPr>
          <w:rFonts w:hint="eastAsia" w:ascii="仿宋_GB2312" w:hAnsi="仿宋" w:eastAsia="仿宋_GB2312" w:cs="仿宋"/>
          <w:sz w:val="24"/>
          <w:highlight w:val="none"/>
          <w:lang w:val="zh-CN"/>
        </w:rPr>
        <w:t>、从业人员的健康证、食堂岗位责任分工、食品安全管理等制度、食品及原料进货渠道、食品添加剂使用情况、一周营养食谱、学生餐营养标准、食品价格、洗手“六步法”图谱以及就餐卫生标示等。设立食品安全监督公开电话和意见箱，便于及时接受学生家长、社会各界的监督。</w:t>
      </w:r>
    </w:p>
    <w:p w14:paraId="3D23FC0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rPr>
        <w:t>5、</w:t>
      </w:r>
      <w:r>
        <w:rPr>
          <w:rFonts w:hint="eastAsia" w:ascii="仿宋_GB2312" w:hAnsi="仿宋" w:eastAsia="仿宋_GB2312" w:cs="仿宋"/>
          <w:sz w:val="24"/>
          <w:highlight w:val="none"/>
          <w:lang w:val="zh-CN"/>
        </w:rPr>
        <w:t>因乙方原因，发生火灾或其他事故，给甲方造成损失或产生不良影响的，甲方有权解除本合同，乙方承担相应的赔偿责任。</w:t>
      </w:r>
    </w:p>
    <w:p w14:paraId="37FC1BB1">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第十四条合同生效及其他</w:t>
      </w:r>
    </w:p>
    <w:p w14:paraId="68E420A2">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1、除招标文件规定且甲方事先书面同意外，乙方不得部分或者全部转让、分包履行其应履行的合同项下的义务。</w:t>
      </w:r>
    </w:p>
    <w:p w14:paraId="3B06DC66">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2、合同由甲、乙双方法定代表人（或者被授权代表）签字并加盖单位公章。</w:t>
      </w:r>
    </w:p>
    <w:p w14:paraId="2BF825FD">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3、本合同一式二份，甲方一份，乙方一份。</w:t>
      </w:r>
    </w:p>
    <w:p w14:paraId="6B8F6F9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第十五条服务期限</w:t>
      </w:r>
    </w:p>
    <w:p w14:paraId="0FC789F0">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本合同服务期限为</w:t>
      </w:r>
      <w:r>
        <w:rPr>
          <w:rFonts w:hint="eastAsia" w:ascii="仿宋_GB2312" w:hAnsi="仿宋" w:eastAsia="仿宋_GB2312" w:cs="仿宋"/>
          <w:sz w:val="24"/>
          <w:highlight w:val="none"/>
          <w:u w:val="single"/>
          <w:lang w:val="zh-CN"/>
        </w:rPr>
        <w:t xml:space="preserve"> 1 </w:t>
      </w:r>
      <w:r>
        <w:rPr>
          <w:rFonts w:hint="eastAsia" w:ascii="仿宋_GB2312" w:hAnsi="仿宋" w:eastAsia="仿宋_GB2312" w:cs="仿宋"/>
          <w:sz w:val="24"/>
          <w:highlight w:val="none"/>
          <w:lang w:val="zh-CN"/>
        </w:rPr>
        <w:t>年；服务期限自年月日起至年月日止。本合同期限届满，每次满意度测评均达</w:t>
      </w:r>
      <w:r>
        <w:rPr>
          <w:rFonts w:ascii="仿宋_GB2312" w:hAnsi="仿宋" w:eastAsia="仿宋_GB2312" w:cs="仿宋"/>
          <w:sz w:val="24"/>
          <w:highlight w:val="none"/>
        </w:rPr>
        <w:t>85</w:t>
      </w:r>
      <w:r>
        <w:rPr>
          <w:rFonts w:hint="eastAsia" w:ascii="仿宋_GB2312" w:hAnsi="仿宋" w:eastAsia="仿宋_GB2312" w:cs="仿宋"/>
          <w:sz w:val="24"/>
          <w:highlight w:val="none"/>
        </w:rPr>
        <w:t>分以上的，</w:t>
      </w:r>
      <w:r>
        <w:rPr>
          <w:rFonts w:hint="eastAsia" w:ascii="仿宋_GB2312" w:hAnsi="仿宋" w:eastAsia="仿宋_GB2312" w:cs="仿宋"/>
          <w:sz w:val="24"/>
          <w:highlight w:val="none"/>
          <w:lang w:val="zh-CN"/>
        </w:rPr>
        <w:t>可以考虑续签。</w:t>
      </w:r>
    </w:p>
    <w:p w14:paraId="7A26409A">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第十六条下列文件为本合同不可分割部分</w:t>
      </w:r>
    </w:p>
    <w:p w14:paraId="212D8C8C">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1、招标文件（包括澄清、修改）；</w:t>
      </w:r>
    </w:p>
    <w:p w14:paraId="0C00E735">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2、乙方投标文件；</w:t>
      </w:r>
    </w:p>
    <w:p w14:paraId="45F67717">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3、中标（成交）通知书；</w:t>
      </w:r>
    </w:p>
    <w:p w14:paraId="0C69926A">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4、中标人在评标过程中做出的有关澄清、说明、承诺或者补正文件；</w:t>
      </w:r>
    </w:p>
    <w:p w14:paraId="6525FCA4">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5、采购委托协议书；</w:t>
      </w:r>
    </w:p>
    <w:p w14:paraId="17E95FC7">
      <w:pPr>
        <w:autoSpaceDE w:val="0"/>
        <w:autoSpaceDN w:val="0"/>
        <w:adjustRightInd w:val="0"/>
        <w:spacing w:line="360" w:lineRule="auto"/>
        <w:ind w:firstLine="482"/>
        <w:rPr>
          <w:rFonts w:ascii="仿宋_GB2312" w:hAnsi="仿宋" w:eastAsia="仿宋_GB2312" w:cs="仿宋"/>
          <w:sz w:val="24"/>
          <w:highlight w:val="none"/>
          <w:lang w:val="zh-CN"/>
        </w:rPr>
      </w:pPr>
    </w:p>
    <w:p w14:paraId="3FA4400B">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甲方：乙方：</w:t>
      </w:r>
    </w:p>
    <w:p w14:paraId="5B2AD11F">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单位名称(公章)：单位名称(公章)：</w:t>
      </w:r>
    </w:p>
    <w:p w14:paraId="0B112813">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法定代表人（被授权代表）签字：法定代表人（被授权代表）签字：</w:t>
      </w:r>
    </w:p>
    <w:p w14:paraId="07395F3C">
      <w:pPr>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电话：电话：</w:t>
      </w:r>
    </w:p>
    <w:p w14:paraId="38CAACA2">
      <w:pPr>
        <w:tabs>
          <w:tab w:val="left" w:pos="7820"/>
        </w:tabs>
        <w:autoSpaceDE w:val="0"/>
        <w:autoSpaceDN w:val="0"/>
        <w:adjustRightInd w:val="0"/>
        <w:spacing w:line="360" w:lineRule="auto"/>
        <w:ind w:firstLine="482"/>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年月日年月日</w:t>
      </w:r>
    </w:p>
    <w:p w14:paraId="42F6A9C9">
      <w:pPr>
        <w:tabs>
          <w:tab w:val="left" w:pos="7820"/>
        </w:tabs>
        <w:autoSpaceDE w:val="0"/>
        <w:autoSpaceDN w:val="0"/>
        <w:adjustRightInd w:val="0"/>
        <w:spacing w:line="360" w:lineRule="auto"/>
        <w:ind w:firstLine="482"/>
        <w:rPr>
          <w:rFonts w:ascii="仿宋" w:hAnsi="仿宋" w:eastAsia="仿宋" w:cs="仿宋"/>
          <w:sz w:val="24"/>
          <w:highlight w:val="none"/>
          <w:lang w:val="zh-CN"/>
        </w:rPr>
      </w:pPr>
    </w:p>
    <w:p w14:paraId="355BE86F">
      <w:pPr>
        <w:spacing w:before="100" w:beforeAutospacing="1" w:after="100" w:afterAutospacing="1"/>
        <w:jc w:val="center"/>
        <w:outlineLvl w:val="0"/>
        <w:rPr>
          <w:rFonts w:ascii="黑体" w:eastAsia="黑体"/>
          <w:sz w:val="30"/>
          <w:szCs w:val="30"/>
          <w:highlight w:val="none"/>
        </w:rPr>
      </w:pPr>
      <w:r>
        <w:rPr>
          <w:rFonts w:ascii="黑体" w:eastAsia="黑体"/>
          <w:sz w:val="30"/>
          <w:szCs w:val="30"/>
          <w:highlight w:val="none"/>
        </w:rPr>
        <w:br w:type="page"/>
      </w:r>
      <w:bookmarkStart w:id="76" w:name="_Toc11851507"/>
      <w:r>
        <w:rPr>
          <w:rFonts w:hint="eastAsia" w:ascii="黑体" w:eastAsia="黑体"/>
          <w:sz w:val="30"/>
          <w:szCs w:val="30"/>
          <w:highlight w:val="none"/>
        </w:rPr>
        <w:t>第五章资格、资信等证明材料</w:t>
      </w:r>
      <w:bookmarkEnd w:id="76"/>
    </w:p>
    <w:p w14:paraId="45121383">
      <w:pPr>
        <w:ind w:firstLine="420" w:firstLineChars="200"/>
        <w:outlineLvl w:val="1"/>
        <w:rPr>
          <w:rFonts w:ascii="黑体" w:hAnsi="黑体" w:eastAsia="黑体"/>
          <w:szCs w:val="21"/>
          <w:highlight w:val="none"/>
        </w:rPr>
      </w:pPr>
      <w:bookmarkStart w:id="77" w:name="_Toc476490005"/>
      <w:bookmarkStart w:id="78" w:name="_Toc512353477"/>
      <w:bookmarkStart w:id="79" w:name="_Toc518244563"/>
      <w:bookmarkStart w:id="80" w:name="_Toc11851508"/>
      <w:r>
        <w:rPr>
          <w:rFonts w:hint="eastAsia" w:ascii="黑体" w:hAnsi="黑体" w:eastAsia="黑体"/>
          <w:szCs w:val="21"/>
          <w:highlight w:val="none"/>
        </w:rPr>
        <w:t>1.证明文件</w:t>
      </w:r>
      <w:bookmarkEnd w:id="77"/>
      <w:bookmarkEnd w:id="78"/>
      <w:bookmarkEnd w:id="79"/>
      <w:bookmarkEnd w:id="80"/>
    </w:p>
    <w:tbl>
      <w:tblPr>
        <w:tblStyle w:val="4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804"/>
        <w:gridCol w:w="960"/>
        <w:gridCol w:w="1553"/>
      </w:tblGrid>
      <w:tr w14:paraId="087E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shd w:val="clear" w:color="auto" w:fill="auto"/>
            <w:vAlign w:val="center"/>
          </w:tcPr>
          <w:p w14:paraId="2BEB3DB9">
            <w:pPr>
              <w:jc w:val="center"/>
              <w:rPr>
                <w:rFonts w:ascii="仿宋_GB2312" w:hAnsi="黑体" w:eastAsia="仿宋_GB2312"/>
                <w:sz w:val="24"/>
                <w:highlight w:val="none"/>
              </w:rPr>
            </w:pPr>
            <w:r>
              <w:rPr>
                <w:rFonts w:hint="eastAsia" w:ascii="仿宋_GB2312" w:hAnsi="黑体" w:eastAsia="仿宋_GB2312" w:cs="仿宋"/>
                <w:kern w:val="0"/>
                <w:sz w:val="24"/>
                <w:highlight w:val="none"/>
              </w:rPr>
              <w:t>序号</w:t>
            </w:r>
          </w:p>
        </w:tc>
        <w:tc>
          <w:tcPr>
            <w:tcW w:w="5804" w:type="dxa"/>
            <w:shd w:val="clear" w:color="auto" w:fill="auto"/>
            <w:vAlign w:val="center"/>
          </w:tcPr>
          <w:p w14:paraId="617896CA">
            <w:pPr>
              <w:jc w:val="center"/>
              <w:rPr>
                <w:rFonts w:ascii="仿宋_GB2312" w:hAnsi="黑体" w:eastAsia="仿宋_GB2312"/>
                <w:sz w:val="24"/>
                <w:highlight w:val="none"/>
              </w:rPr>
            </w:pPr>
            <w:r>
              <w:rPr>
                <w:rFonts w:hint="eastAsia" w:ascii="仿宋_GB2312" w:hAnsi="黑体" w:eastAsia="仿宋_GB2312" w:cs="仿宋"/>
                <w:kern w:val="0"/>
                <w:sz w:val="24"/>
                <w:highlight w:val="none"/>
              </w:rPr>
              <w:t>证明材料</w:t>
            </w:r>
          </w:p>
        </w:tc>
        <w:tc>
          <w:tcPr>
            <w:tcW w:w="960" w:type="dxa"/>
            <w:shd w:val="clear" w:color="auto" w:fill="auto"/>
            <w:vAlign w:val="center"/>
          </w:tcPr>
          <w:p w14:paraId="0AF2ABEB">
            <w:pPr>
              <w:jc w:val="center"/>
              <w:rPr>
                <w:rFonts w:ascii="仿宋_GB2312" w:hAnsi="黑体" w:eastAsia="仿宋_GB2312"/>
                <w:sz w:val="24"/>
                <w:highlight w:val="none"/>
              </w:rPr>
            </w:pPr>
            <w:r>
              <w:rPr>
                <w:rFonts w:hint="eastAsia" w:ascii="仿宋_GB2312" w:hAnsi="黑体" w:eastAsia="仿宋_GB2312" w:cs="仿宋"/>
                <w:kern w:val="0"/>
                <w:sz w:val="24"/>
                <w:highlight w:val="none"/>
              </w:rPr>
              <w:t>提供形式</w:t>
            </w:r>
          </w:p>
        </w:tc>
        <w:tc>
          <w:tcPr>
            <w:tcW w:w="1553" w:type="dxa"/>
            <w:shd w:val="clear" w:color="auto" w:fill="auto"/>
            <w:vAlign w:val="center"/>
          </w:tcPr>
          <w:p w14:paraId="12C28E5B">
            <w:pPr>
              <w:jc w:val="center"/>
              <w:rPr>
                <w:rFonts w:ascii="仿宋_GB2312" w:hAnsi="黑体" w:eastAsia="仿宋_GB2312"/>
                <w:sz w:val="24"/>
                <w:highlight w:val="none"/>
              </w:rPr>
            </w:pPr>
            <w:r>
              <w:rPr>
                <w:rFonts w:hint="eastAsia" w:ascii="仿宋_GB2312" w:hAnsi="黑体" w:eastAsia="仿宋_GB2312"/>
                <w:kern w:val="0"/>
                <w:sz w:val="24"/>
                <w:highlight w:val="none"/>
              </w:rPr>
              <w:t>备注</w:t>
            </w:r>
          </w:p>
        </w:tc>
      </w:tr>
      <w:tr w14:paraId="0556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shd w:val="clear" w:color="auto" w:fill="auto"/>
            <w:vAlign w:val="center"/>
          </w:tcPr>
          <w:p w14:paraId="480E6C9C">
            <w:pPr>
              <w:jc w:val="center"/>
              <w:rPr>
                <w:rFonts w:ascii="仿宋_GB2312" w:hAnsi="宋体" w:eastAsia="仿宋_GB2312"/>
                <w:sz w:val="24"/>
                <w:highlight w:val="none"/>
              </w:rPr>
            </w:pPr>
            <w:r>
              <w:rPr>
                <w:rFonts w:hint="eastAsia" w:ascii="仿宋_GB2312" w:hAnsi="宋体" w:eastAsia="仿宋_GB2312"/>
                <w:sz w:val="24"/>
                <w:highlight w:val="none"/>
              </w:rPr>
              <w:t>1</w:t>
            </w:r>
          </w:p>
        </w:tc>
        <w:tc>
          <w:tcPr>
            <w:tcW w:w="5804" w:type="dxa"/>
            <w:shd w:val="clear" w:color="auto" w:fill="auto"/>
            <w:vAlign w:val="center"/>
          </w:tcPr>
          <w:p w14:paraId="363DBBC1">
            <w:pPr>
              <w:rPr>
                <w:rFonts w:ascii="仿宋_GB2312" w:hAnsi="宋体" w:eastAsia="仿宋_GB2312"/>
                <w:sz w:val="24"/>
                <w:highlight w:val="none"/>
              </w:rPr>
            </w:pPr>
            <w:r>
              <w:rPr>
                <w:rFonts w:hint="eastAsia" w:ascii="仿宋_GB2312" w:hAnsi="宋体" w:eastAsia="仿宋_GB2312"/>
                <w:sz w:val="24"/>
                <w:highlight w:val="none"/>
              </w:rPr>
              <w:t>法定代表人参加采购活动的，提供加盖投标人单位公章的身份证明书；委托代理人参加采购活动的，提供加盖投标人单位公章并由法定代表人签署的授权委托书。</w:t>
            </w:r>
          </w:p>
        </w:tc>
        <w:tc>
          <w:tcPr>
            <w:tcW w:w="960" w:type="dxa"/>
            <w:shd w:val="clear" w:color="auto" w:fill="auto"/>
            <w:vAlign w:val="center"/>
          </w:tcPr>
          <w:p w14:paraId="69CE27AE">
            <w:pPr>
              <w:jc w:val="center"/>
              <w:rPr>
                <w:rFonts w:ascii="仿宋_GB2312" w:hAnsi="宋体" w:eastAsia="仿宋_GB2312"/>
                <w:sz w:val="24"/>
                <w:highlight w:val="none"/>
              </w:rPr>
            </w:pPr>
            <w:r>
              <w:rPr>
                <w:rFonts w:hint="eastAsia" w:ascii="仿宋_GB2312" w:hAnsi="宋体" w:eastAsia="仿宋_GB2312"/>
                <w:sz w:val="24"/>
                <w:highlight w:val="none"/>
              </w:rPr>
              <w:t>原件</w:t>
            </w:r>
          </w:p>
        </w:tc>
        <w:tc>
          <w:tcPr>
            <w:tcW w:w="1553" w:type="dxa"/>
            <w:shd w:val="clear" w:color="auto" w:fill="auto"/>
            <w:vAlign w:val="center"/>
          </w:tcPr>
          <w:p w14:paraId="55D7804F">
            <w:pPr>
              <w:jc w:val="center"/>
              <w:rPr>
                <w:rFonts w:ascii="仿宋_GB2312" w:hAnsi="宋体" w:eastAsia="仿宋_GB2312"/>
                <w:sz w:val="24"/>
                <w:highlight w:val="none"/>
              </w:rPr>
            </w:pPr>
          </w:p>
        </w:tc>
      </w:tr>
      <w:tr w14:paraId="75AF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shd w:val="clear" w:color="auto" w:fill="auto"/>
            <w:vAlign w:val="center"/>
          </w:tcPr>
          <w:p w14:paraId="4A311843">
            <w:pPr>
              <w:jc w:val="center"/>
              <w:rPr>
                <w:rFonts w:ascii="仿宋_GB2312" w:hAnsi="宋体" w:eastAsia="仿宋_GB2312"/>
                <w:sz w:val="24"/>
                <w:highlight w:val="none"/>
              </w:rPr>
            </w:pPr>
            <w:r>
              <w:rPr>
                <w:rFonts w:hint="eastAsia" w:ascii="仿宋_GB2312" w:hAnsi="宋体" w:eastAsia="仿宋_GB2312"/>
                <w:sz w:val="24"/>
                <w:highlight w:val="none"/>
              </w:rPr>
              <w:t>2</w:t>
            </w:r>
          </w:p>
        </w:tc>
        <w:tc>
          <w:tcPr>
            <w:tcW w:w="5804" w:type="dxa"/>
            <w:shd w:val="clear" w:color="auto" w:fill="auto"/>
            <w:vAlign w:val="center"/>
          </w:tcPr>
          <w:p w14:paraId="00DB3CBB">
            <w:pPr>
              <w:rPr>
                <w:rFonts w:ascii="仿宋_GB2312" w:hAnsi="宋体" w:eastAsia="仿宋_GB2312"/>
                <w:kern w:val="1"/>
                <w:sz w:val="24"/>
                <w:highlight w:val="none"/>
              </w:rPr>
            </w:pPr>
            <w:r>
              <w:rPr>
                <w:rFonts w:hint="eastAsia" w:ascii="仿宋_GB2312" w:hAnsi="宋体" w:eastAsia="仿宋_GB2312"/>
                <w:kern w:val="1"/>
                <w:sz w:val="24"/>
                <w:highlight w:val="none"/>
              </w:rPr>
              <w:t>营业执照</w:t>
            </w:r>
          </w:p>
        </w:tc>
        <w:tc>
          <w:tcPr>
            <w:tcW w:w="960" w:type="dxa"/>
            <w:shd w:val="clear" w:color="auto" w:fill="auto"/>
            <w:vAlign w:val="center"/>
          </w:tcPr>
          <w:p w14:paraId="4789AF21">
            <w:pPr>
              <w:jc w:val="center"/>
              <w:rPr>
                <w:rFonts w:ascii="仿宋_GB2312" w:hAnsi="宋体" w:eastAsia="仿宋_GB2312"/>
                <w:sz w:val="24"/>
                <w:highlight w:val="none"/>
              </w:rPr>
            </w:pPr>
            <w:r>
              <w:rPr>
                <w:rFonts w:hint="eastAsia" w:ascii="仿宋_GB2312" w:hAnsi="宋体" w:eastAsia="仿宋_GB2312"/>
                <w:sz w:val="24"/>
                <w:highlight w:val="none"/>
              </w:rPr>
              <w:t>原件</w:t>
            </w:r>
          </w:p>
        </w:tc>
        <w:tc>
          <w:tcPr>
            <w:tcW w:w="1553" w:type="dxa"/>
            <w:shd w:val="clear" w:color="auto" w:fill="auto"/>
            <w:vAlign w:val="center"/>
          </w:tcPr>
          <w:p w14:paraId="3550B8CB">
            <w:pPr>
              <w:jc w:val="center"/>
              <w:rPr>
                <w:rFonts w:ascii="仿宋_GB2312" w:hAnsi="宋体" w:eastAsia="仿宋_GB2312"/>
                <w:sz w:val="24"/>
                <w:highlight w:val="none"/>
              </w:rPr>
            </w:pPr>
          </w:p>
        </w:tc>
      </w:tr>
      <w:tr w14:paraId="7651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shd w:val="clear" w:color="auto" w:fill="auto"/>
            <w:vAlign w:val="center"/>
          </w:tcPr>
          <w:p w14:paraId="36171FDC">
            <w:pPr>
              <w:jc w:val="center"/>
              <w:rPr>
                <w:rFonts w:hint="eastAsia" w:ascii="仿宋_GB2312" w:hAnsi="宋体" w:eastAsia="仿宋_GB2312"/>
                <w:sz w:val="24"/>
                <w:highlight w:val="none"/>
                <w:lang w:eastAsia="zh-CN"/>
              </w:rPr>
            </w:pPr>
            <w:r>
              <w:rPr>
                <w:rFonts w:hint="eastAsia" w:ascii="仿宋_GB2312" w:hAnsi="宋体" w:eastAsia="仿宋_GB2312"/>
                <w:sz w:val="24"/>
                <w:highlight w:val="none"/>
                <w:lang w:val="en-US" w:eastAsia="zh-CN"/>
              </w:rPr>
              <w:t>3</w:t>
            </w:r>
          </w:p>
        </w:tc>
        <w:tc>
          <w:tcPr>
            <w:tcW w:w="5804" w:type="dxa"/>
            <w:shd w:val="clear" w:color="auto" w:fill="auto"/>
            <w:vAlign w:val="center"/>
          </w:tcPr>
          <w:p w14:paraId="0169DBCD">
            <w:pPr>
              <w:rPr>
                <w:rFonts w:ascii="仿宋_GB2312" w:hAnsi="宋体" w:eastAsia="仿宋_GB2312"/>
                <w:kern w:val="1"/>
                <w:sz w:val="24"/>
                <w:highlight w:val="none"/>
              </w:rPr>
            </w:pPr>
            <w:r>
              <w:rPr>
                <w:rFonts w:hint="eastAsia" w:ascii="仿宋_GB2312" w:hAnsi="宋体" w:eastAsia="仿宋_GB2312"/>
                <w:kern w:val="1"/>
                <w:sz w:val="24"/>
                <w:highlight w:val="none"/>
              </w:rPr>
              <w:t>在经营活动中没有重大违法记录的书面声明。</w:t>
            </w:r>
          </w:p>
        </w:tc>
        <w:tc>
          <w:tcPr>
            <w:tcW w:w="960" w:type="dxa"/>
            <w:shd w:val="clear" w:color="auto" w:fill="auto"/>
            <w:vAlign w:val="center"/>
          </w:tcPr>
          <w:p w14:paraId="01FE81BC">
            <w:pPr>
              <w:jc w:val="center"/>
              <w:rPr>
                <w:rFonts w:ascii="仿宋_GB2312" w:hAnsi="宋体" w:eastAsia="仿宋_GB2312"/>
                <w:sz w:val="24"/>
                <w:highlight w:val="none"/>
              </w:rPr>
            </w:pPr>
            <w:r>
              <w:rPr>
                <w:rFonts w:hint="eastAsia" w:ascii="仿宋_GB2312" w:hAnsi="宋体" w:eastAsia="仿宋_GB2312"/>
                <w:sz w:val="24"/>
                <w:highlight w:val="none"/>
              </w:rPr>
              <w:t>原件</w:t>
            </w:r>
          </w:p>
        </w:tc>
        <w:tc>
          <w:tcPr>
            <w:tcW w:w="1553" w:type="dxa"/>
            <w:shd w:val="clear" w:color="auto" w:fill="auto"/>
            <w:vAlign w:val="center"/>
          </w:tcPr>
          <w:p w14:paraId="68D78E12">
            <w:pPr>
              <w:jc w:val="center"/>
              <w:rPr>
                <w:rFonts w:ascii="仿宋_GB2312" w:hAnsi="宋体" w:eastAsia="仿宋_GB2312"/>
                <w:sz w:val="24"/>
                <w:highlight w:val="none"/>
              </w:rPr>
            </w:pPr>
            <w:r>
              <w:rPr>
                <w:rFonts w:hint="eastAsia" w:ascii="仿宋_GB2312" w:hAnsi="宋体" w:eastAsia="仿宋_GB2312"/>
                <w:sz w:val="24"/>
                <w:highlight w:val="none"/>
              </w:rPr>
              <w:t>格式见招标文件附件</w:t>
            </w:r>
          </w:p>
        </w:tc>
      </w:tr>
      <w:tr w14:paraId="5B57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shd w:val="clear" w:color="auto" w:fill="auto"/>
            <w:vAlign w:val="center"/>
          </w:tcPr>
          <w:p w14:paraId="71281C00">
            <w:pPr>
              <w:jc w:val="center"/>
              <w:rPr>
                <w:rFonts w:hint="eastAsia" w:ascii="仿宋_GB2312" w:hAnsi="宋体" w:eastAsia="仿宋_GB2312"/>
                <w:sz w:val="24"/>
                <w:highlight w:val="none"/>
                <w:lang w:eastAsia="zh-CN"/>
              </w:rPr>
            </w:pPr>
            <w:r>
              <w:rPr>
                <w:rFonts w:hint="eastAsia" w:ascii="仿宋_GB2312" w:hAnsi="宋体" w:eastAsia="仿宋_GB2312"/>
                <w:sz w:val="24"/>
                <w:highlight w:val="none"/>
                <w:lang w:val="en-US" w:eastAsia="zh-CN"/>
              </w:rPr>
              <w:t>4</w:t>
            </w:r>
          </w:p>
        </w:tc>
        <w:tc>
          <w:tcPr>
            <w:tcW w:w="5804" w:type="dxa"/>
            <w:shd w:val="clear" w:color="auto" w:fill="auto"/>
            <w:vAlign w:val="center"/>
          </w:tcPr>
          <w:p w14:paraId="29D867DF">
            <w:pPr>
              <w:spacing w:line="360" w:lineRule="auto"/>
              <w:rPr>
                <w:rFonts w:ascii="仿宋_GB2312" w:hAnsi="宋体" w:eastAsia="仿宋_GB2312"/>
                <w:kern w:val="1"/>
                <w:sz w:val="24"/>
                <w:highlight w:val="none"/>
              </w:rPr>
            </w:pPr>
            <w:r>
              <w:rPr>
                <w:rFonts w:hint="eastAsia" w:ascii="仿宋_GB2312" w:hAnsi="宋体" w:eastAsia="仿宋_GB2312"/>
                <w:sz w:val="24"/>
                <w:highlight w:val="none"/>
              </w:rPr>
              <w:t>通过“信用中国”网站（www.creditchina.gov.cn）、中国政府采购网（www.ccgp.gov.cn）、“信用山东”（www.creditsd.gov.cn）及“信用青岛”（credit.qingdao.gov.cn）查询投标人信用记录，未被列入失信被执行人名单、重大税收违法案件当事人名单、政府采购严重违法失信行为记录名单；</w:t>
            </w:r>
          </w:p>
        </w:tc>
        <w:tc>
          <w:tcPr>
            <w:tcW w:w="960" w:type="dxa"/>
            <w:shd w:val="clear" w:color="auto" w:fill="auto"/>
            <w:vAlign w:val="center"/>
          </w:tcPr>
          <w:p w14:paraId="00ECA9A1">
            <w:pPr>
              <w:jc w:val="center"/>
              <w:rPr>
                <w:rFonts w:ascii="仿宋_GB2312" w:hAnsi="宋体" w:eastAsia="仿宋_GB2312"/>
                <w:sz w:val="24"/>
                <w:highlight w:val="none"/>
              </w:rPr>
            </w:pPr>
            <w:r>
              <w:rPr>
                <w:rFonts w:hint="eastAsia" w:ascii="仿宋_GB2312" w:hAnsi="宋体" w:eastAsia="仿宋_GB2312"/>
                <w:sz w:val="24"/>
                <w:highlight w:val="none"/>
              </w:rPr>
              <w:t>原件</w:t>
            </w:r>
          </w:p>
        </w:tc>
        <w:tc>
          <w:tcPr>
            <w:tcW w:w="1553" w:type="dxa"/>
            <w:shd w:val="clear" w:color="auto" w:fill="auto"/>
            <w:vAlign w:val="center"/>
          </w:tcPr>
          <w:p w14:paraId="43643D3A">
            <w:pPr>
              <w:jc w:val="center"/>
              <w:rPr>
                <w:rFonts w:ascii="仿宋_GB2312" w:hAnsi="宋体" w:eastAsia="仿宋_GB2312"/>
                <w:sz w:val="24"/>
                <w:highlight w:val="none"/>
              </w:rPr>
            </w:pPr>
            <w:r>
              <w:rPr>
                <w:rFonts w:hint="eastAsia" w:ascii="仿宋_GB2312" w:hAnsi="宋体" w:eastAsia="仿宋_GB2312"/>
                <w:sz w:val="24"/>
                <w:highlight w:val="none"/>
              </w:rPr>
              <w:t>投标人自行查询</w:t>
            </w:r>
          </w:p>
        </w:tc>
      </w:tr>
      <w:tr w14:paraId="5A4C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shd w:val="clear" w:color="auto" w:fill="auto"/>
            <w:vAlign w:val="center"/>
          </w:tcPr>
          <w:p w14:paraId="640A3307">
            <w:pPr>
              <w:jc w:val="center"/>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5</w:t>
            </w:r>
          </w:p>
        </w:tc>
        <w:tc>
          <w:tcPr>
            <w:tcW w:w="5804" w:type="dxa"/>
            <w:shd w:val="clear" w:color="auto" w:fill="auto"/>
            <w:vAlign w:val="center"/>
          </w:tcPr>
          <w:p w14:paraId="7906D640">
            <w:pPr>
              <w:jc w:val="left"/>
              <w:rPr>
                <w:rFonts w:hint="eastAsia" w:ascii="仿宋_GB2312" w:hAnsi="宋体" w:eastAsia="仿宋_GB2312"/>
                <w:sz w:val="24"/>
                <w:highlight w:val="none"/>
              </w:rPr>
            </w:pPr>
            <w:r>
              <w:rPr>
                <w:rFonts w:hint="eastAsia" w:ascii="仿宋_GB2312" w:hAnsi="宋体" w:eastAsia="仿宋_GB2312"/>
                <w:sz w:val="24"/>
                <w:highlight w:val="none"/>
              </w:rPr>
              <w:t>服务人员通过“全国法院失信被执行人名单信息发布与查询”平台（shixin.court.gov.cn））查询，未被列入失信被执行人、重大税收违法案件当事人、采购严重违法失信行为记录等名单的。</w:t>
            </w:r>
          </w:p>
        </w:tc>
        <w:tc>
          <w:tcPr>
            <w:tcW w:w="960" w:type="dxa"/>
            <w:shd w:val="clear" w:color="auto" w:fill="auto"/>
            <w:vAlign w:val="center"/>
          </w:tcPr>
          <w:p w14:paraId="5DB4B04A">
            <w:pPr>
              <w:jc w:val="center"/>
              <w:rPr>
                <w:rFonts w:hint="eastAsia" w:ascii="仿宋_GB2312" w:hAnsi="宋体" w:eastAsia="仿宋_GB2312"/>
                <w:sz w:val="24"/>
                <w:highlight w:val="none"/>
              </w:rPr>
            </w:pPr>
            <w:r>
              <w:rPr>
                <w:rFonts w:hint="eastAsia" w:ascii="仿宋_GB2312" w:hAnsi="宋体" w:eastAsia="仿宋_GB2312"/>
                <w:sz w:val="24"/>
                <w:highlight w:val="none"/>
              </w:rPr>
              <w:t>网页打印件</w:t>
            </w:r>
          </w:p>
        </w:tc>
        <w:tc>
          <w:tcPr>
            <w:tcW w:w="1553" w:type="dxa"/>
            <w:shd w:val="clear" w:color="auto" w:fill="auto"/>
            <w:vAlign w:val="center"/>
          </w:tcPr>
          <w:p w14:paraId="6B31C680">
            <w:pPr>
              <w:jc w:val="center"/>
              <w:rPr>
                <w:rFonts w:ascii="仿宋_GB2312" w:hAnsi="宋体" w:eastAsia="仿宋_GB2312"/>
                <w:sz w:val="24"/>
                <w:highlight w:val="none"/>
              </w:rPr>
            </w:pPr>
            <w:r>
              <w:rPr>
                <w:rFonts w:hint="eastAsia" w:ascii="仿宋_GB2312" w:hAnsi="宋体" w:eastAsia="仿宋_GB2312"/>
                <w:sz w:val="24"/>
                <w:highlight w:val="none"/>
              </w:rPr>
              <w:t>投标人自行查询</w:t>
            </w:r>
          </w:p>
        </w:tc>
      </w:tr>
      <w:tr w14:paraId="11D7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4"/>
            <w:shd w:val="clear" w:color="auto" w:fill="auto"/>
            <w:vAlign w:val="center"/>
          </w:tcPr>
          <w:p w14:paraId="6A3E2937">
            <w:pPr>
              <w:jc w:val="center"/>
              <w:rPr>
                <w:rFonts w:ascii="仿宋_GB2312" w:hAnsi="宋体" w:eastAsia="仿宋_GB2312"/>
                <w:b/>
                <w:sz w:val="24"/>
                <w:highlight w:val="none"/>
              </w:rPr>
            </w:pPr>
            <w:r>
              <w:rPr>
                <w:rFonts w:hint="eastAsia" w:ascii="仿宋_GB2312" w:hAnsi="宋体" w:eastAsia="仿宋_GB2312"/>
                <w:b/>
                <w:sz w:val="24"/>
                <w:highlight w:val="none"/>
              </w:rPr>
              <w:t>上述内容有一项不符合要求的，投标人资格性审查不合格，无效投标。</w:t>
            </w:r>
          </w:p>
        </w:tc>
      </w:tr>
    </w:tbl>
    <w:p w14:paraId="06790D95">
      <w:pPr>
        <w:spacing w:line="420" w:lineRule="exact"/>
        <w:ind w:firstLine="420" w:firstLineChars="200"/>
        <w:outlineLvl w:val="1"/>
        <w:rPr>
          <w:rFonts w:ascii="黑体" w:hAnsi="黑体" w:eastAsia="黑体"/>
          <w:szCs w:val="21"/>
          <w:highlight w:val="none"/>
        </w:rPr>
      </w:pPr>
      <w:bookmarkStart w:id="81" w:name="_Toc11851509"/>
      <w:bookmarkStart w:id="82" w:name="_Toc518244564"/>
      <w:r>
        <w:rPr>
          <w:rFonts w:ascii="黑体" w:hAnsi="黑体" w:eastAsia="黑体"/>
          <w:szCs w:val="21"/>
          <w:highlight w:val="none"/>
        </w:rPr>
        <w:t>2</w:t>
      </w:r>
      <w:r>
        <w:rPr>
          <w:rFonts w:hint="eastAsia" w:ascii="黑体" w:hAnsi="黑体" w:eastAsia="黑体"/>
          <w:szCs w:val="21"/>
          <w:highlight w:val="none"/>
        </w:rPr>
        <w:t>.其他规定</w:t>
      </w:r>
      <w:bookmarkEnd w:id="81"/>
      <w:bookmarkEnd w:id="82"/>
    </w:p>
    <w:p w14:paraId="16ACE7BE">
      <w:pPr>
        <w:spacing w:line="420" w:lineRule="exact"/>
        <w:ind w:firstLine="420" w:firstLineChars="200"/>
        <w:rPr>
          <w:rFonts w:ascii="宋体" w:hAnsi="宋体"/>
          <w:szCs w:val="21"/>
          <w:highlight w:val="none"/>
        </w:rPr>
      </w:pPr>
      <w:r>
        <w:rPr>
          <w:rFonts w:hint="eastAsia" w:ascii="宋体" w:hAnsi="宋体"/>
          <w:szCs w:val="21"/>
          <w:highlight w:val="none"/>
        </w:rPr>
        <w:t>2.1资格、资信等证明材料应当真实、有效、完整，字迹、印章要清晰。</w:t>
      </w:r>
    </w:p>
    <w:p w14:paraId="0E590E8E">
      <w:pPr>
        <w:spacing w:line="420" w:lineRule="exact"/>
        <w:ind w:firstLine="420" w:firstLineChars="200"/>
        <w:rPr>
          <w:rFonts w:ascii="黑体" w:hAnsi="黑体" w:eastAsia="黑体"/>
          <w:szCs w:val="21"/>
          <w:highlight w:val="none"/>
          <w:u w:val="single"/>
        </w:rPr>
      </w:pPr>
      <w:r>
        <w:rPr>
          <w:rFonts w:hint="eastAsia" w:ascii="黑体" w:hAnsi="黑体" w:eastAsia="黑体"/>
          <w:szCs w:val="21"/>
          <w:highlight w:val="none"/>
        </w:rPr>
        <w:t>2.</w:t>
      </w:r>
      <w:r>
        <w:rPr>
          <w:rFonts w:ascii="黑体" w:hAnsi="黑体" w:eastAsia="黑体"/>
          <w:szCs w:val="21"/>
          <w:highlight w:val="none"/>
        </w:rPr>
        <w:t>2</w:t>
      </w:r>
      <w:r>
        <w:rPr>
          <w:rFonts w:hint="eastAsia" w:ascii="黑体" w:hAnsi="黑体" w:eastAsia="黑体"/>
          <w:szCs w:val="21"/>
          <w:highlight w:val="none"/>
          <w:u w:val="single"/>
        </w:rPr>
        <w:t>投标人需收回的证明材料原件（如：营业执照原件、相关证书原件、合同原件等）待评标完毕后退还；但该证明材料的复印件（单个证明材料的页数超过5页时，可以提供证明材料的主要条款页复印件）应当装订于投标文件中，否则该证明材料的原件将不予退还</w:t>
      </w:r>
      <w:r>
        <w:rPr>
          <w:rFonts w:hint="eastAsia" w:ascii="黑体" w:hAnsi="黑体" w:eastAsia="黑体"/>
          <w:szCs w:val="21"/>
          <w:highlight w:val="none"/>
        </w:rPr>
        <w:t>。</w:t>
      </w:r>
    </w:p>
    <w:p w14:paraId="5D8C4637">
      <w:pPr>
        <w:spacing w:line="420" w:lineRule="exact"/>
        <w:ind w:firstLine="420" w:firstLineChars="200"/>
        <w:rPr>
          <w:rFonts w:ascii="黑体" w:hAnsi="黑体" w:eastAsia="黑体"/>
          <w:szCs w:val="21"/>
          <w:highlight w:val="none"/>
        </w:rPr>
      </w:pPr>
      <w:r>
        <w:rPr>
          <w:rFonts w:hint="eastAsia" w:ascii="黑体" w:hAnsi="黑体" w:eastAsia="黑体"/>
          <w:szCs w:val="21"/>
          <w:highlight w:val="none"/>
        </w:rPr>
        <w:t>2.</w:t>
      </w:r>
      <w:r>
        <w:rPr>
          <w:rFonts w:ascii="黑体" w:hAnsi="黑体" w:eastAsia="黑体"/>
          <w:szCs w:val="21"/>
          <w:highlight w:val="none"/>
        </w:rPr>
        <w:t>3</w:t>
      </w:r>
      <w:r>
        <w:rPr>
          <w:rFonts w:hint="eastAsia" w:ascii="黑体" w:hAnsi="黑体" w:eastAsia="黑体"/>
          <w:szCs w:val="21"/>
          <w:highlight w:val="none"/>
          <w:u w:val="single"/>
        </w:rPr>
        <w:t>投标人不需收回的证明材料（如：在经营活动中没有重大违法记录的书面声明原件、以复印件提供形式要求的证明材料等）应装订于投标文件中</w:t>
      </w:r>
      <w:r>
        <w:rPr>
          <w:rFonts w:hint="eastAsia" w:ascii="黑体" w:hAnsi="黑体" w:eastAsia="黑体"/>
          <w:szCs w:val="21"/>
          <w:highlight w:val="none"/>
        </w:rPr>
        <w:t>。</w:t>
      </w:r>
    </w:p>
    <w:p w14:paraId="2B219E24">
      <w:pPr>
        <w:spacing w:line="42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4</w:t>
      </w:r>
      <w:r>
        <w:rPr>
          <w:rFonts w:hint="eastAsia" w:ascii="宋体" w:hAnsi="宋体"/>
          <w:szCs w:val="21"/>
          <w:highlight w:val="none"/>
        </w:rPr>
        <w:t>营业执照、相关证书等证明材料因年检等原因不能提供原件的，可提供由发证机关出具的证明材料原件。</w:t>
      </w:r>
    </w:p>
    <w:p w14:paraId="41FC3E4D">
      <w:pPr>
        <w:spacing w:line="42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5</w:t>
      </w:r>
      <w:r>
        <w:rPr>
          <w:rFonts w:hint="eastAsia" w:ascii="宋体" w:hAnsi="宋体"/>
          <w:szCs w:val="21"/>
          <w:highlight w:val="none"/>
        </w:rPr>
        <w:t>资格、资信等证明文件中附明细清单一份（格式自拟）。</w:t>
      </w:r>
    </w:p>
    <w:p w14:paraId="6EB7555C">
      <w:pPr>
        <w:spacing w:line="420" w:lineRule="exact"/>
        <w:ind w:firstLine="422" w:firstLineChars="200"/>
        <w:rPr>
          <w:rFonts w:ascii="宋体" w:hAnsi="宋体"/>
          <w:b/>
          <w:szCs w:val="21"/>
          <w:highlight w:val="none"/>
        </w:rPr>
      </w:pPr>
      <w:r>
        <w:rPr>
          <w:rFonts w:hint="eastAsia" w:ascii="宋体" w:hAnsi="宋体"/>
          <w:b/>
          <w:szCs w:val="21"/>
          <w:highlight w:val="none"/>
        </w:rPr>
        <w:t>2</w:t>
      </w:r>
      <w:r>
        <w:rPr>
          <w:rFonts w:ascii="宋体" w:hAnsi="宋体"/>
          <w:b/>
          <w:szCs w:val="21"/>
          <w:highlight w:val="none"/>
        </w:rPr>
        <w:t>.6</w:t>
      </w:r>
      <w:r>
        <w:rPr>
          <w:rFonts w:hint="eastAsia" w:ascii="宋体" w:hAnsi="宋体"/>
          <w:b/>
          <w:szCs w:val="21"/>
          <w:highlight w:val="none"/>
        </w:rPr>
        <w:t>第二章“附表”评分所需原件资料，可以和资格、资信证明文件单独装在一个袋中，随投标文件同时递交，投标截止时间后不再接收前述任何资料。</w:t>
      </w:r>
    </w:p>
    <w:p w14:paraId="3442E44C">
      <w:pPr>
        <w:pStyle w:val="141"/>
        <w:keepNext w:val="0"/>
        <w:keepLines w:val="0"/>
        <w:spacing w:after="312"/>
        <w:rPr>
          <w:rFonts w:ascii="黑体" w:eastAsia="黑体"/>
          <w:b w:val="0"/>
          <w:highlight w:val="none"/>
        </w:rPr>
      </w:pPr>
      <w:bookmarkStart w:id="83" w:name="_Toc11851510"/>
      <w:r>
        <w:rPr>
          <w:rFonts w:hint="eastAsia" w:ascii="黑体" w:eastAsia="黑体"/>
          <w:b w:val="0"/>
          <w:highlight w:val="none"/>
        </w:rPr>
        <w:t>第六章投标文件格式</w:t>
      </w:r>
      <w:bookmarkEnd w:id="83"/>
    </w:p>
    <w:p w14:paraId="6B148AF3">
      <w:pPr>
        <w:jc w:val="right"/>
        <w:rPr>
          <w:rFonts w:ascii="黑体" w:hAnsi="宋体" w:eastAsia="黑体"/>
          <w:sz w:val="32"/>
          <w:szCs w:val="32"/>
          <w:highlight w:val="none"/>
        </w:rPr>
      </w:pPr>
      <w:r>
        <w:rPr>
          <w:rFonts w:ascii="仿宋_GB2312" w:hAnsi="宋体" w:eastAsia="仿宋_GB2312"/>
          <w:bCs/>
          <w:sz w:val="24"/>
          <w:highlight w:val="none"/>
        </w:rPr>
        <w:br w:type="page"/>
      </w:r>
      <w:r>
        <w:rPr>
          <w:rFonts w:hint="eastAsia" w:ascii="黑体" w:hAnsi="宋体" w:eastAsia="黑体"/>
          <w:sz w:val="32"/>
          <w:szCs w:val="32"/>
          <w:highlight w:val="none"/>
        </w:rPr>
        <w:t>正本（副本）</w:t>
      </w:r>
    </w:p>
    <w:p w14:paraId="61D9718A">
      <w:pPr>
        <w:spacing w:line="360" w:lineRule="auto"/>
        <w:jc w:val="center"/>
        <w:rPr>
          <w:rFonts w:ascii="黑体" w:hAnsi="宋体" w:eastAsia="黑体"/>
          <w:sz w:val="32"/>
          <w:szCs w:val="32"/>
          <w:highlight w:val="none"/>
        </w:rPr>
      </w:pPr>
    </w:p>
    <w:p w14:paraId="2841D62D">
      <w:pPr>
        <w:spacing w:line="360" w:lineRule="auto"/>
        <w:jc w:val="center"/>
        <w:rPr>
          <w:rFonts w:ascii="黑体" w:hAnsi="宋体" w:eastAsia="黑体"/>
          <w:sz w:val="32"/>
          <w:szCs w:val="32"/>
          <w:highlight w:val="none"/>
        </w:rPr>
      </w:pPr>
    </w:p>
    <w:p w14:paraId="05D566E5">
      <w:pPr>
        <w:spacing w:line="360" w:lineRule="auto"/>
        <w:jc w:val="center"/>
        <w:rPr>
          <w:rFonts w:ascii="黑体" w:eastAsia="黑体"/>
          <w:bCs/>
          <w:sz w:val="40"/>
          <w:szCs w:val="40"/>
          <w:highlight w:val="none"/>
        </w:rPr>
      </w:pPr>
      <w:r>
        <w:rPr>
          <w:rFonts w:hint="eastAsia" w:ascii="黑体" w:eastAsia="黑体"/>
          <w:bCs/>
          <w:sz w:val="40"/>
          <w:szCs w:val="40"/>
          <w:highlight w:val="none"/>
          <w:lang w:val="zh-CN"/>
        </w:rPr>
        <w:t>青岛西海岸新区凤凰岛初级中学</w:t>
      </w:r>
      <w:r>
        <w:rPr>
          <w:rFonts w:hint="eastAsia" w:ascii="黑体" w:eastAsia="黑体"/>
          <w:bCs/>
          <w:sz w:val="40"/>
          <w:szCs w:val="40"/>
          <w:highlight w:val="none"/>
        </w:rPr>
        <w:t>购买食堂帮厨</w:t>
      </w:r>
    </w:p>
    <w:p w14:paraId="5A9B0153">
      <w:pPr>
        <w:spacing w:line="360" w:lineRule="auto"/>
        <w:jc w:val="center"/>
        <w:rPr>
          <w:rFonts w:ascii="黑体" w:hAnsi="宋体" w:eastAsia="黑体"/>
          <w:sz w:val="32"/>
          <w:szCs w:val="32"/>
          <w:highlight w:val="none"/>
        </w:rPr>
      </w:pPr>
      <w:r>
        <w:rPr>
          <w:rFonts w:hint="eastAsia" w:ascii="黑体" w:eastAsia="黑体"/>
          <w:bCs/>
          <w:sz w:val="44"/>
          <w:szCs w:val="44"/>
          <w:highlight w:val="none"/>
        </w:rPr>
        <w:t>服务项目</w:t>
      </w:r>
    </w:p>
    <w:p w14:paraId="6A41BBB9">
      <w:pPr>
        <w:spacing w:line="360" w:lineRule="auto"/>
        <w:jc w:val="center"/>
        <w:rPr>
          <w:rFonts w:ascii="黑体" w:hAnsi="宋体" w:eastAsia="黑体"/>
          <w:bCs/>
          <w:sz w:val="32"/>
          <w:szCs w:val="32"/>
          <w:highlight w:val="none"/>
        </w:rPr>
      </w:pPr>
    </w:p>
    <w:p w14:paraId="09E04F68">
      <w:pPr>
        <w:spacing w:line="360" w:lineRule="auto"/>
        <w:jc w:val="center"/>
        <w:rPr>
          <w:rFonts w:ascii="黑体" w:hAnsi="宋体" w:eastAsia="黑体"/>
          <w:bCs/>
          <w:sz w:val="32"/>
          <w:szCs w:val="32"/>
          <w:highlight w:val="none"/>
        </w:rPr>
      </w:pPr>
    </w:p>
    <w:p w14:paraId="62AECBB9">
      <w:pPr>
        <w:spacing w:line="360" w:lineRule="auto"/>
        <w:jc w:val="center"/>
        <w:rPr>
          <w:rFonts w:ascii="黑体" w:hAnsi="宋体" w:eastAsia="黑体"/>
          <w:bCs/>
          <w:sz w:val="32"/>
          <w:szCs w:val="32"/>
          <w:highlight w:val="none"/>
        </w:rPr>
      </w:pPr>
    </w:p>
    <w:p w14:paraId="3CF84919">
      <w:pPr>
        <w:spacing w:line="360" w:lineRule="auto"/>
        <w:jc w:val="center"/>
        <w:rPr>
          <w:rFonts w:ascii="黑体" w:hAnsi="宋体" w:eastAsia="黑体"/>
          <w:bCs/>
          <w:sz w:val="32"/>
          <w:szCs w:val="32"/>
          <w:highlight w:val="none"/>
        </w:rPr>
      </w:pPr>
    </w:p>
    <w:p w14:paraId="229BD9C2">
      <w:pPr>
        <w:spacing w:line="360" w:lineRule="auto"/>
        <w:jc w:val="center"/>
        <w:rPr>
          <w:rFonts w:ascii="黑体" w:hAnsi="宋体" w:eastAsia="黑体"/>
          <w:bCs/>
          <w:sz w:val="32"/>
          <w:szCs w:val="32"/>
          <w:highlight w:val="none"/>
        </w:rPr>
      </w:pPr>
    </w:p>
    <w:p w14:paraId="774D1534">
      <w:pPr>
        <w:jc w:val="center"/>
        <w:rPr>
          <w:rFonts w:ascii="黑体" w:hAnsi="宋体" w:eastAsia="黑体"/>
          <w:sz w:val="90"/>
          <w:szCs w:val="90"/>
          <w:highlight w:val="none"/>
        </w:rPr>
      </w:pPr>
      <w:r>
        <w:rPr>
          <w:rFonts w:hint="eastAsia" w:ascii="黑体" w:hAnsi="宋体" w:eastAsia="黑体"/>
          <w:sz w:val="90"/>
          <w:szCs w:val="90"/>
          <w:highlight w:val="none"/>
        </w:rPr>
        <w:t>投标文件</w:t>
      </w:r>
    </w:p>
    <w:p w14:paraId="3C81D647">
      <w:pPr>
        <w:jc w:val="center"/>
        <w:rPr>
          <w:rFonts w:ascii="黑体" w:hAnsi="宋体" w:eastAsia="黑体"/>
          <w:sz w:val="32"/>
          <w:szCs w:val="32"/>
          <w:highlight w:val="none"/>
        </w:rPr>
      </w:pPr>
    </w:p>
    <w:p w14:paraId="2A58BB47">
      <w:pPr>
        <w:spacing w:line="360" w:lineRule="auto"/>
        <w:ind w:firstLine="2464" w:firstLineChars="770"/>
        <w:rPr>
          <w:rFonts w:ascii="黑体" w:hAnsi="宋体" w:eastAsia="黑体"/>
          <w:bCs/>
          <w:sz w:val="32"/>
          <w:szCs w:val="32"/>
          <w:highlight w:val="none"/>
        </w:rPr>
      </w:pPr>
      <w:r>
        <w:rPr>
          <w:rFonts w:hint="eastAsia" w:ascii="黑体" w:hAnsi="宋体" w:eastAsia="黑体"/>
          <w:sz w:val="32"/>
          <w:szCs w:val="32"/>
          <w:highlight w:val="none"/>
        </w:rPr>
        <w:t>项目编号：</w:t>
      </w:r>
    </w:p>
    <w:p w14:paraId="69D98E6C">
      <w:pPr>
        <w:spacing w:line="360" w:lineRule="auto"/>
        <w:ind w:firstLine="2464" w:firstLineChars="770"/>
        <w:rPr>
          <w:rFonts w:ascii="黑体" w:hAnsi="宋体" w:eastAsia="黑体"/>
          <w:bCs/>
          <w:sz w:val="32"/>
          <w:szCs w:val="32"/>
          <w:highlight w:val="none"/>
        </w:rPr>
      </w:pPr>
    </w:p>
    <w:p w14:paraId="3DAB06D1">
      <w:pPr>
        <w:spacing w:line="360" w:lineRule="auto"/>
        <w:ind w:firstLine="2464" w:firstLineChars="770"/>
        <w:rPr>
          <w:rFonts w:ascii="黑体" w:hAnsi="宋体" w:eastAsia="黑体"/>
          <w:bCs/>
          <w:sz w:val="32"/>
          <w:szCs w:val="32"/>
          <w:highlight w:val="none"/>
        </w:rPr>
      </w:pPr>
    </w:p>
    <w:p w14:paraId="405C0E47">
      <w:pPr>
        <w:spacing w:line="360" w:lineRule="auto"/>
        <w:jc w:val="center"/>
        <w:rPr>
          <w:rFonts w:ascii="黑体" w:hAnsi="宋体" w:eastAsia="黑体"/>
          <w:bCs/>
          <w:sz w:val="32"/>
          <w:szCs w:val="32"/>
          <w:highlight w:val="none"/>
        </w:rPr>
      </w:pPr>
    </w:p>
    <w:p w14:paraId="0C005787">
      <w:pPr>
        <w:spacing w:line="360" w:lineRule="auto"/>
        <w:jc w:val="center"/>
        <w:rPr>
          <w:rFonts w:ascii="黑体" w:hAnsi="宋体" w:eastAsia="黑体"/>
          <w:bCs/>
          <w:sz w:val="32"/>
          <w:szCs w:val="32"/>
          <w:highlight w:val="none"/>
        </w:rPr>
      </w:pPr>
    </w:p>
    <w:p w14:paraId="185D3BF1">
      <w:pPr>
        <w:spacing w:line="360" w:lineRule="auto"/>
        <w:jc w:val="center"/>
        <w:rPr>
          <w:rFonts w:ascii="黑体" w:hAnsi="宋体" w:eastAsia="黑体"/>
          <w:bCs/>
          <w:sz w:val="32"/>
          <w:szCs w:val="32"/>
          <w:highlight w:val="none"/>
        </w:rPr>
      </w:pPr>
    </w:p>
    <w:p w14:paraId="773D4F25">
      <w:pPr>
        <w:spacing w:line="360" w:lineRule="auto"/>
        <w:ind w:firstLine="2112" w:firstLineChars="660"/>
        <w:rPr>
          <w:rFonts w:ascii="黑体" w:hAnsi="宋体" w:eastAsia="黑体"/>
          <w:sz w:val="32"/>
          <w:szCs w:val="32"/>
          <w:highlight w:val="none"/>
        </w:rPr>
      </w:pPr>
      <w:r>
        <w:rPr>
          <w:rFonts w:hint="eastAsia" w:ascii="黑体" w:hAnsi="宋体" w:eastAsia="黑体"/>
          <w:sz w:val="32"/>
          <w:szCs w:val="32"/>
          <w:highlight w:val="none"/>
        </w:rPr>
        <w:t>投标人：</w:t>
      </w:r>
    </w:p>
    <w:p w14:paraId="2749BEC9">
      <w:pPr>
        <w:spacing w:line="360" w:lineRule="auto"/>
        <w:ind w:firstLine="3696" w:firstLineChars="1155"/>
        <w:rPr>
          <w:rFonts w:hint="eastAsia" w:ascii="黑体" w:hAnsi="仿宋_GB2312" w:eastAsia="黑体" w:cs="仿宋_GB2312"/>
          <w:sz w:val="32"/>
          <w:szCs w:val="32"/>
          <w:highlight w:val="none"/>
          <w:u w:val="single"/>
        </w:rPr>
      </w:pPr>
      <w:r>
        <w:rPr>
          <w:rFonts w:hint="eastAsia" w:ascii="黑体" w:hAnsi="宋体" w:eastAsia="黑体"/>
          <w:sz w:val="32"/>
          <w:szCs w:val="32"/>
          <w:highlight w:val="none"/>
        </w:rPr>
        <w:t>年月日</w:t>
      </w:r>
    </w:p>
    <w:p w14:paraId="42875A84">
      <w:pPr>
        <w:spacing w:before="100" w:beforeAutospacing="1" w:after="100" w:afterAutospacing="1"/>
        <w:jc w:val="center"/>
        <w:outlineLvl w:val="1"/>
        <w:rPr>
          <w:rFonts w:ascii="黑体" w:eastAsia="黑体"/>
          <w:sz w:val="28"/>
          <w:szCs w:val="28"/>
          <w:highlight w:val="none"/>
        </w:rPr>
      </w:pPr>
      <w:r>
        <w:rPr>
          <w:rFonts w:ascii="仿宋_GB2312" w:hAnsi="宋体" w:eastAsia="仿宋_GB2312"/>
          <w:bCs/>
          <w:sz w:val="24"/>
          <w:highlight w:val="none"/>
        </w:rPr>
        <w:br w:type="page"/>
      </w:r>
      <w:bookmarkStart w:id="84" w:name="_Toc11851511"/>
      <w:r>
        <w:rPr>
          <w:rFonts w:hint="eastAsia" w:ascii="黑体" w:eastAsia="黑体"/>
          <w:sz w:val="28"/>
          <w:szCs w:val="28"/>
          <w:highlight w:val="none"/>
        </w:rPr>
        <w:t>目录</w:t>
      </w:r>
      <w:bookmarkEnd w:id="84"/>
    </w:p>
    <w:p w14:paraId="123DEE7E">
      <w:pPr>
        <w:spacing w:line="360" w:lineRule="auto"/>
        <w:jc w:val="distribute"/>
        <w:rPr>
          <w:rFonts w:ascii="仿宋_GB2312" w:eastAsia="仿宋_GB2312"/>
          <w:sz w:val="24"/>
          <w:highlight w:val="none"/>
        </w:rPr>
      </w:pPr>
      <w:r>
        <w:rPr>
          <w:rFonts w:hint="eastAsia" w:ascii="仿宋_GB2312" w:eastAsia="仿宋_GB2312"/>
          <w:sz w:val="24"/>
          <w:highlight w:val="none"/>
        </w:rPr>
        <w:t>一、投标函……………………………………………………………………………………X</w:t>
      </w:r>
    </w:p>
    <w:p w14:paraId="67AC6FD2">
      <w:pPr>
        <w:spacing w:line="360" w:lineRule="auto"/>
        <w:jc w:val="distribute"/>
        <w:rPr>
          <w:rFonts w:ascii="仿宋_GB2312" w:eastAsia="仿宋_GB2312"/>
          <w:sz w:val="24"/>
          <w:highlight w:val="none"/>
        </w:rPr>
      </w:pPr>
      <w:r>
        <w:rPr>
          <w:rFonts w:hint="eastAsia" w:ascii="仿宋_GB2312" w:eastAsia="仿宋_GB2312"/>
          <w:sz w:val="24"/>
          <w:highlight w:val="none"/>
        </w:rPr>
        <w:t>二、法定代表人身份证明书…………………………………………………………………X</w:t>
      </w:r>
    </w:p>
    <w:p w14:paraId="5C49AD91">
      <w:pPr>
        <w:spacing w:line="360" w:lineRule="auto"/>
        <w:jc w:val="distribute"/>
        <w:rPr>
          <w:rFonts w:ascii="仿宋_GB2312" w:eastAsia="仿宋_GB2312"/>
          <w:sz w:val="24"/>
          <w:highlight w:val="none"/>
        </w:rPr>
      </w:pPr>
      <w:r>
        <w:rPr>
          <w:rFonts w:hint="eastAsia" w:ascii="仿宋_GB2312" w:eastAsia="仿宋_GB2312"/>
          <w:sz w:val="24"/>
          <w:highlight w:val="none"/>
        </w:rPr>
        <w:t>三、投标报价表………………………………………………………………………………X</w:t>
      </w:r>
    </w:p>
    <w:p w14:paraId="7F9BD492">
      <w:pPr>
        <w:spacing w:line="360" w:lineRule="auto"/>
        <w:jc w:val="distribute"/>
        <w:rPr>
          <w:rFonts w:ascii="仿宋_GB2312" w:eastAsia="仿宋_GB2312"/>
          <w:sz w:val="24"/>
          <w:highlight w:val="none"/>
        </w:rPr>
      </w:pPr>
      <w:r>
        <w:rPr>
          <w:rFonts w:hint="eastAsia" w:ascii="仿宋_GB2312" w:eastAsia="仿宋_GB2312"/>
          <w:sz w:val="24"/>
          <w:highlight w:val="none"/>
        </w:rPr>
        <w:t>四、招标文件条款响应和偏离表……………………………………………………………X</w:t>
      </w:r>
    </w:p>
    <w:p w14:paraId="7C46F048">
      <w:pPr>
        <w:spacing w:line="360" w:lineRule="auto"/>
        <w:rPr>
          <w:rFonts w:ascii="仿宋_GB2312" w:eastAsia="仿宋_GB2312"/>
          <w:sz w:val="24"/>
          <w:highlight w:val="none"/>
        </w:rPr>
      </w:pPr>
      <w:r>
        <w:rPr>
          <w:rFonts w:hint="eastAsia" w:ascii="仿宋_GB2312" w:hAnsi="Arial" w:eastAsia="仿宋_GB2312"/>
          <w:sz w:val="24"/>
          <w:highlight w:val="none"/>
        </w:rPr>
        <w:t>五、服务方案</w:t>
      </w:r>
      <w:r>
        <w:rPr>
          <w:rFonts w:hint="eastAsia" w:ascii="仿宋_GB2312" w:eastAsia="仿宋_GB2312"/>
          <w:sz w:val="24"/>
          <w:highlight w:val="none"/>
        </w:rPr>
        <w:t>…………………………………………………………………………………X</w:t>
      </w:r>
    </w:p>
    <w:p w14:paraId="65E0E639">
      <w:pPr>
        <w:spacing w:line="360" w:lineRule="auto"/>
        <w:rPr>
          <w:rFonts w:ascii="仿宋_GB2312" w:eastAsia="仿宋_GB2312"/>
          <w:sz w:val="24"/>
          <w:highlight w:val="none"/>
        </w:rPr>
      </w:pPr>
      <w:r>
        <w:rPr>
          <w:rFonts w:hint="eastAsia" w:ascii="仿宋_GB2312" w:hAnsi="Arial" w:eastAsia="仿宋_GB2312"/>
          <w:sz w:val="24"/>
          <w:highlight w:val="none"/>
        </w:rPr>
        <w:t>六、安全方案</w:t>
      </w:r>
      <w:r>
        <w:rPr>
          <w:rFonts w:hint="eastAsia" w:ascii="仿宋_GB2312" w:eastAsia="仿宋_GB2312"/>
          <w:sz w:val="24"/>
          <w:highlight w:val="none"/>
        </w:rPr>
        <w:t>…………………………………………………………………………………X</w:t>
      </w:r>
    </w:p>
    <w:p w14:paraId="08213A95">
      <w:pPr>
        <w:spacing w:line="360" w:lineRule="auto"/>
        <w:rPr>
          <w:rFonts w:ascii="仿宋_GB2312" w:eastAsia="仿宋_GB2312"/>
          <w:sz w:val="24"/>
          <w:highlight w:val="none"/>
        </w:rPr>
      </w:pPr>
      <w:r>
        <w:rPr>
          <w:rFonts w:hint="eastAsia" w:ascii="仿宋_GB2312" w:hAnsi="Arial" w:eastAsia="仿宋_GB2312"/>
          <w:sz w:val="24"/>
          <w:highlight w:val="none"/>
        </w:rPr>
        <w:t>七、投标文件附表</w:t>
      </w:r>
      <w:r>
        <w:rPr>
          <w:rFonts w:hint="eastAsia" w:ascii="仿宋_GB2312" w:eastAsia="仿宋_GB2312"/>
          <w:sz w:val="24"/>
          <w:highlight w:val="none"/>
        </w:rPr>
        <w:t>……………………………………………………………………………X</w:t>
      </w:r>
    </w:p>
    <w:p w14:paraId="3DFA6683">
      <w:pPr>
        <w:spacing w:line="360" w:lineRule="auto"/>
        <w:rPr>
          <w:rFonts w:ascii="黑体" w:eastAsia="黑体"/>
          <w:sz w:val="24"/>
          <w:highlight w:val="none"/>
        </w:rPr>
      </w:pPr>
      <w:r>
        <w:rPr>
          <w:rFonts w:hint="eastAsia" w:ascii="仿宋_GB2312" w:hAnsi="Arial" w:eastAsia="仿宋_GB2312"/>
          <w:sz w:val="24"/>
          <w:highlight w:val="none"/>
        </w:rPr>
        <w:t>八、</w:t>
      </w:r>
      <w:r>
        <w:rPr>
          <w:rFonts w:hint="eastAsia" w:ascii="仿宋_GB2312" w:hAnsi="宋体" w:eastAsia="仿宋_GB2312"/>
          <w:sz w:val="24"/>
          <w:highlight w:val="none"/>
        </w:rPr>
        <w:t>招标文件要求及投标人认为其它应介绍或提交的资料和文件</w:t>
      </w:r>
      <w:r>
        <w:rPr>
          <w:rFonts w:hint="eastAsia" w:ascii="仿宋_GB2312" w:eastAsia="仿宋_GB2312"/>
          <w:sz w:val="24"/>
          <w:highlight w:val="none"/>
        </w:rPr>
        <w:t>………………………X</w:t>
      </w:r>
    </w:p>
    <w:p w14:paraId="215E6D7D">
      <w:pPr>
        <w:spacing w:line="360" w:lineRule="auto"/>
        <w:jc w:val="center"/>
        <w:rPr>
          <w:rFonts w:ascii="宋体"/>
          <w:szCs w:val="21"/>
          <w:highlight w:val="none"/>
          <w:lang w:val="zh-CN"/>
        </w:rPr>
      </w:pPr>
    </w:p>
    <w:p w14:paraId="0153A0D3">
      <w:pPr>
        <w:spacing w:line="360" w:lineRule="auto"/>
        <w:jc w:val="center"/>
        <w:rPr>
          <w:rFonts w:ascii="仿宋_GB2312" w:eastAsia="仿宋_GB2312"/>
          <w:szCs w:val="21"/>
          <w:highlight w:val="none"/>
          <w:lang w:val="zh-CN"/>
        </w:rPr>
      </w:pPr>
      <w:r>
        <w:rPr>
          <w:rFonts w:hint="eastAsia" w:ascii="仿宋_GB2312" w:hAnsi="宋体" w:eastAsia="仿宋_GB2312"/>
          <w:szCs w:val="21"/>
          <w:highlight w:val="none"/>
          <w:lang w:val="zh-CN"/>
        </w:rPr>
        <w:t>（此目录仅供参考，投标人应根据编制的投标文件实际内容编排目录）</w:t>
      </w:r>
    </w:p>
    <w:p w14:paraId="452BBB41">
      <w:pPr>
        <w:spacing w:before="100" w:beforeAutospacing="1" w:after="100" w:afterAutospacing="1"/>
        <w:jc w:val="center"/>
        <w:outlineLvl w:val="1"/>
        <w:rPr>
          <w:rFonts w:ascii="黑体" w:eastAsia="黑体"/>
          <w:sz w:val="28"/>
          <w:szCs w:val="28"/>
          <w:highlight w:val="none"/>
        </w:rPr>
      </w:pPr>
      <w:r>
        <w:rPr>
          <w:rFonts w:ascii="仿宋_GB2312" w:hAnsi="宋体" w:eastAsia="仿宋_GB2312"/>
          <w:bCs/>
          <w:sz w:val="24"/>
          <w:highlight w:val="none"/>
        </w:rPr>
        <w:br w:type="page"/>
      </w:r>
      <w:bookmarkStart w:id="85" w:name="_Toc11851512"/>
      <w:r>
        <w:rPr>
          <w:rFonts w:hint="eastAsia" w:ascii="黑体" w:eastAsia="黑体"/>
          <w:sz w:val="28"/>
          <w:szCs w:val="28"/>
          <w:highlight w:val="none"/>
        </w:rPr>
        <w:t>一、投标函</w:t>
      </w:r>
      <w:bookmarkEnd w:id="85"/>
    </w:p>
    <w:p w14:paraId="7528B40F">
      <w:pPr>
        <w:spacing w:afterLines="50" w:line="360" w:lineRule="auto"/>
        <w:rPr>
          <w:rFonts w:ascii="仿宋_GB2312" w:eastAsia="仿宋_GB2312"/>
          <w:sz w:val="24"/>
          <w:highlight w:val="none"/>
          <w:u w:val="single"/>
        </w:rPr>
      </w:pPr>
      <w:r>
        <w:rPr>
          <w:rFonts w:hint="eastAsia" w:ascii="仿宋_GB2312" w:eastAsia="仿宋_GB2312"/>
          <w:sz w:val="24"/>
          <w:highlight w:val="none"/>
          <w:u w:val="single"/>
        </w:rPr>
        <w:t>致：</w:t>
      </w:r>
      <w:r>
        <w:rPr>
          <w:rFonts w:hint="eastAsia" w:ascii="仿宋_GB2312" w:eastAsia="仿宋_GB2312"/>
          <w:sz w:val="24"/>
          <w:highlight w:val="none"/>
          <w:u w:val="single"/>
          <w:lang w:val="zh-CN"/>
        </w:rPr>
        <w:t>青岛西海岸新区凤凰岛初级中学</w:t>
      </w:r>
    </w:p>
    <w:p w14:paraId="1FEF74F3">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经研究，我方决定参加</w:t>
      </w:r>
      <w:r>
        <w:rPr>
          <w:rFonts w:hint="eastAsia" w:ascii="仿宋_GB2312" w:hAnsi="宋体" w:eastAsia="仿宋_GB2312" w:cs="宋体"/>
          <w:kern w:val="0"/>
          <w:sz w:val="24"/>
          <w:highlight w:val="none"/>
          <w:u w:val="single"/>
          <w:lang w:val="zh-CN"/>
        </w:rPr>
        <w:t>青岛西海岸新区凤凰岛初级中学购买食堂帮厨服务项目</w:t>
      </w:r>
      <w:r>
        <w:rPr>
          <w:rFonts w:hint="eastAsia" w:ascii="仿宋_GB2312" w:eastAsia="仿宋_GB2312"/>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eastAsia="zh-CN"/>
        </w:rPr>
        <w:t>FRQD2020047</w:t>
      </w:r>
      <w:r>
        <w:rPr>
          <w:rFonts w:hint="eastAsia" w:ascii="仿宋_GB2312" w:eastAsia="仿宋_GB2312"/>
          <w:sz w:val="24"/>
          <w:highlight w:val="none"/>
        </w:rPr>
        <w:t>）的采购活动并提交投标文件。为此，我方郑重声明以下诸点，并负法律责任：</w:t>
      </w:r>
    </w:p>
    <w:p w14:paraId="406A6EA2">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1.我方在投标之前已经与贵方进行了充分的沟通，完全理解并接受招标文件的各项规定和要求，对招标文件的合理性、合法性不再有异议。</w:t>
      </w:r>
    </w:p>
    <w:p w14:paraId="7859849D">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2.我方投标文件的有效期为投标截止之日起</w:t>
      </w:r>
      <w:r>
        <w:rPr>
          <w:rFonts w:hint="eastAsia" w:ascii="仿宋_GB2312" w:eastAsia="仿宋_GB2312"/>
          <w:sz w:val="24"/>
          <w:highlight w:val="none"/>
          <w:u w:val="single"/>
        </w:rPr>
        <w:t>90</w:t>
      </w:r>
      <w:r>
        <w:rPr>
          <w:rFonts w:hint="eastAsia" w:ascii="仿宋_GB2312" w:eastAsia="仿宋_GB2312"/>
          <w:sz w:val="24"/>
          <w:highlight w:val="none"/>
        </w:rPr>
        <w:t>日，</w:t>
      </w:r>
      <w:r>
        <w:rPr>
          <w:rFonts w:hint="eastAsia" w:ascii="仿宋_GB2312" w:hAnsi="新宋体" w:eastAsia="仿宋_GB2312"/>
          <w:sz w:val="24"/>
          <w:highlight w:val="none"/>
        </w:rPr>
        <w:t>在投标有效期内不修改、撤销投标文件。</w:t>
      </w:r>
    </w:p>
    <w:p w14:paraId="3B72DE03">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3.如中标，我方投标文件至本项目合同履行完毕止均保持有效，我方将按招标文件及相关法律、法规的规定履行合同责任和义务。</w:t>
      </w:r>
    </w:p>
    <w:p w14:paraId="458A2059">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4.我方同意按照招标文件要求提供与投标有关的一切数据或资料。</w:t>
      </w:r>
    </w:p>
    <w:p w14:paraId="477E78D8">
      <w:pPr>
        <w:spacing w:line="360" w:lineRule="auto"/>
        <w:ind w:firstLine="480" w:firstLineChars="200"/>
        <w:rPr>
          <w:rFonts w:ascii="仿宋_GB2312" w:hAnsi="新宋体" w:eastAsia="仿宋_GB2312"/>
          <w:sz w:val="24"/>
          <w:highlight w:val="none"/>
        </w:rPr>
      </w:pPr>
      <w:r>
        <w:rPr>
          <w:rFonts w:hint="eastAsia" w:ascii="仿宋_GB2312" w:eastAsia="仿宋_GB2312"/>
          <w:sz w:val="24"/>
          <w:highlight w:val="none"/>
        </w:rPr>
        <w:t>5.</w:t>
      </w:r>
      <w:r>
        <w:rPr>
          <w:rFonts w:hint="eastAsia" w:ascii="仿宋_GB2312" w:hAnsi="新宋体" w:eastAsia="仿宋_GB2312"/>
          <w:sz w:val="24"/>
          <w:highlight w:val="none"/>
        </w:rPr>
        <w:t>我方在此声明，所递交的投标文件及有关资料内容完整、真实和准确，且我方不存在下列情况：1）被责令停业的；2）被暂停或取消投标资格的；3）财产被接管或冻结的。</w:t>
      </w:r>
    </w:p>
    <w:p w14:paraId="64B947A7">
      <w:pPr>
        <w:spacing w:line="360" w:lineRule="auto"/>
        <w:ind w:firstLine="480" w:firstLineChars="200"/>
        <w:rPr>
          <w:rFonts w:ascii="仿宋_GB2312" w:eastAsia="仿宋_GB2312"/>
          <w:sz w:val="24"/>
          <w:highlight w:val="none"/>
        </w:rPr>
      </w:pPr>
    </w:p>
    <w:p w14:paraId="0FA1CB91">
      <w:pPr>
        <w:spacing w:line="360" w:lineRule="auto"/>
        <w:ind w:firstLine="480" w:firstLineChars="200"/>
        <w:rPr>
          <w:rFonts w:ascii="仿宋_GB2312" w:eastAsia="仿宋_GB2312"/>
          <w:sz w:val="24"/>
          <w:highlight w:val="none"/>
        </w:rPr>
      </w:pPr>
    </w:p>
    <w:p w14:paraId="19D174EA">
      <w:pPr>
        <w:spacing w:line="360" w:lineRule="auto"/>
        <w:ind w:firstLine="480" w:firstLineChars="200"/>
        <w:rPr>
          <w:rFonts w:ascii="仿宋_GB2312" w:eastAsia="仿宋_GB2312"/>
          <w:sz w:val="24"/>
          <w:highlight w:val="none"/>
        </w:rPr>
      </w:pPr>
    </w:p>
    <w:p w14:paraId="545BD075">
      <w:pPr>
        <w:spacing w:line="360" w:lineRule="auto"/>
        <w:ind w:firstLine="480" w:firstLineChars="200"/>
        <w:rPr>
          <w:rFonts w:ascii="仿宋_GB2312" w:eastAsia="仿宋_GB2312"/>
          <w:sz w:val="24"/>
          <w:highlight w:val="none"/>
        </w:rPr>
      </w:pPr>
    </w:p>
    <w:p w14:paraId="54A690DA">
      <w:pPr>
        <w:spacing w:line="420" w:lineRule="auto"/>
        <w:rPr>
          <w:rFonts w:ascii="仿宋_GB2312" w:hAnsi="宋体" w:eastAsia="仿宋_GB2312"/>
          <w:sz w:val="24"/>
          <w:highlight w:val="none"/>
        </w:rPr>
      </w:pPr>
      <w:r>
        <w:rPr>
          <w:rFonts w:hint="eastAsia" w:ascii="仿宋_GB2312" w:hAnsi="宋体" w:eastAsia="仿宋_GB2312"/>
          <w:sz w:val="24"/>
          <w:highlight w:val="none"/>
        </w:rPr>
        <w:t>投标人：（盖投标人单位公章）</w:t>
      </w:r>
    </w:p>
    <w:p w14:paraId="465AF685">
      <w:pPr>
        <w:spacing w:line="420" w:lineRule="auto"/>
        <w:rPr>
          <w:rFonts w:ascii="仿宋_GB2312" w:hAnsi="宋体" w:eastAsia="仿宋_GB2312"/>
          <w:sz w:val="24"/>
          <w:highlight w:val="none"/>
        </w:rPr>
      </w:pPr>
      <w:r>
        <w:rPr>
          <w:rFonts w:hint="eastAsia" w:ascii="仿宋_GB2312" w:hAnsi="宋体" w:eastAsia="仿宋_GB2312"/>
          <w:sz w:val="24"/>
          <w:highlight w:val="none"/>
        </w:rPr>
        <w:t>法定代表人或其委托代理人：（签字或盖章）</w:t>
      </w:r>
    </w:p>
    <w:p w14:paraId="7219D651">
      <w:pPr>
        <w:spacing w:line="420" w:lineRule="auto"/>
        <w:rPr>
          <w:rFonts w:ascii="仿宋_GB2312" w:hAnsi="宋体" w:eastAsia="仿宋_GB2312"/>
          <w:sz w:val="24"/>
          <w:highlight w:val="none"/>
        </w:rPr>
      </w:pPr>
      <w:r>
        <w:rPr>
          <w:rFonts w:hint="eastAsia" w:ascii="仿宋_GB2312" w:hAnsi="宋体" w:eastAsia="仿宋_GB2312"/>
          <w:sz w:val="24"/>
          <w:highlight w:val="none"/>
        </w:rPr>
        <w:t>日期：年月日</w:t>
      </w:r>
    </w:p>
    <w:p w14:paraId="19274C41">
      <w:pPr>
        <w:spacing w:before="100" w:beforeAutospacing="1" w:after="100" w:afterAutospacing="1"/>
        <w:jc w:val="center"/>
        <w:outlineLvl w:val="1"/>
        <w:rPr>
          <w:rFonts w:ascii="黑体" w:eastAsia="黑体"/>
          <w:sz w:val="28"/>
          <w:szCs w:val="28"/>
          <w:highlight w:val="none"/>
        </w:rPr>
      </w:pPr>
      <w:r>
        <w:rPr>
          <w:highlight w:val="none"/>
        </w:rPr>
        <w:br w:type="page"/>
      </w:r>
      <w:bookmarkStart w:id="86" w:name="_Toc421834191"/>
      <w:bookmarkStart w:id="87" w:name="_Toc470105119"/>
      <w:bookmarkStart w:id="88" w:name="_Toc518244591"/>
      <w:bookmarkStart w:id="89" w:name="_Toc11851513"/>
      <w:r>
        <w:rPr>
          <w:rFonts w:hint="eastAsia" w:ascii="黑体" w:eastAsia="黑体"/>
          <w:sz w:val="28"/>
          <w:szCs w:val="28"/>
          <w:highlight w:val="none"/>
        </w:rPr>
        <w:t>二、法定代表人身份证明书</w:t>
      </w:r>
      <w:bookmarkEnd w:id="86"/>
      <w:bookmarkEnd w:id="87"/>
      <w:bookmarkEnd w:id="88"/>
      <w:bookmarkEnd w:id="89"/>
    </w:p>
    <w:p w14:paraId="7ADD5446">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投标人：</w:t>
      </w:r>
    </w:p>
    <w:p w14:paraId="042D8A5D">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单位性质：</w:t>
      </w:r>
    </w:p>
    <w:p w14:paraId="01192306">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地址：</w:t>
      </w:r>
    </w:p>
    <w:p w14:paraId="4B15AA1B">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成立时间：年月日</w:t>
      </w:r>
    </w:p>
    <w:p w14:paraId="5A110733">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经营期限：</w:t>
      </w:r>
    </w:p>
    <w:p w14:paraId="57F56826">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姓名：性别：年龄：职务：</w:t>
      </w:r>
    </w:p>
    <w:p w14:paraId="4579641B">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系（投标人名称）的法定代表人。</w:t>
      </w:r>
    </w:p>
    <w:p w14:paraId="47B3F0FA">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特此证明。</w:t>
      </w:r>
    </w:p>
    <w:p w14:paraId="59C439BB">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附：法定代表人第二代身份证</w:t>
      </w:r>
    </w:p>
    <w:p w14:paraId="051A1C1E">
      <w:pPr>
        <w:spacing w:line="360" w:lineRule="auto"/>
        <w:ind w:firstLine="480" w:firstLineChars="200"/>
        <w:rPr>
          <w:rFonts w:ascii="仿宋_GB2312" w:hAnsi="宋体" w:eastAsia="仿宋_GB2312"/>
          <w:sz w:val="24"/>
          <w:highlight w:val="none"/>
        </w:rPr>
      </w:pPr>
    </w:p>
    <w:p w14:paraId="32B1D0F3">
      <w:pPr>
        <w:spacing w:line="360" w:lineRule="auto"/>
        <w:ind w:firstLine="480" w:firstLineChars="200"/>
        <w:rPr>
          <w:rFonts w:ascii="仿宋_GB2312" w:hAnsi="宋体" w:eastAsia="仿宋_GB2312"/>
          <w:sz w:val="24"/>
          <w:highlight w:val="none"/>
        </w:rPr>
      </w:pPr>
    </w:p>
    <w:p w14:paraId="12A5BC17">
      <w:pPr>
        <w:spacing w:line="360" w:lineRule="auto"/>
        <w:ind w:firstLine="5344" w:firstLineChars="2227"/>
        <w:rPr>
          <w:rFonts w:ascii="仿宋_GB2312" w:hAnsi="宋体" w:eastAsia="仿宋_GB2312"/>
          <w:sz w:val="24"/>
          <w:highlight w:val="none"/>
        </w:rPr>
      </w:pPr>
      <w:r>
        <w:rPr>
          <w:rFonts w:hint="eastAsia" w:ascii="仿宋_GB2312" w:hAnsi="宋体" w:eastAsia="仿宋_GB2312"/>
          <w:sz w:val="24"/>
          <w:highlight w:val="none"/>
        </w:rPr>
        <w:t>投标人：（盖单位公章）</w:t>
      </w:r>
    </w:p>
    <w:p w14:paraId="3D18D458">
      <w:pPr>
        <w:spacing w:line="360" w:lineRule="auto"/>
        <w:ind w:firstLine="5344" w:firstLineChars="2227"/>
        <w:rPr>
          <w:rFonts w:ascii="仿宋_GB2312" w:hAnsi="宋体" w:eastAsia="仿宋_GB2312"/>
          <w:sz w:val="24"/>
          <w:highlight w:val="none"/>
        </w:rPr>
      </w:pPr>
      <w:r>
        <w:rPr>
          <w:rFonts w:hint="eastAsia" w:ascii="仿宋_GB2312" w:hAnsi="宋体" w:eastAsia="仿宋_GB2312"/>
          <w:sz w:val="24"/>
          <w:highlight w:val="none"/>
        </w:rPr>
        <w:t>日期：年月日</w:t>
      </w:r>
    </w:p>
    <w:p w14:paraId="6A3286AB">
      <w:pPr>
        <w:spacing w:before="100" w:beforeAutospacing="1" w:after="100" w:afterAutospacing="1"/>
        <w:jc w:val="center"/>
        <w:outlineLvl w:val="1"/>
        <w:rPr>
          <w:rFonts w:ascii="黑体" w:eastAsia="黑体"/>
          <w:sz w:val="28"/>
          <w:szCs w:val="28"/>
          <w:highlight w:val="none"/>
        </w:rPr>
      </w:pPr>
      <w:r>
        <w:rPr>
          <w:rFonts w:ascii="宋体" w:hAnsi="宋体"/>
          <w:szCs w:val="21"/>
          <w:highlight w:val="none"/>
        </w:rPr>
        <w:br w:type="page"/>
      </w:r>
      <w:bookmarkStart w:id="90" w:name="_Toc421834192"/>
      <w:bookmarkStart w:id="91" w:name="_Toc470105120"/>
      <w:bookmarkStart w:id="92" w:name="_Toc518244592"/>
      <w:bookmarkStart w:id="93" w:name="_Toc11851514"/>
      <w:r>
        <w:rPr>
          <w:rFonts w:hint="eastAsia" w:ascii="黑体" w:eastAsia="黑体"/>
          <w:sz w:val="28"/>
          <w:szCs w:val="28"/>
          <w:highlight w:val="none"/>
        </w:rPr>
        <w:t>二、授权委托书</w:t>
      </w:r>
      <w:bookmarkEnd w:id="90"/>
      <w:bookmarkEnd w:id="91"/>
      <w:bookmarkEnd w:id="92"/>
      <w:bookmarkEnd w:id="93"/>
    </w:p>
    <w:p w14:paraId="384783EE">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本人（姓名）系（投标人名称）的法定代表人，现委托（姓名）为我方代理人。代理人根据授权，以我方名义签署、澄清确认、提交、撤回、修改</w:t>
      </w:r>
      <w:r>
        <w:rPr>
          <w:rFonts w:hint="eastAsia" w:ascii="仿宋_GB2312" w:hAnsi="宋体" w:eastAsia="仿宋_GB2312"/>
          <w:sz w:val="24"/>
          <w:highlight w:val="none"/>
          <w:u w:val="single"/>
        </w:rPr>
        <w:t>（项目名称）</w:t>
      </w:r>
      <w:r>
        <w:rPr>
          <w:rFonts w:hint="eastAsia" w:ascii="仿宋_GB2312" w:hAnsi="宋体" w:eastAsia="仿宋_GB2312"/>
          <w:sz w:val="24"/>
          <w:highlight w:val="none"/>
        </w:rPr>
        <w:t>项目（项目编号：）的投标文件、签订合同和处理有关事宜，其法律后果由我方承担。</w:t>
      </w:r>
    </w:p>
    <w:p w14:paraId="5154A1C7">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委托期限：。</w:t>
      </w:r>
    </w:p>
    <w:p w14:paraId="7603BAA2">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代理人无转委托权。</w:t>
      </w:r>
    </w:p>
    <w:p w14:paraId="62ACB379">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附：委托代理人第二代身份证复印件</w:t>
      </w:r>
    </w:p>
    <w:p w14:paraId="1B01D573">
      <w:pPr>
        <w:spacing w:line="360" w:lineRule="auto"/>
        <w:ind w:firstLine="480" w:firstLineChars="200"/>
        <w:rPr>
          <w:rFonts w:ascii="仿宋_GB2312" w:hAnsi="宋体" w:eastAsia="仿宋_GB2312"/>
          <w:sz w:val="24"/>
          <w:highlight w:val="none"/>
        </w:rPr>
      </w:pPr>
    </w:p>
    <w:p w14:paraId="095A83CA">
      <w:pPr>
        <w:spacing w:line="360" w:lineRule="auto"/>
        <w:ind w:firstLine="480" w:firstLineChars="200"/>
        <w:rPr>
          <w:rFonts w:ascii="仿宋_GB2312" w:hAnsi="宋体" w:eastAsia="仿宋_GB2312"/>
          <w:sz w:val="24"/>
          <w:highlight w:val="none"/>
        </w:rPr>
      </w:pPr>
    </w:p>
    <w:p w14:paraId="038785A7">
      <w:pPr>
        <w:spacing w:line="480" w:lineRule="auto"/>
        <w:rPr>
          <w:rFonts w:ascii="仿宋_GB2312" w:hAnsi="宋体" w:eastAsia="仿宋_GB2312"/>
          <w:sz w:val="24"/>
          <w:highlight w:val="none"/>
        </w:rPr>
      </w:pPr>
      <w:r>
        <w:rPr>
          <w:rFonts w:hint="eastAsia" w:ascii="仿宋_GB2312" w:hAnsi="宋体" w:eastAsia="仿宋_GB2312"/>
          <w:sz w:val="24"/>
          <w:highlight w:val="none"/>
        </w:rPr>
        <w:t>投标人：（盖单位公章）</w:t>
      </w:r>
    </w:p>
    <w:p w14:paraId="4616B2B5">
      <w:pPr>
        <w:spacing w:line="480" w:lineRule="auto"/>
        <w:rPr>
          <w:rFonts w:ascii="仿宋_GB2312" w:hAnsi="宋体" w:eastAsia="仿宋_GB2312"/>
          <w:sz w:val="24"/>
          <w:highlight w:val="none"/>
        </w:rPr>
      </w:pPr>
      <w:r>
        <w:rPr>
          <w:rFonts w:hint="eastAsia" w:ascii="仿宋_GB2312" w:hAnsi="宋体" w:eastAsia="仿宋_GB2312"/>
          <w:sz w:val="24"/>
          <w:highlight w:val="none"/>
        </w:rPr>
        <w:t>法定代表人：（签字或印章）</w:t>
      </w:r>
    </w:p>
    <w:p w14:paraId="7C9ABE60">
      <w:pPr>
        <w:spacing w:line="480" w:lineRule="auto"/>
        <w:rPr>
          <w:rFonts w:ascii="仿宋_GB2312" w:hAnsi="宋体" w:eastAsia="仿宋_GB2312"/>
          <w:sz w:val="24"/>
          <w:highlight w:val="none"/>
        </w:rPr>
      </w:pPr>
      <w:r>
        <w:rPr>
          <w:rFonts w:hint="eastAsia" w:ascii="仿宋_GB2312" w:hAnsi="宋体" w:eastAsia="仿宋_GB2312"/>
          <w:sz w:val="24"/>
          <w:highlight w:val="none"/>
        </w:rPr>
        <w:t>身份证号码：</w:t>
      </w:r>
    </w:p>
    <w:p w14:paraId="74C52EE5">
      <w:pPr>
        <w:spacing w:line="480" w:lineRule="auto"/>
        <w:rPr>
          <w:rFonts w:ascii="仿宋_GB2312" w:hAnsi="宋体" w:eastAsia="仿宋_GB2312"/>
          <w:sz w:val="24"/>
          <w:highlight w:val="none"/>
        </w:rPr>
      </w:pPr>
      <w:r>
        <w:rPr>
          <w:rFonts w:hint="eastAsia" w:ascii="仿宋_GB2312" w:hAnsi="宋体" w:eastAsia="仿宋_GB2312"/>
          <w:sz w:val="24"/>
          <w:highlight w:val="none"/>
        </w:rPr>
        <w:t>委托代理人：（签字或印章）</w:t>
      </w:r>
    </w:p>
    <w:p w14:paraId="33DA1422">
      <w:pPr>
        <w:spacing w:line="480" w:lineRule="auto"/>
        <w:rPr>
          <w:rFonts w:ascii="仿宋_GB2312" w:hAnsi="宋体" w:eastAsia="仿宋_GB2312"/>
          <w:sz w:val="24"/>
          <w:highlight w:val="none"/>
        </w:rPr>
      </w:pPr>
      <w:r>
        <w:rPr>
          <w:rFonts w:hint="eastAsia" w:ascii="仿宋_GB2312" w:hAnsi="宋体" w:eastAsia="仿宋_GB2312"/>
          <w:sz w:val="24"/>
          <w:highlight w:val="none"/>
        </w:rPr>
        <w:t>身份证号码：</w:t>
      </w:r>
    </w:p>
    <w:p w14:paraId="5E689C5C">
      <w:pPr>
        <w:spacing w:line="480" w:lineRule="auto"/>
        <w:ind w:firstLine="6000" w:firstLineChars="2500"/>
        <w:rPr>
          <w:rFonts w:ascii="仿宋_GB2312" w:hAnsi="宋体" w:eastAsia="仿宋_GB2312"/>
          <w:sz w:val="24"/>
          <w:highlight w:val="none"/>
          <w:u w:val="single"/>
        </w:rPr>
      </w:pPr>
    </w:p>
    <w:p w14:paraId="768A79B2">
      <w:pPr>
        <w:spacing w:line="480" w:lineRule="auto"/>
        <w:ind w:firstLine="6000" w:firstLineChars="2500"/>
        <w:rPr>
          <w:rFonts w:ascii="仿宋_GB2312" w:hAnsi="宋体" w:eastAsia="仿宋_GB2312"/>
          <w:sz w:val="24"/>
          <w:highlight w:val="none"/>
        </w:rPr>
      </w:pPr>
      <w:r>
        <w:rPr>
          <w:rFonts w:hint="eastAsia" w:ascii="仿宋_GB2312" w:hAnsi="宋体" w:eastAsia="仿宋_GB2312"/>
          <w:sz w:val="24"/>
          <w:highlight w:val="none"/>
        </w:rPr>
        <w:t>年月日</w:t>
      </w:r>
    </w:p>
    <w:p w14:paraId="5CFFD7A4">
      <w:pPr>
        <w:rPr>
          <w:rFonts w:ascii="仿宋_GB2312" w:eastAsia="仿宋_GB2312"/>
          <w:sz w:val="24"/>
          <w:highlight w:val="none"/>
          <w:u w:val="single"/>
        </w:rPr>
      </w:pPr>
    </w:p>
    <w:p w14:paraId="440A7868">
      <w:pPr>
        <w:spacing w:before="100" w:beforeAutospacing="1" w:after="100" w:afterAutospacing="1"/>
        <w:jc w:val="center"/>
        <w:outlineLvl w:val="1"/>
        <w:rPr>
          <w:rFonts w:ascii="黑体" w:eastAsia="黑体"/>
          <w:sz w:val="28"/>
          <w:szCs w:val="28"/>
          <w:highlight w:val="none"/>
        </w:rPr>
      </w:pPr>
      <w:r>
        <w:rPr>
          <w:rFonts w:hint="eastAsia" w:ascii="仿宋_GB2312" w:hAnsi="宋体" w:eastAsia="仿宋_GB2312"/>
          <w:bCs/>
          <w:sz w:val="24"/>
          <w:highlight w:val="none"/>
        </w:rPr>
        <w:br w:type="page"/>
      </w:r>
      <w:bookmarkStart w:id="94" w:name="_Toc11851515"/>
      <w:r>
        <w:rPr>
          <w:rFonts w:hint="eastAsia" w:ascii="黑体" w:eastAsia="黑体"/>
          <w:sz w:val="28"/>
          <w:szCs w:val="28"/>
          <w:highlight w:val="none"/>
        </w:rPr>
        <w:t>三、投标报价表</w:t>
      </w:r>
      <w:bookmarkEnd w:id="94"/>
    </w:p>
    <w:p w14:paraId="0D97EF31">
      <w:pPr>
        <w:spacing w:before="100" w:beforeAutospacing="1" w:after="100" w:afterAutospacing="1"/>
        <w:jc w:val="center"/>
        <w:outlineLvl w:val="2"/>
        <w:rPr>
          <w:rFonts w:ascii="仿宋_GB2312" w:hAnsi="宋体" w:eastAsia="仿宋_GB2312"/>
          <w:sz w:val="24"/>
          <w:highlight w:val="none"/>
        </w:rPr>
      </w:pPr>
      <w:bookmarkStart w:id="95" w:name="_Toc11851516"/>
      <w:r>
        <w:rPr>
          <w:rFonts w:ascii="黑体" w:eastAsia="黑体"/>
          <w:sz w:val="24"/>
          <w:highlight w:val="none"/>
        </w:rPr>
        <w:t>3.1</w:t>
      </w:r>
      <w:r>
        <w:rPr>
          <w:rFonts w:hint="eastAsia" w:ascii="黑体" w:eastAsia="黑体"/>
          <w:sz w:val="24"/>
          <w:highlight w:val="none"/>
        </w:rPr>
        <w:t>开标一览表</w:t>
      </w:r>
      <w:bookmarkEnd w:id="95"/>
    </w:p>
    <w:tbl>
      <w:tblPr>
        <w:tblStyle w:val="4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7851"/>
      </w:tblGrid>
      <w:tr w14:paraId="023A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9" w:type="dxa"/>
            <w:vAlign w:val="center"/>
          </w:tcPr>
          <w:p w14:paraId="47FCBA1A">
            <w:pPr>
              <w:jc w:val="center"/>
              <w:rPr>
                <w:rFonts w:ascii="黑体" w:hAnsi="黑体" w:eastAsia="黑体"/>
                <w:szCs w:val="21"/>
                <w:highlight w:val="none"/>
              </w:rPr>
            </w:pPr>
            <w:r>
              <w:rPr>
                <w:rFonts w:hint="eastAsia" w:ascii="黑体" w:hAnsi="黑体" w:eastAsia="黑体"/>
                <w:szCs w:val="21"/>
                <w:highlight w:val="none"/>
              </w:rPr>
              <w:t>项目名称</w:t>
            </w:r>
          </w:p>
        </w:tc>
        <w:tc>
          <w:tcPr>
            <w:tcW w:w="7851" w:type="dxa"/>
            <w:vAlign w:val="center"/>
          </w:tcPr>
          <w:p w14:paraId="3BA832B5">
            <w:pPr>
              <w:jc w:val="center"/>
              <w:rPr>
                <w:rFonts w:ascii="宋体"/>
                <w:szCs w:val="21"/>
                <w:highlight w:val="none"/>
              </w:rPr>
            </w:pPr>
          </w:p>
        </w:tc>
      </w:tr>
      <w:tr w14:paraId="579D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9" w:type="dxa"/>
            <w:vAlign w:val="center"/>
          </w:tcPr>
          <w:p w14:paraId="0E87F621">
            <w:pPr>
              <w:jc w:val="center"/>
              <w:rPr>
                <w:rFonts w:ascii="黑体" w:hAnsi="黑体" w:eastAsia="黑体"/>
                <w:szCs w:val="21"/>
                <w:highlight w:val="none"/>
              </w:rPr>
            </w:pPr>
            <w:r>
              <w:rPr>
                <w:rFonts w:hint="eastAsia" w:ascii="黑体" w:hAnsi="黑体" w:eastAsia="黑体"/>
                <w:szCs w:val="21"/>
                <w:highlight w:val="none"/>
              </w:rPr>
              <w:t>项目编号</w:t>
            </w:r>
          </w:p>
        </w:tc>
        <w:tc>
          <w:tcPr>
            <w:tcW w:w="7851" w:type="dxa"/>
            <w:vAlign w:val="center"/>
          </w:tcPr>
          <w:p w14:paraId="70DD14E5">
            <w:pPr>
              <w:jc w:val="center"/>
              <w:rPr>
                <w:rFonts w:ascii="宋体"/>
                <w:szCs w:val="21"/>
                <w:highlight w:val="none"/>
              </w:rPr>
            </w:pPr>
          </w:p>
        </w:tc>
      </w:tr>
      <w:tr w14:paraId="3C18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09" w:type="dxa"/>
            <w:vMerge w:val="restart"/>
            <w:vAlign w:val="center"/>
          </w:tcPr>
          <w:p w14:paraId="100640A2">
            <w:pPr>
              <w:jc w:val="center"/>
              <w:rPr>
                <w:rFonts w:ascii="黑体" w:hAnsi="黑体" w:eastAsia="黑体"/>
                <w:szCs w:val="21"/>
                <w:highlight w:val="none"/>
              </w:rPr>
            </w:pPr>
            <w:r>
              <w:rPr>
                <w:rFonts w:hint="eastAsia" w:ascii="黑体" w:hAnsi="黑体" w:eastAsia="黑体"/>
                <w:szCs w:val="21"/>
                <w:highlight w:val="none"/>
              </w:rPr>
              <w:t>投标报价即百分比</w:t>
            </w:r>
          </w:p>
        </w:tc>
        <w:tc>
          <w:tcPr>
            <w:tcW w:w="7851" w:type="dxa"/>
            <w:vAlign w:val="center"/>
          </w:tcPr>
          <w:p w14:paraId="5959FC85">
            <w:pPr>
              <w:jc w:val="left"/>
              <w:rPr>
                <w:rFonts w:ascii="仿宋_GB2312" w:eastAsia="仿宋_GB2312"/>
                <w:sz w:val="24"/>
                <w:highlight w:val="none"/>
              </w:rPr>
            </w:pPr>
            <w:r>
              <w:rPr>
                <w:rFonts w:hint="eastAsia" w:ascii="仿宋_GB2312" w:hAnsi="宋体" w:eastAsia="仿宋_GB2312" w:cs="宋体"/>
                <w:sz w:val="24"/>
                <w:highlight w:val="none"/>
              </w:rPr>
              <w:t>我方承诺：按招标文件规定，投标报价%。</w:t>
            </w:r>
          </w:p>
        </w:tc>
      </w:tr>
      <w:tr w14:paraId="3AF1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09" w:type="dxa"/>
            <w:vMerge w:val="continue"/>
            <w:vAlign w:val="center"/>
          </w:tcPr>
          <w:p w14:paraId="1B265587">
            <w:pPr>
              <w:jc w:val="center"/>
              <w:rPr>
                <w:rFonts w:ascii="黑体" w:hAnsi="黑体" w:eastAsia="黑体"/>
                <w:szCs w:val="21"/>
                <w:highlight w:val="none"/>
              </w:rPr>
            </w:pPr>
          </w:p>
        </w:tc>
        <w:tc>
          <w:tcPr>
            <w:tcW w:w="7851" w:type="dxa"/>
            <w:vAlign w:val="center"/>
          </w:tcPr>
          <w:p w14:paraId="31BBAC6E">
            <w:pPr>
              <w:jc w:val="left"/>
              <w:rPr>
                <w:rFonts w:ascii="仿宋_GB2312" w:hAnsi="宋体" w:eastAsia="仿宋_GB2312" w:cs="宋体"/>
                <w:sz w:val="24"/>
                <w:highlight w:val="none"/>
              </w:rPr>
            </w:pPr>
            <w:r>
              <w:rPr>
                <w:rFonts w:hint="eastAsia" w:ascii="仿宋_GB2312" w:hAnsi="宋体" w:eastAsia="仿宋_GB2312" w:cs="宋体"/>
                <w:sz w:val="24"/>
                <w:highlight w:val="none"/>
              </w:rPr>
              <w:t>本次报价以百分比方式报价。投标人承诺每月按照食堂总营业额收入百分比作为帮厨服务费，报价不低于每月营业总收入的20%，不高于每月营业总收入的24%，否则无效投标。</w:t>
            </w:r>
          </w:p>
        </w:tc>
      </w:tr>
      <w:tr w14:paraId="13D7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209" w:type="dxa"/>
            <w:vAlign w:val="center"/>
          </w:tcPr>
          <w:p w14:paraId="27E00FB2">
            <w:pPr>
              <w:jc w:val="center"/>
              <w:rPr>
                <w:rFonts w:ascii="黑体" w:hAnsi="宋体" w:eastAsia="黑体"/>
                <w:szCs w:val="21"/>
                <w:highlight w:val="none"/>
              </w:rPr>
            </w:pPr>
            <w:r>
              <w:rPr>
                <w:rFonts w:hint="eastAsia" w:ascii="黑体" w:hAnsi="宋体" w:eastAsia="黑体"/>
                <w:szCs w:val="21"/>
                <w:highlight w:val="none"/>
              </w:rPr>
              <w:t>其他说明</w:t>
            </w:r>
          </w:p>
        </w:tc>
        <w:tc>
          <w:tcPr>
            <w:tcW w:w="7851" w:type="dxa"/>
            <w:vAlign w:val="center"/>
          </w:tcPr>
          <w:p w14:paraId="088932F3">
            <w:pPr>
              <w:jc w:val="left"/>
              <w:rPr>
                <w:rFonts w:ascii="宋体" w:hAnsi="宋体" w:cs="宋体"/>
                <w:szCs w:val="21"/>
                <w:highlight w:val="none"/>
              </w:rPr>
            </w:pPr>
          </w:p>
        </w:tc>
      </w:tr>
    </w:tbl>
    <w:p w14:paraId="43836475">
      <w:pPr>
        <w:rPr>
          <w:rFonts w:ascii="黑体" w:hAnsi="黑体" w:eastAsia="黑体"/>
          <w:sz w:val="18"/>
          <w:szCs w:val="18"/>
          <w:highlight w:val="none"/>
        </w:rPr>
      </w:pPr>
      <w:r>
        <w:rPr>
          <w:rFonts w:hint="eastAsia" w:ascii="黑体" w:hAnsi="黑体" w:eastAsia="黑体"/>
          <w:sz w:val="18"/>
          <w:szCs w:val="18"/>
          <w:highlight w:val="none"/>
        </w:rPr>
        <w:t>注：</w:t>
      </w:r>
    </w:p>
    <w:p w14:paraId="6174A38D">
      <w:pPr>
        <w:ind w:firstLine="360" w:firstLineChars="200"/>
        <w:rPr>
          <w:rFonts w:ascii="宋体"/>
          <w:sz w:val="18"/>
          <w:szCs w:val="18"/>
          <w:highlight w:val="none"/>
        </w:rPr>
      </w:pPr>
      <w:r>
        <w:rPr>
          <w:rFonts w:ascii="宋体" w:hAnsi="宋体"/>
          <w:sz w:val="18"/>
          <w:szCs w:val="18"/>
          <w:highlight w:val="none"/>
        </w:rPr>
        <w:t>1.</w:t>
      </w:r>
      <w:r>
        <w:rPr>
          <w:rFonts w:hint="eastAsia" w:ascii="宋体" w:hAnsi="宋体"/>
          <w:sz w:val="18"/>
          <w:szCs w:val="18"/>
          <w:highlight w:val="none"/>
        </w:rPr>
        <w:t>投标报价中已包含投标人提供投标标的及相关服务的所有费用，否则按投标无效处理。</w:t>
      </w:r>
    </w:p>
    <w:p w14:paraId="5CB34920">
      <w:pPr>
        <w:ind w:firstLine="360" w:firstLineChars="200"/>
        <w:rPr>
          <w:rFonts w:ascii="宋体" w:hAnsi="宋体"/>
          <w:sz w:val="18"/>
          <w:szCs w:val="18"/>
          <w:highlight w:val="none"/>
        </w:rPr>
      </w:pPr>
      <w:r>
        <w:rPr>
          <w:rFonts w:ascii="宋体" w:hAnsi="宋体"/>
          <w:sz w:val="18"/>
          <w:szCs w:val="18"/>
          <w:highlight w:val="none"/>
        </w:rPr>
        <w:t>2.</w:t>
      </w:r>
      <w:r>
        <w:rPr>
          <w:rFonts w:hint="eastAsia" w:ascii="宋体" w:hAnsi="宋体"/>
          <w:sz w:val="18"/>
          <w:szCs w:val="18"/>
          <w:highlight w:val="none"/>
        </w:rPr>
        <w:t>投标人如果需要对其它内容加以说明，可在其他说明一栏中填写。</w:t>
      </w:r>
    </w:p>
    <w:p w14:paraId="1BF85579">
      <w:pPr>
        <w:ind w:firstLine="360" w:firstLineChars="200"/>
        <w:rPr>
          <w:rFonts w:ascii="宋体" w:hAnsi="宋体"/>
          <w:sz w:val="18"/>
          <w:szCs w:val="18"/>
          <w:highlight w:val="none"/>
        </w:rPr>
      </w:pPr>
    </w:p>
    <w:p w14:paraId="2D82068B">
      <w:pPr>
        <w:ind w:firstLine="360" w:firstLineChars="200"/>
        <w:rPr>
          <w:rFonts w:ascii="宋体"/>
          <w:sz w:val="18"/>
          <w:szCs w:val="18"/>
          <w:highlight w:val="none"/>
        </w:rPr>
      </w:pPr>
    </w:p>
    <w:p w14:paraId="489CD2E3">
      <w:pPr>
        <w:spacing w:line="360" w:lineRule="auto"/>
        <w:ind w:firstLine="420" w:firstLineChars="200"/>
        <w:rPr>
          <w:rFonts w:ascii="宋体"/>
          <w:szCs w:val="21"/>
          <w:highlight w:val="none"/>
        </w:rPr>
      </w:pPr>
    </w:p>
    <w:p w14:paraId="11611B90">
      <w:pPr>
        <w:spacing w:line="360" w:lineRule="auto"/>
        <w:ind w:firstLine="420" w:firstLineChars="200"/>
        <w:rPr>
          <w:rFonts w:ascii="宋体"/>
          <w:szCs w:val="21"/>
          <w:highlight w:val="none"/>
        </w:rPr>
      </w:pPr>
    </w:p>
    <w:p w14:paraId="503D4893">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投标人：（盖单位公章）</w:t>
      </w:r>
    </w:p>
    <w:p w14:paraId="78D51074">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法定代表人或其委托代理人：（签字或印章）</w:t>
      </w:r>
    </w:p>
    <w:p w14:paraId="21498741">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日期：年月日</w:t>
      </w:r>
    </w:p>
    <w:p w14:paraId="45153020">
      <w:pPr>
        <w:spacing w:before="100" w:beforeAutospacing="1" w:after="100" w:afterAutospacing="1"/>
        <w:jc w:val="center"/>
        <w:outlineLvl w:val="2"/>
        <w:rPr>
          <w:rFonts w:ascii="黑体" w:eastAsia="黑体"/>
          <w:sz w:val="24"/>
          <w:highlight w:val="none"/>
        </w:rPr>
      </w:pPr>
      <w:r>
        <w:rPr>
          <w:rFonts w:ascii="宋体"/>
          <w:szCs w:val="21"/>
          <w:highlight w:val="none"/>
        </w:rPr>
        <w:br w:type="page"/>
      </w:r>
      <w:bookmarkStart w:id="96" w:name="_Toc11851517"/>
      <w:r>
        <w:rPr>
          <w:rFonts w:ascii="黑体" w:eastAsia="黑体"/>
          <w:sz w:val="24"/>
          <w:highlight w:val="none"/>
        </w:rPr>
        <w:t>3.2</w:t>
      </w:r>
      <w:bookmarkStart w:id="97" w:name="_Toc520349237"/>
      <w:r>
        <w:rPr>
          <w:rFonts w:hint="eastAsia" w:ascii="黑体" w:eastAsia="黑体"/>
          <w:sz w:val="24"/>
          <w:highlight w:val="none"/>
        </w:rPr>
        <w:t>报价需要说明的其他内容</w:t>
      </w:r>
      <w:bookmarkEnd w:id="96"/>
      <w:bookmarkEnd w:id="97"/>
    </w:p>
    <w:p w14:paraId="07091E50">
      <w:pPr>
        <w:spacing w:before="100" w:beforeAutospacing="1" w:after="100" w:afterAutospacing="1"/>
        <w:jc w:val="center"/>
        <w:outlineLvl w:val="1"/>
        <w:rPr>
          <w:rFonts w:ascii="黑体" w:eastAsia="黑体"/>
          <w:sz w:val="28"/>
          <w:szCs w:val="28"/>
          <w:highlight w:val="none"/>
        </w:rPr>
      </w:pPr>
      <w:r>
        <w:rPr>
          <w:rFonts w:ascii="黑体" w:eastAsia="黑体"/>
          <w:sz w:val="24"/>
          <w:highlight w:val="none"/>
        </w:rPr>
        <w:br w:type="page"/>
      </w:r>
      <w:bookmarkStart w:id="98" w:name="_Toc11851518"/>
      <w:r>
        <w:rPr>
          <w:rFonts w:hint="eastAsia" w:ascii="黑体" w:eastAsia="黑体"/>
          <w:sz w:val="28"/>
          <w:szCs w:val="28"/>
          <w:highlight w:val="none"/>
        </w:rPr>
        <w:t>四、招标文件条款响应和偏离表</w:t>
      </w:r>
      <w:bookmarkEnd w:id="98"/>
    </w:p>
    <w:p w14:paraId="7F9F1C4C">
      <w:pPr>
        <w:spacing w:before="100" w:beforeAutospacing="1" w:after="100" w:afterAutospacing="1"/>
        <w:jc w:val="center"/>
        <w:outlineLvl w:val="2"/>
        <w:rPr>
          <w:rFonts w:ascii="黑体" w:eastAsia="黑体"/>
          <w:sz w:val="24"/>
          <w:highlight w:val="none"/>
        </w:rPr>
      </w:pPr>
      <w:bookmarkStart w:id="99" w:name="_Toc520349239"/>
      <w:bookmarkStart w:id="100" w:name="_Hlk515710766"/>
      <w:bookmarkStart w:id="101" w:name="_Hlk516352206"/>
      <w:r>
        <w:rPr>
          <w:rFonts w:ascii="黑体" w:eastAsia="黑体"/>
          <w:sz w:val="24"/>
          <w:highlight w:val="none"/>
        </w:rPr>
        <w:t>4.1</w:t>
      </w:r>
      <w:r>
        <w:rPr>
          <w:rFonts w:hint="eastAsia" w:ascii="黑体" w:eastAsia="黑体"/>
          <w:sz w:val="24"/>
          <w:highlight w:val="none"/>
        </w:rPr>
        <w:t>商务条款响应和偏离表</w:t>
      </w:r>
      <w:bookmarkEnd w:id="99"/>
    </w:p>
    <w:p w14:paraId="5DDE7E30">
      <w:pPr>
        <w:jc w:val="left"/>
        <w:rPr>
          <w:rFonts w:ascii="黑体" w:eastAsia="黑体"/>
          <w:highlight w:val="none"/>
        </w:rPr>
      </w:pPr>
      <w:r>
        <w:rPr>
          <w:rFonts w:hint="eastAsia" w:ascii="黑体" w:hAnsi="宋体" w:eastAsia="黑体"/>
          <w:highlight w:val="none"/>
        </w:rPr>
        <w:t>项目编号：</w:t>
      </w:r>
    </w:p>
    <w:tbl>
      <w:tblPr>
        <w:tblStyle w:val="4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11"/>
        <w:gridCol w:w="3211"/>
        <w:gridCol w:w="1834"/>
      </w:tblGrid>
      <w:tr w14:paraId="42FF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768CC297">
            <w:pPr>
              <w:jc w:val="center"/>
              <w:rPr>
                <w:rFonts w:ascii="黑体" w:hAnsi="宋体" w:eastAsia="黑体"/>
                <w:sz w:val="18"/>
                <w:szCs w:val="18"/>
                <w:highlight w:val="none"/>
              </w:rPr>
            </w:pPr>
            <w:r>
              <w:rPr>
                <w:rFonts w:hint="eastAsia" w:ascii="黑体" w:hAnsi="宋体" w:eastAsia="黑体"/>
                <w:sz w:val="18"/>
                <w:szCs w:val="18"/>
                <w:highlight w:val="none"/>
              </w:rPr>
              <w:t>序号</w:t>
            </w:r>
          </w:p>
        </w:tc>
        <w:tc>
          <w:tcPr>
            <w:tcW w:w="3211" w:type="dxa"/>
            <w:vAlign w:val="center"/>
          </w:tcPr>
          <w:p w14:paraId="7E2C6A85">
            <w:pPr>
              <w:jc w:val="center"/>
              <w:rPr>
                <w:rFonts w:ascii="黑体" w:hAnsi="宋体" w:eastAsia="黑体"/>
                <w:sz w:val="18"/>
                <w:szCs w:val="18"/>
                <w:highlight w:val="none"/>
              </w:rPr>
            </w:pPr>
            <w:r>
              <w:rPr>
                <w:rFonts w:hint="eastAsia" w:ascii="黑体" w:hAnsi="宋体" w:eastAsia="黑体"/>
                <w:sz w:val="18"/>
                <w:szCs w:val="18"/>
                <w:highlight w:val="none"/>
              </w:rPr>
              <w:t>招标文件要求</w:t>
            </w:r>
          </w:p>
        </w:tc>
        <w:tc>
          <w:tcPr>
            <w:tcW w:w="3211" w:type="dxa"/>
            <w:vAlign w:val="center"/>
          </w:tcPr>
          <w:p w14:paraId="17208172">
            <w:pPr>
              <w:jc w:val="center"/>
              <w:rPr>
                <w:rFonts w:ascii="黑体" w:hAnsi="宋体" w:eastAsia="黑体"/>
                <w:sz w:val="18"/>
                <w:szCs w:val="18"/>
                <w:highlight w:val="none"/>
              </w:rPr>
            </w:pPr>
            <w:r>
              <w:rPr>
                <w:rFonts w:hint="eastAsia" w:ascii="黑体" w:hAnsi="宋体" w:eastAsia="黑体"/>
                <w:sz w:val="18"/>
                <w:szCs w:val="18"/>
                <w:highlight w:val="none"/>
              </w:rPr>
              <w:t>投标文件应答</w:t>
            </w:r>
          </w:p>
        </w:tc>
        <w:tc>
          <w:tcPr>
            <w:tcW w:w="1834" w:type="dxa"/>
            <w:vAlign w:val="center"/>
          </w:tcPr>
          <w:p w14:paraId="3F72B3E4">
            <w:pPr>
              <w:jc w:val="center"/>
              <w:rPr>
                <w:rFonts w:ascii="黑体" w:hAnsi="宋体" w:eastAsia="黑体"/>
                <w:sz w:val="18"/>
                <w:szCs w:val="18"/>
                <w:highlight w:val="none"/>
              </w:rPr>
            </w:pPr>
            <w:r>
              <w:rPr>
                <w:rFonts w:hint="eastAsia" w:ascii="黑体" w:hAnsi="宋体" w:eastAsia="黑体"/>
                <w:sz w:val="18"/>
                <w:szCs w:val="18"/>
                <w:highlight w:val="none"/>
              </w:rPr>
              <w:t>响应</w:t>
            </w:r>
            <w:r>
              <w:rPr>
                <w:rFonts w:ascii="黑体" w:hAnsi="宋体" w:eastAsia="黑体"/>
                <w:sz w:val="18"/>
                <w:szCs w:val="18"/>
                <w:highlight w:val="none"/>
              </w:rPr>
              <w:t>/</w:t>
            </w:r>
            <w:r>
              <w:rPr>
                <w:rFonts w:hint="eastAsia" w:ascii="黑体" w:hAnsi="宋体" w:eastAsia="黑体"/>
                <w:sz w:val="18"/>
                <w:szCs w:val="18"/>
                <w:highlight w:val="none"/>
              </w:rPr>
              <w:t>偏离情况说明</w:t>
            </w:r>
          </w:p>
        </w:tc>
      </w:tr>
      <w:tr w14:paraId="5089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0F950C80">
            <w:pPr>
              <w:jc w:val="center"/>
              <w:rPr>
                <w:rFonts w:ascii="宋体"/>
                <w:sz w:val="18"/>
                <w:szCs w:val="18"/>
                <w:highlight w:val="none"/>
              </w:rPr>
            </w:pPr>
            <w:r>
              <w:rPr>
                <w:rFonts w:ascii="宋体" w:hAnsi="宋体"/>
                <w:sz w:val="18"/>
                <w:szCs w:val="18"/>
                <w:highlight w:val="none"/>
              </w:rPr>
              <w:t>1</w:t>
            </w:r>
          </w:p>
        </w:tc>
        <w:tc>
          <w:tcPr>
            <w:tcW w:w="3211" w:type="dxa"/>
            <w:vAlign w:val="center"/>
          </w:tcPr>
          <w:p w14:paraId="7808B151">
            <w:pPr>
              <w:jc w:val="center"/>
              <w:rPr>
                <w:rFonts w:ascii="宋体"/>
                <w:sz w:val="18"/>
                <w:szCs w:val="18"/>
                <w:highlight w:val="none"/>
              </w:rPr>
            </w:pPr>
          </w:p>
        </w:tc>
        <w:tc>
          <w:tcPr>
            <w:tcW w:w="3211" w:type="dxa"/>
            <w:vAlign w:val="center"/>
          </w:tcPr>
          <w:p w14:paraId="184EC7D4">
            <w:pPr>
              <w:jc w:val="center"/>
              <w:rPr>
                <w:rFonts w:ascii="宋体"/>
                <w:sz w:val="18"/>
                <w:szCs w:val="18"/>
                <w:highlight w:val="none"/>
              </w:rPr>
            </w:pPr>
          </w:p>
        </w:tc>
        <w:tc>
          <w:tcPr>
            <w:tcW w:w="1834" w:type="dxa"/>
            <w:vAlign w:val="center"/>
          </w:tcPr>
          <w:p w14:paraId="4FA8910B">
            <w:pPr>
              <w:jc w:val="center"/>
              <w:rPr>
                <w:rFonts w:ascii="宋体"/>
                <w:sz w:val="18"/>
                <w:szCs w:val="18"/>
                <w:highlight w:val="none"/>
              </w:rPr>
            </w:pPr>
          </w:p>
        </w:tc>
      </w:tr>
      <w:tr w14:paraId="70FE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0E2BEDC4">
            <w:pPr>
              <w:jc w:val="center"/>
              <w:rPr>
                <w:rFonts w:ascii="宋体"/>
                <w:sz w:val="18"/>
                <w:szCs w:val="18"/>
                <w:highlight w:val="none"/>
              </w:rPr>
            </w:pPr>
            <w:r>
              <w:rPr>
                <w:rFonts w:ascii="宋体" w:hAnsi="宋体"/>
                <w:sz w:val="18"/>
                <w:szCs w:val="18"/>
                <w:highlight w:val="none"/>
              </w:rPr>
              <w:t>2</w:t>
            </w:r>
          </w:p>
        </w:tc>
        <w:tc>
          <w:tcPr>
            <w:tcW w:w="3211" w:type="dxa"/>
            <w:vAlign w:val="center"/>
          </w:tcPr>
          <w:p w14:paraId="60AC0822">
            <w:pPr>
              <w:jc w:val="center"/>
              <w:rPr>
                <w:rFonts w:ascii="宋体"/>
                <w:sz w:val="18"/>
                <w:szCs w:val="18"/>
                <w:highlight w:val="none"/>
              </w:rPr>
            </w:pPr>
          </w:p>
        </w:tc>
        <w:tc>
          <w:tcPr>
            <w:tcW w:w="3211" w:type="dxa"/>
            <w:vAlign w:val="center"/>
          </w:tcPr>
          <w:p w14:paraId="29F8A232">
            <w:pPr>
              <w:jc w:val="center"/>
              <w:rPr>
                <w:rFonts w:ascii="宋体"/>
                <w:sz w:val="18"/>
                <w:szCs w:val="18"/>
                <w:highlight w:val="none"/>
              </w:rPr>
            </w:pPr>
          </w:p>
        </w:tc>
        <w:tc>
          <w:tcPr>
            <w:tcW w:w="1834" w:type="dxa"/>
            <w:vAlign w:val="center"/>
          </w:tcPr>
          <w:p w14:paraId="3545B7AE">
            <w:pPr>
              <w:jc w:val="center"/>
              <w:rPr>
                <w:rFonts w:ascii="宋体"/>
                <w:sz w:val="18"/>
                <w:szCs w:val="18"/>
                <w:highlight w:val="none"/>
              </w:rPr>
            </w:pPr>
          </w:p>
        </w:tc>
      </w:tr>
      <w:tr w14:paraId="35C7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16C46666">
            <w:pPr>
              <w:jc w:val="center"/>
              <w:rPr>
                <w:rFonts w:ascii="宋体"/>
                <w:sz w:val="18"/>
                <w:szCs w:val="18"/>
                <w:highlight w:val="none"/>
              </w:rPr>
            </w:pPr>
            <w:r>
              <w:rPr>
                <w:rFonts w:ascii="宋体" w:hAnsi="宋体"/>
                <w:sz w:val="18"/>
                <w:szCs w:val="18"/>
                <w:highlight w:val="none"/>
              </w:rPr>
              <w:t>3</w:t>
            </w:r>
          </w:p>
        </w:tc>
        <w:tc>
          <w:tcPr>
            <w:tcW w:w="3211" w:type="dxa"/>
            <w:vAlign w:val="center"/>
          </w:tcPr>
          <w:p w14:paraId="1060BB4E">
            <w:pPr>
              <w:jc w:val="center"/>
              <w:rPr>
                <w:rFonts w:ascii="宋体"/>
                <w:sz w:val="18"/>
                <w:szCs w:val="18"/>
                <w:highlight w:val="none"/>
              </w:rPr>
            </w:pPr>
          </w:p>
        </w:tc>
        <w:tc>
          <w:tcPr>
            <w:tcW w:w="3211" w:type="dxa"/>
            <w:vAlign w:val="center"/>
          </w:tcPr>
          <w:p w14:paraId="48A8BF2C">
            <w:pPr>
              <w:jc w:val="center"/>
              <w:rPr>
                <w:rFonts w:ascii="宋体"/>
                <w:sz w:val="18"/>
                <w:szCs w:val="18"/>
                <w:highlight w:val="none"/>
              </w:rPr>
            </w:pPr>
          </w:p>
        </w:tc>
        <w:tc>
          <w:tcPr>
            <w:tcW w:w="1834" w:type="dxa"/>
            <w:vAlign w:val="center"/>
          </w:tcPr>
          <w:p w14:paraId="61B33C9C">
            <w:pPr>
              <w:jc w:val="center"/>
              <w:rPr>
                <w:rFonts w:ascii="宋体"/>
                <w:sz w:val="18"/>
                <w:szCs w:val="18"/>
                <w:highlight w:val="none"/>
              </w:rPr>
            </w:pPr>
          </w:p>
        </w:tc>
      </w:tr>
      <w:tr w14:paraId="6CB3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0A107E0D">
            <w:pPr>
              <w:jc w:val="center"/>
              <w:rPr>
                <w:rFonts w:ascii="宋体"/>
                <w:sz w:val="18"/>
                <w:szCs w:val="18"/>
                <w:highlight w:val="none"/>
              </w:rPr>
            </w:pPr>
            <w:r>
              <w:rPr>
                <w:rFonts w:ascii="宋体" w:hAnsi="宋体"/>
                <w:sz w:val="18"/>
                <w:szCs w:val="18"/>
                <w:highlight w:val="none"/>
              </w:rPr>
              <w:t>4</w:t>
            </w:r>
          </w:p>
        </w:tc>
        <w:tc>
          <w:tcPr>
            <w:tcW w:w="3211" w:type="dxa"/>
            <w:vAlign w:val="center"/>
          </w:tcPr>
          <w:p w14:paraId="74DE28ED">
            <w:pPr>
              <w:jc w:val="center"/>
              <w:rPr>
                <w:rFonts w:ascii="宋体"/>
                <w:sz w:val="18"/>
                <w:szCs w:val="18"/>
                <w:highlight w:val="none"/>
              </w:rPr>
            </w:pPr>
          </w:p>
        </w:tc>
        <w:tc>
          <w:tcPr>
            <w:tcW w:w="3211" w:type="dxa"/>
            <w:vAlign w:val="center"/>
          </w:tcPr>
          <w:p w14:paraId="2F119DC6">
            <w:pPr>
              <w:jc w:val="center"/>
              <w:rPr>
                <w:rFonts w:ascii="宋体"/>
                <w:sz w:val="18"/>
                <w:szCs w:val="18"/>
                <w:highlight w:val="none"/>
              </w:rPr>
            </w:pPr>
          </w:p>
        </w:tc>
        <w:tc>
          <w:tcPr>
            <w:tcW w:w="1834" w:type="dxa"/>
            <w:vAlign w:val="center"/>
          </w:tcPr>
          <w:p w14:paraId="12328872">
            <w:pPr>
              <w:jc w:val="center"/>
              <w:rPr>
                <w:rFonts w:ascii="宋体"/>
                <w:sz w:val="18"/>
                <w:szCs w:val="18"/>
                <w:highlight w:val="none"/>
              </w:rPr>
            </w:pPr>
          </w:p>
        </w:tc>
      </w:tr>
      <w:tr w14:paraId="020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273045C4">
            <w:pPr>
              <w:jc w:val="center"/>
              <w:rPr>
                <w:rFonts w:ascii="宋体"/>
                <w:sz w:val="18"/>
                <w:szCs w:val="18"/>
                <w:highlight w:val="none"/>
              </w:rPr>
            </w:pPr>
            <w:r>
              <w:rPr>
                <w:rFonts w:ascii="宋体" w:hAnsi="宋体"/>
                <w:sz w:val="18"/>
                <w:szCs w:val="18"/>
                <w:highlight w:val="none"/>
              </w:rPr>
              <w:t>5</w:t>
            </w:r>
          </w:p>
        </w:tc>
        <w:tc>
          <w:tcPr>
            <w:tcW w:w="3211" w:type="dxa"/>
            <w:vAlign w:val="center"/>
          </w:tcPr>
          <w:p w14:paraId="164CDBBC">
            <w:pPr>
              <w:jc w:val="center"/>
              <w:rPr>
                <w:rFonts w:ascii="宋体"/>
                <w:sz w:val="18"/>
                <w:szCs w:val="18"/>
                <w:highlight w:val="none"/>
              </w:rPr>
            </w:pPr>
          </w:p>
        </w:tc>
        <w:tc>
          <w:tcPr>
            <w:tcW w:w="3211" w:type="dxa"/>
            <w:vAlign w:val="center"/>
          </w:tcPr>
          <w:p w14:paraId="204575B9">
            <w:pPr>
              <w:jc w:val="center"/>
              <w:rPr>
                <w:rFonts w:ascii="宋体"/>
                <w:sz w:val="18"/>
                <w:szCs w:val="18"/>
                <w:highlight w:val="none"/>
              </w:rPr>
            </w:pPr>
          </w:p>
        </w:tc>
        <w:tc>
          <w:tcPr>
            <w:tcW w:w="1834" w:type="dxa"/>
            <w:vAlign w:val="center"/>
          </w:tcPr>
          <w:p w14:paraId="471188E5">
            <w:pPr>
              <w:jc w:val="center"/>
              <w:rPr>
                <w:rFonts w:ascii="宋体"/>
                <w:sz w:val="18"/>
                <w:szCs w:val="18"/>
                <w:highlight w:val="none"/>
              </w:rPr>
            </w:pPr>
          </w:p>
        </w:tc>
      </w:tr>
      <w:tr w14:paraId="52FF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73002130">
            <w:pPr>
              <w:jc w:val="center"/>
              <w:rPr>
                <w:rFonts w:ascii="宋体"/>
                <w:sz w:val="18"/>
                <w:szCs w:val="18"/>
                <w:highlight w:val="none"/>
              </w:rPr>
            </w:pPr>
            <w:r>
              <w:rPr>
                <w:rFonts w:ascii="宋体" w:hAnsi="宋体"/>
                <w:sz w:val="18"/>
                <w:szCs w:val="18"/>
                <w:highlight w:val="none"/>
              </w:rPr>
              <w:t>6</w:t>
            </w:r>
          </w:p>
        </w:tc>
        <w:tc>
          <w:tcPr>
            <w:tcW w:w="3211" w:type="dxa"/>
            <w:vAlign w:val="center"/>
          </w:tcPr>
          <w:p w14:paraId="18AD868E">
            <w:pPr>
              <w:jc w:val="center"/>
              <w:rPr>
                <w:rFonts w:ascii="宋体"/>
                <w:sz w:val="18"/>
                <w:szCs w:val="18"/>
                <w:highlight w:val="none"/>
              </w:rPr>
            </w:pPr>
          </w:p>
        </w:tc>
        <w:tc>
          <w:tcPr>
            <w:tcW w:w="3211" w:type="dxa"/>
            <w:vAlign w:val="center"/>
          </w:tcPr>
          <w:p w14:paraId="449E516D">
            <w:pPr>
              <w:jc w:val="center"/>
              <w:rPr>
                <w:rFonts w:ascii="宋体"/>
                <w:sz w:val="18"/>
                <w:szCs w:val="18"/>
                <w:highlight w:val="none"/>
              </w:rPr>
            </w:pPr>
          </w:p>
        </w:tc>
        <w:tc>
          <w:tcPr>
            <w:tcW w:w="1834" w:type="dxa"/>
            <w:vAlign w:val="center"/>
          </w:tcPr>
          <w:p w14:paraId="37A0BBF9">
            <w:pPr>
              <w:jc w:val="center"/>
              <w:rPr>
                <w:rFonts w:ascii="宋体"/>
                <w:sz w:val="18"/>
                <w:szCs w:val="18"/>
                <w:highlight w:val="none"/>
              </w:rPr>
            </w:pPr>
          </w:p>
        </w:tc>
      </w:tr>
      <w:tr w14:paraId="2294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0513702F">
            <w:pPr>
              <w:jc w:val="center"/>
              <w:rPr>
                <w:rFonts w:ascii="宋体"/>
                <w:sz w:val="18"/>
                <w:szCs w:val="18"/>
                <w:highlight w:val="none"/>
              </w:rPr>
            </w:pPr>
            <w:r>
              <w:rPr>
                <w:rFonts w:ascii="宋体" w:hAnsi="宋体"/>
                <w:sz w:val="18"/>
                <w:szCs w:val="18"/>
                <w:highlight w:val="none"/>
              </w:rPr>
              <w:t>7</w:t>
            </w:r>
          </w:p>
        </w:tc>
        <w:tc>
          <w:tcPr>
            <w:tcW w:w="3211" w:type="dxa"/>
            <w:vAlign w:val="center"/>
          </w:tcPr>
          <w:p w14:paraId="773BD2C3">
            <w:pPr>
              <w:jc w:val="center"/>
              <w:rPr>
                <w:rFonts w:ascii="宋体"/>
                <w:sz w:val="18"/>
                <w:szCs w:val="18"/>
                <w:highlight w:val="none"/>
              </w:rPr>
            </w:pPr>
          </w:p>
        </w:tc>
        <w:tc>
          <w:tcPr>
            <w:tcW w:w="3211" w:type="dxa"/>
            <w:vAlign w:val="center"/>
          </w:tcPr>
          <w:p w14:paraId="1766A836">
            <w:pPr>
              <w:jc w:val="center"/>
              <w:rPr>
                <w:rFonts w:ascii="宋体"/>
                <w:sz w:val="18"/>
                <w:szCs w:val="18"/>
                <w:highlight w:val="none"/>
              </w:rPr>
            </w:pPr>
          </w:p>
        </w:tc>
        <w:tc>
          <w:tcPr>
            <w:tcW w:w="1834" w:type="dxa"/>
            <w:vAlign w:val="center"/>
          </w:tcPr>
          <w:p w14:paraId="7AFC520A">
            <w:pPr>
              <w:jc w:val="center"/>
              <w:rPr>
                <w:rFonts w:ascii="宋体"/>
                <w:sz w:val="18"/>
                <w:szCs w:val="18"/>
                <w:highlight w:val="none"/>
              </w:rPr>
            </w:pPr>
          </w:p>
        </w:tc>
      </w:tr>
      <w:tr w14:paraId="7A23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282D562F">
            <w:pPr>
              <w:jc w:val="center"/>
              <w:rPr>
                <w:rFonts w:ascii="宋体"/>
                <w:sz w:val="18"/>
                <w:szCs w:val="18"/>
                <w:highlight w:val="none"/>
              </w:rPr>
            </w:pPr>
            <w:r>
              <w:rPr>
                <w:rFonts w:ascii="宋体" w:hAnsi="宋体"/>
                <w:sz w:val="18"/>
                <w:szCs w:val="18"/>
                <w:highlight w:val="none"/>
              </w:rPr>
              <w:t>8</w:t>
            </w:r>
          </w:p>
        </w:tc>
        <w:tc>
          <w:tcPr>
            <w:tcW w:w="3211" w:type="dxa"/>
            <w:vAlign w:val="center"/>
          </w:tcPr>
          <w:p w14:paraId="6FB263AE">
            <w:pPr>
              <w:jc w:val="center"/>
              <w:rPr>
                <w:rFonts w:ascii="宋体"/>
                <w:sz w:val="18"/>
                <w:szCs w:val="18"/>
                <w:highlight w:val="none"/>
              </w:rPr>
            </w:pPr>
          </w:p>
        </w:tc>
        <w:tc>
          <w:tcPr>
            <w:tcW w:w="3211" w:type="dxa"/>
            <w:vAlign w:val="center"/>
          </w:tcPr>
          <w:p w14:paraId="00D7FE66">
            <w:pPr>
              <w:jc w:val="center"/>
              <w:rPr>
                <w:rFonts w:ascii="宋体"/>
                <w:sz w:val="18"/>
                <w:szCs w:val="18"/>
                <w:highlight w:val="none"/>
              </w:rPr>
            </w:pPr>
          </w:p>
        </w:tc>
        <w:tc>
          <w:tcPr>
            <w:tcW w:w="1834" w:type="dxa"/>
            <w:vAlign w:val="center"/>
          </w:tcPr>
          <w:p w14:paraId="5DD8608D">
            <w:pPr>
              <w:jc w:val="center"/>
              <w:rPr>
                <w:rFonts w:ascii="宋体"/>
                <w:sz w:val="18"/>
                <w:szCs w:val="18"/>
                <w:highlight w:val="none"/>
              </w:rPr>
            </w:pPr>
          </w:p>
        </w:tc>
      </w:tr>
      <w:tr w14:paraId="210F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3C49CA08">
            <w:pPr>
              <w:jc w:val="center"/>
              <w:rPr>
                <w:rFonts w:ascii="宋体"/>
                <w:sz w:val="18"/>
                <w:szCs w:val="18"/>
                <w:highlight w:val="none"/>
              </w:rPr>
            </w:pPr>
            <w:r>
              <w:rPr>
                <w:rFonts w:ascii="宋体" w:hAnsi="宋体"/>
                <w:sz w:val="18"/>
                <w:szCs w:val="18"/>
                <w:highlight w:val="none"/>
              </w:rPr>
              <w:t>9</w:t>
            </w:r>
          </w:p>
        </w:tc>
        <w:tc>
          <w:tcPr>
            <w:tcW w:w="3211" w:type="dxa"/>
            <w:vAlign w:val="center"/>
          </w:tcPr>
          <w:p w14:paraId="0A6DC0DE">
            <w:pPr>
              <w:jc w:val="center"/>
              <w:rPr>
                <w:rFonts w:ascii="宋体"/>
                <w:sz w:val="18"/>
                <w:szCs w:val="18"/>
                <w:highlight w:val="none"/>
              </w:rPr>
            </w:pPr>
          </w:p>
        </w:tc>
        <w:tc>
          <w:tcPr>
            <w:tcW w:w="3211" w:type="dxa"/>
            <w:vAlign w:val="center"/>
          </w:tcPr>
          <w:p w14:paraId="10A2C192">
            <w:pPr>
              <w:jc w:val="center"/>
              <w:rPr>
                <w:rFonts w:ascii="宋体"/>
                <w:sz w:val="18"/>
                <w:szCs w:val="18"/>
                <w:highlight w:val="none"/>
              </w:rPr>
            </w:pPr>
          </w:p>
        </w:tc>
        <w:tc>
          <w:tcPr>
            <w:tcW w:w="1834" w:type="dxa"/>
            <w:vAlign w:val="center"/>
          </w:tcPr>
          <w:p w14:paraId="039D811E">
            <w:pPr>
              <w:jc w:val="center"/>
              <w:rPr>
                <w:rFonts w:ascii="宋体"/>
                <w:sz w:val="18"/>
                <w:szCs w:val="18"/>
                <w:highlight w:val="none"/>
              </w:rPr>
            </w:pPr>
          </w:p>
        </w:tc>
      </w:tr>
      <w:tr w14:paraId="418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72A3E005">
            <w:pPr>
              <w:jc w:val="center"/>
              <w:rPr>
                <w:rFonts w:ascii="宋体"/>
                <w:sz w:val="18"/>
                <w:szCs w:val="18"/>
                <w:highlight w:val="none"/>
              </w:rPr>
            </w:pPr>
            <w:r>
              <w:rPr>
                <w:rFonts w:ascii="宋体" w:hAnsi="宋体"/>
                <w:sz w:val="18"/>
                <w:szCs w:val="18"/>
                <w:highlight w:val="none"/>
              </w:rPr>
              <w:t>1</w:t>
            </w:r>
            <w:r>
              <w:rPr>
                <w:rFonts w:ascii="宋体"/>
                <w:sz w:val="18"/>
                <w:szCs w:val="18"/>
                <w:highlight w:val="none"/>
              </w:rPr>
              <w:t>0</w:t>
            </w:r>
          </w:p>
        </w:tc>
        <w:tc>
          <w:tcPr>
            <w:tcW w:w="3211" w:type="dxa"/>
            <w:vAlign w:val="center"/>
          </w:tcPr>
          <w:p w14:paraId="7C60976F">
            <w:pPr>
              <w:jc w:val="center"/>
              <w:rPr>
                <w:rFonts w:ascii="宋体"/>
                <w:sz w:val="18"/>
                <w:szCs w:val="18"/>
                <w:highlight w:val="none"/>
              </w:rPr>
            </w:pPr>
          </w:p>
        </w:tc>
        <w:tc>
          <w:tcPr>
            <w:tcW w:w="3211" w:type="dxa"/>
            <w:vAlign w:val="center"/>
          </w:tcPr>
          <w:p w14:paraId="6E219FA1">
            <w:pPr>
              <w:jc w:val="center"/>
              <w:rPr>
                <w:rFonts w:ascii="宋体"/>
                <w:sz w:val="18"/>
                <w:szCs w:val="18"/>
                <w:highlight w:val="none"/>
              </w:rPr>
            </w:pPr>
          </w:p>
        </w:tc>
        <w:tc>
          <w:tcPr>
            <w:tcW w:w="1834" w:type="dxa"/>
            <w:vAlign w:val="center"/>
          </w:tcPr>
          <w:p w14:paraId="6835122D">
            <w:pPr>
              <w:jc w:val="center"/>
              <w:rPr>
                <w:rFonts w:ascii="宋体"/>
                <w:sz w:val="18"/>
                <w:szCs w:val="18"/>
                <w:highlight w:val="none"/>
              </w:rPr>
            </w:pPr>
          </w:p>
        </w:tc>
      </w:tr>
      <w:tr w14:paraId="79EF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1B44B323">
            <w:pPr>
              <w:jc w:val="center"/>
              <w:rPr>
                <w:rFonts w:ascii="宋体"/>
                <w:sz w:val="18"/>
                <w:szCs w:val="18"/>
                <w:highlight w:val="none"/>
              </w:rPr>
            </w:pPr>
            <w:r>
              <w:rPr>
                <w:rFonts w:hint="eastAsia" w:ascii="宋体"/>
                <w:sz w:val="18"/>
                <w:szCs w:val="18"/>
                <w:highlight w:val="none"/>
              </w:rPr>
              <w:t>……</w:t>
            </w:r>
          </w:p>
        </w:tc>
        <w:tc>
          <w:tcPr>
            <w:tcW w:w="3211" w:type="dxa"/>
            <w:vAlign w:val="center"/>
          </w:tcPr>
          <w:p w14:paraId="34AE8758">
            <w:pPr>
              <w:jc w:val="center"/>
              <w:rPr>
                <w:rFonts w:ascii="宋体"/>
                <w:sz w:val="18"/>
                <w:szCs w:val="18"/>
                <w:highlight w:val="none"/>
              </w:rPr>
            </w:pPr>
          </w:p>
        </w:tc>
        <w:tc>
          <w:tcPr>
            <w:tcW w:w="3211" w:type="dxa"/>
            <w:vAlign w:val="center"/>
          </w:tcPr>
          <w:p w14:paraId="5B4C1AB5">
            <w:pPr>
              <w:jc w:val="center"/>
              <w:rPr>
                <w:rFonts w:ascii="宋体"/>
                <w:sz w:val="18"/>
                <w:szCs w:val="18"/>
                <w:highlight w:val="none"/>
              </w:rPr>
            </w:pPr>
          </w:p>
        </w:tc>
        <w:tc>
          <w:tcPr>
            <w:tcW w:w="1834" w:type="dxa"/>
            <w:vAlign w:val="center"/>
          </w:tcPr>
          <w:p w14:paraId="784FDCA7">
            <w:pPr>
              <w:jc w:val="center"/>
              <w:rPr>
                <w:rFonts w:ascii="宋体"/>
                <w:sz w:val="18"/>
                <w:szCs w:val="18"/>
                <w:highlight w:val="none"/>
              </w:rPr>
            </w:pPr>
          </w:p>
        </w:tc>
      </w:tr>
      <w:tr w14:paraId="4071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vAlign w:val="center"/>
          </w:tcPr>
          <w:p w14:paraId="368D2EF5">
            <w:pPr>
              <w:jc w:val="center"/>
              <w:rPr>
                <w:rFonts w:ascii="宋体"/>
                <w:sz w:val="18"/>
                <w:szCs w:val="18"/>
                <w:highlight w:val="none"/>
              </w:rPr>
            </w:pPr>
          </w:p>
        </w:tc>
        <w:tc>
          <w:tcPr>
            <w:tcW w:w="8256" w:type="dxa"/>
            <w:gridSpan w:val="3"/>
            <w:vAlign w:val="center"/>
          </w:tcPr>
          <w:p w14:paraId="45EEA4FC">
            <w:pPr>
              <w:rPr>
                <w:rFonts w:ascii="宋体"/>
                <w:sz w:val="18"/>
                <w:szCs w:val="18"/>
                <w:highlight w:val="none"/>
              </w:rPr>
            </w:pPr>
            <w:r>
              <w:rPr>
                <w:rFonts w:hint="eastAsia" w:ascii="宋体" w:hAnsi="宋体"/>
                <w:sz w:val="18"/>
                <w:szCs w:val="18"/>
                <w:highlight w:val="none"/>
              </w:rPr>
              <w:t>除以上内容，我方对招标文件的其他商务条款完全响应，无偏离。</w:t>
            </w:r>
          </w:p>
        </w:tc>
      </w:tr>
    </w:tbl>
    <w:p w14:paraId="5551DAF9">
      <w:pPr>
        <w:rPr>
          <w:rFonts w:ascii="黑体" w:hAnsi="黑体" w:eastAsia="黑体"/>
          <w:sz w:val="18"/>
          <w:szCs w:val="18"/>
          <w:highlight w:val="none"/>
        </w:rPr>
      </w:pPr>
      <w:r>
        <w:rPr>
          <w:rFonts w:hint="eastAsia" w:ascii="黑体" w:hAnsi="黑体" w:eastAsia="黑体"/>
          <w:sz w:val="18"/>
          <w:szCs w:val="18"/>
          <w:highlight w:val="none"/>
        </w:rPr>
        <w:t>注：</w:t>
      </w:r>
      <w:r>
        <w:rPr>
          <w:rFonts w:hint="eastAsia" w:ascii="宋体" w:hAnsi="宋体"/>
          <w:sz w:val="18"/>
          <w:szCs w:val="18"/>
          <w:highlight w:val="none"/>
        </w:rPr>
        <w:t>投标人如果对包括服务期限、地点和方式、采购资金的支付方式、时间和条件等合同项在内的商务条款的响应有任何偏离（包括正偏离和负偏离），请在本表中详细填写，并作出说明（标明“正偏离”或“负偏离”）。除列明的内容外，如投标文件对招标文件的商务条款完全满足（一致），应在本表中明确说明“完全响应，无偏离”。如不填写此表，则视为投标人完全同意招标文件的商务条款。投标人应对故意隐瞒负偏离的行为承担责任。</w:t>
      </w:r>
    </w:p>
    <w:bookmarkEnd w:id="100"/>
    <w:p w14:paraId="5F193489">
      <w:pPr>
        <w:spacing w:line="360" w:lineRule="auto"/>
        <w:ind w:firstLine="420" w:firstLineChars="200"/>
        <w:rPr>
          <w:rFonts w:ascii="宋体"/>
          <w:szCs w:val="21"/>
          <w:highlight w:val="none"/>
        </w:rPr>
      </w:pPr>
    </w:p>
    <w:p w14:paraId="345D5401">
      <w:pPr>
        <w:spacing w:line="360" w:lineRule="auto"/>
        <w:ind w:firstLine="480" w:firstLineChars="200"/>
        <w:rPr>
          <w:rFonts w:ascii="仿宋_GB2312" w:eastAsia="仿宋_GB2312"/>
          <w:sz w:val="24"/>
          <w:highlight w:val="none"/>
        </w:rPr>
      </w:pPr>
    </w:p>
    <w:p w14:paraId="3AD416E8">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投标人：（盖单位公章）</w:t>
      </w:r>
    </w:p>
    <w:p w14:paraId="34902DE5">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法定代表人或其委托代理人：</w:t>
      </w:r>
      <w:r>
        <w:rPr>
          <w:rFonts w:hint="eastAsia" w:ascii="仿宋_GB2312" w:hAnsi="宋体" w:eastAsia="仿宋_GB2312"/>
          <w:sz w:val="24"/>
          <w:highlight w:val="none"/>
          <w:lang w:val="en-US" w:eastAsia="zh-CN"/>
        </w:rPr>
        <w:t>(</w:t>
      </w:r>
      <w:r>
        <w:rPr>
          <w:rFonts w:hint="eastAsia" w:ascii="仿宋_GB2312" w:hAnsi="宋体" w:eastAsia="仿宋_GB2312"/>
          <w:sz w:val="24"/>
          <w:highlight w:val="none"/>
        </w:rPr>
        <w:t>签字或印章）</w:t>
      </w:r>
    </w:p>
    <w:p w14:paraId="7EE80257">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日期：年月日</w:t>
      </w:r>
    </w:p>
    <w:p w14:paraId="121C661B">
      <w:pPr>
        <w:spacing w:before="100" w:beforeAutospacing="1" w:after="100" w:afterAutospacing="1"/>
        <w:jc w:val="center"/>
        <w:outlineLvl w:val="2"/>
        <w:rPr>
          <w:rFonts w:ascii="黑体" w:eastAsia="黑体"/>
          <w:sz w:val="24"/>
          <w:highlight w:val="none"/>
        </w:rPr>
      </w:pPr>
      <w:r>
        <w:rPr>
          <w:rFonts w:hint="eastAsia" w:ascii="仿宋_GB2312" w:eastAsia="仿宋_GB2312"/>
          <w:sz w:val="24"/>
          <w:highlight w:val="none"/>
        </w:rPr>
        <w:br w:type="page"/>
      </w:r>
      <w:bookmarkStart w:id="102" w:name="_Toc520349240"/>
      <w:r>
        <w:rPr>
          <w:rFonts w:ascii="黑体" w:eastAsia="黑体"/>
          <w:sz w:val="24"/>
          <w:highlight w:val="none"/>
        </w:rPr>
        <w:t>4.2</w:t>
      </w:r>
      <w:r>
        <w:rPr>
          <w:rFonts w:hint="eastAsia" w:ascii="黑体" w:eastAsia="黑体"/>
          <w:sz w:val="24"/>
          <w:highlight w:val="none"/>
        </w:rPr>
        <w:t>技术条款响应和偏离表</w:t>
      </w:r>
      <w:bookmarkEnd w:id="102"/>
    </w:p>
    <w:p w14:paraId="7D6F2EA8">
      <w:pPr>
        <w:jc w:val="left"/>
        <w:rPr>
          <w:rFonts w:ascii="黑体" w:eastAsia="黑体"/>
          <w:highlight w:val="none"/>
        </w:rPr>
      </w:pPr>
      <w:r>
        <w:rPr>
          <w:rFonts w:hint="eastAsia" w:ascii="黑体" w:hAnsi="宋体" w:eastAsia="黑体"/>
          <w:highlight w:val="none"/>
        </w:rPr>
        <w:t>项目编号：</w:t>
      </w:r>
    </w:p>
    <w:tbl>
      <w:tblPr>
        <w:tblStyle w:val="4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11"/>
        <w:gridCol w:w="3211"/>
        <w:gridCol w:w="1834"/>
      </w:tblGrid>
      <w:tr w14:paraId="6710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790E54FA">
            <w:pPr>
              <w:jc w:val="center"/>
              <w:rPr>
                <w:rFonts w:ascii="黑体" w:hAnsi="宋体" w:eastAsia="黑体"/>
                <w:sz w:val="18"/>
                <w:szCs w:val="18"/>
                <w:highlight w:val="none"/>
              </w:rPr>
            </w:pPr>
            <w:r>
              <w:rPr>
                <w:rFonts w:hint="eastAsia" w:ascii="黑体" w:hAnsi="宋体" w:eastAsia="黑体"/>
                <w:sz w:val="18"/>
                <w:szCs w:val="18"/>
                <w:highlight w:val="none"/>
              </w:rPr>
              <w:t>序号</w:t>
            </w:r>
          </w:p>
        </w:tc>
        <w:tc>
          <w:tcPr>
            <w:tcW w:w="3211" w:type="dxa"/>
            <w:vAlign w:val="center"/>
          </w:tcPr>
          <w:p w14:paraId="0EE70305">
            <w:pPr>
              <w:jc w:val="center"/>
              <w:rPr>
                <w:rFonts w:ascii="黑体" w:hAnsi="宋体" w:eastAsia="黑体"/>
                <w:sz w:val="18"/>
                <w:szCs w:val="18"/>
                <w:highlight w:val="none"/>
              </w:rPr>
            </w:pPr>
            <w:r>
              <w:rPr>
                <w:rFonts w:hint="eastAsia" w:ascii="黑体" w:hAnsi="宋体" w:eastAsia="黑体"/>
                <w:sz w:val="18"/>
                <w:szCs w:val="18"/>
                <w:highlight w:val="none"/>
              </w:rPr>
              <w:t>招标文件要求</w:t>
            </w:r>
          </w:p>
        </w:tc>
        <w:tc>
          <w:tcPr>
            <w:tcW w:w="3211" w:type="dxa"/>
            <w:vAlign w:val="center"/>
          </w:tcPr>
          <w:p w14:paraId="549AA93B">
            <w:pPr>
              <w:jc w:val="center"/>
              <w:rPr>
                <w:rFonts w:ascii="黑体" w:hAnsi="宋体" w:eastAsia="黑体"/>
                <w:sz w:val="18"/>
                <w:szCs w:val="18"/>
                <w:highlight w:val="none"/>
              </w:rPr>
            </w:pPr>
            <w:r>
              <w:rPr>
                <w:rFonts w:hint="eastAsia" w:ascii="黑体" w:hAnsi="宋体" w:eastAsia="黑体"/>
                <w:sz w:val="18"/>
                <w:szCs w:val="18"/>
                <w:highlight w:val="none"/>
              </w:rPr>
              <w:t>投标文件应答</w:t>
            </w:r>
          </w:p>
        </w:tc>
        <w:tc>
          <w:tcPr>
            <w:tcW w:w="1834" w:type="dxa"/>
            <w:vAlign w:val="center"/>
          </w:tcPr>
          <w:p w14:paraId="4C5D22FD">
            <w:pPr>
              <w:jc w:val="center"/>
              <w:rPr>
                <w:rFonts w:ascii="黑体" w:hAnsi="宋体" w:eastAsia="黑体"/>
                <w:sz w:val="18"/>
                <w:szCs w:val="18"/>
                <w:highlight w:val="none"/>
              </w:rPr>
            </w:pPr>
            <w:r>
              <w:rPr>
                <w:rFonts w:hint="eastAsia" w:ascii="黑体" w:hAnsi="宋体" w:eastAsia="黑体"/>
                <w:sz w:val="18"/>
                <w:szCs w:val="18"/>
                <w:highlight w:val="none"/>
              </w:rPr>
              <w:t>响应</w:t>
            </w:r>
            <w:r>
              <w:rPr>
                <w:rFonts w:ascii="黑体" w:hAnsi="宋体" w:eastAsia="黑体"/>
                <w:sz w:val="18"/>
                <w:szCs w:val="18"/>
                <w:highlight w:val="none"/>
              </w:rPr>
              <w:t>/</w:t>
            </w:r>
            <w:r>
              <w:rPr>
                <w:rFonts w:hint="eastAsia" w:ascii="黑体" w:hAnsi="宋体" w:eastAsia="黑体"/>
                <w:sz w:val="18"/>
                <w:szCs w:val="18"/>
                <w:highlight w:val="none"/>
              </w:rPr>
              <w:t>偏离情况说明</w:t>
            </w:r>
          </w:p>
        </w:tc>
      </w:tr>
      <w:tr w14:paraId="1871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031F31E9">
            <w:pPr>
              <w:jc w:val="center"/>
              <w:rPr>
                <w:rFonts w:ascii="宋体"/>
                <w:sz w:val="18"/>
                <w:szCs w:val="18"/>
                <w:highlight w:val="none"/>
              </w:rPr>
            </w:pPr>
            <w:r>
              <w:rPr>
                <w:rFonts w:ascii="宋体" w:hAnsi="宋体"/>
                <w:sz w:val="18"/>
                <w:szCs w:val="18"/>
                <w:highlight w:val="none"/>
              </w:rPr>
              <w:t>1</w:t>
            </w:r>
          </w:p>
        </w:tc>
        <w:tc>
          <w:tcPr>
            <w:tcW w:w="3211" w:type="dxa"/>
            <w:vAlign w:val="center"/>
          </w:tcPr>
          <w:p w14:paraId="2ECCEB53">
            <w:pPr>
              <w:jc w:val="center"/>
              <w:rPr>
                <w:rFonts w:ascii="宋体"/>
                <w:sz w:val="18"/>
                <w:szCs w:val="18"/>
                <w:highlight w:val="none"/>
              </w:rPr>
            </w:pPr>
          </w:p>
        </w:tc>
        <w:tc>
          <w:tcPr>
            <w:tcW w:w="3211" w:type="dxa"/>
            <w:vAlign w:val="center"/>
          </w:tcPr>
          <w:p w14:paraId="00AD3123">
            <w:pPr>
              <w:jc w:val="center"/>
              <w:rPr>
                <w:rFonts w:ascii="宋体"/>
                <w:sz w:val="18"/>
                <w:szCs w:val="18"/>
                <w:highlight w:val="none"/>
              </w:rPr>
            </w:pPr>
          </w:p>
        </w:tc>
        <w:tc>
          <w:tcPr>
            <w:tcW w:w="1834" w:type="dxa"/>
            <w:vAlign w:val="center"/>
          </w:tcPr>
          <w:p w14:paraId="74B5D564">
            <w:pPr>
              <w:jc w:val="center"/>
              <w:rPr>
                <w:rFonts w:ascii="宋体"/>
                <w:sz w:val="18"/>
                <w:szCs w:val="18"/>
                <w:highlight w:val="none"/>
              </w:rPr>
            </w:pPr>
          </w:p>
        </w:tc>
      </w:tr>
      <w:tr w14:paraId="5386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44DB05E2">
            <w:pPr>
              <w:jc w:val="center"/>
              <w:rPr>
                <w:rFonts w:ascii="宋体"/>
                <w:sz w:val="18"/>
                <w:szCs w:val="18"/>
                <w:highlight w:val="none"/>
              </w:rPr>
            </w:pPr>
            <w:r>
              <w:rPr>
                <w:rFonts w:ascii="宋体" w:hAnsi="宋体"/>
                <w:sz w:val="18"/>
                <w:szCs w:val="18"/>
                <w:highlight w:val="none"/>
              </w:rPr>
              <w:t>2</w:t>
            </w:r>
          </w:p>
        </w:tc>
        <w:tc>
          <w:tcPr>
            <w:tcW w:w="3211" w:type="dxa"/>
            <w:vAlign w:val="center"/>
          </w:tcPr>
          <w:p w14:paraId="61DAB1C1">
            <w:pPr>
              <w:jc w:val="center"/>
              <w:rPr>
                <w:rFonts w:ascii="宋体"/>
                <w:sz w:val="18"/>
                <w:szCs w:val="18"/>
                <w:highlight w:val="none"/>
              </w:rPr>
            </w:pPr>
          </w:p>
        </w:tc>
        <w:tc>
          <w:tcPr>
            <w:tcW w:w="3211" w:type="dxa"/>
            <w:vAlign w:val="center"/>
          </w:tcPr>
          <w:p w14:paraId="42562EC8">
            <w:pPr>
              <w:jc w:val="center"/>
              <w:rPr>
                <w:rFonts w:ascii="宋体"/>
                <w:sz w:val="18"/>
                <w:szCs w:val="18"/>
                <w:highlight w:val="none"/>
              </w:rPr>
            </w:pPr>
          </w:p>
        </w:tc>
        <w:tc>
          <w:tcPr>
            <w:tcW w:w="1834" w:type="dxa"/>
            <w:vAlign w:val="center"/>
          </w:tcPr>
          <w:p w14:paraId="255B6FAC">
            <w:pPr>
              <w:jc w:val="center"/>
              <w:rPr>
                <w:rFonts w:ascii="宋体"/>
                <w:sz w:val="18"/>
                <w:szCs w:val="18"/>
                <w:highlight w:val="none"/>
              </w:rPr>
            </w:pPr>
          </w:p>
        </w:tc>
      </w:tr>
      <w:tr w14:paraId="622D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330D24D8">
            <w:pPr>
              <w:jc w:val="center"/>
              <w:rPr>
                <w:rFonts w:ascii="宋体"/>
                <w:sz w:val="18"/>
                <w:szCs w:val="18"/>
                <w:highlight w:val="none"/>
              </w:rPr>
            </w:pPr>
            <w:r>
              <w:rPr>
                <w:rFonts w:ascii="宋体" w:hAnsi="宋体"/>
                <w:sz w:val="18"/>
                <w:szCs w:val="18"/>
                <w:highlight w:val="none"/>
              </w:rPr>
              <w:t>3</w:t>
            </w:r>
          </w:p>
        </w:tc>
        <w:tc>
          <w:tcPr>
            <w:tcW w:w="3211" w:type="dxa"/>
            <w:vAlign w:val="center"/>
          </w:tcPr>
          <w:p w14:paraId="11BD2914">
            <w:pPr>
              <w:jc w:val="center"/>
              <w:rPr>
                <w:rFonts w:ascii="宋体"/>
                <w:sz w:val="18"/>
                <w:szCs w:val="18"/>
                <w:highlight w:val="none"/>
              </w:rPr>
            </w:pPr>
          </w:p>
        </w:tc>
        <w:tc>
          <w:tcPr>
            <w:tcW w:w="3211" w:type="dxa"/>
            <w:vAlign w:val="center"/>
          </w:tcPr>
          <w:p w14:paraId="203AA738">
            <w:pPr>
              <w:jc w:val="center"/>
              <w:rPr>
                <w:rFonts w:ascii="宋体"/>
                <w:sz w:val="18"/>
                <w:szCs w:val="18"/>
                <w:highlight w:val="none"/>
              </w:rPr>
            </w:pPr>
          </w:p>
        </w:tc>
        <w:tc>
          <w:tcPr>
            <w:tcW w:w="1834" w:type="dxa"/>
            <w:vAlign w:val="center"/>
          </w:tcPr>
          <w:p w14:paraId="2FEBC174">
            <w:pPr>
              <w:jc w:val="center"/>
              <w:rPr>
                <w:rFonts w:ascii="宋体"/>
                <w:sz w:val="18"/>
                <w:szCs w:val="18"/>
                <w:highlight w:val="none"/>
              </w:rPr>
            </w:pPr>
          </w:p>
        </w:tc>
      </w:tr>
      <w:tr w14:paraId="041C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3A86BAA6">
            <w:pPr>
              <w:jc w:val="center"/>
              <w:rPr>
                <w:rFonts w:ascii="宋体"/>
                <w:sz w:val="18"/>
                <w:szCs w:val="18"/>
                <w:highlight w:val="none"/>
              </w:rPr>
            </w:pPr>
            <w:r>
              <w:rPr>
                <w:rFonts w:ascii="宋体" w:hAnsi="宋体"/>
                <w:sz w:val="18"/>
                <w:szCs w:val="18"/>
                <w:highlight w:val="none"/>
              </w:rPr>
              <w:t>4</w:t>
            </w:r>
          </w:p>
        </w:tc>
        <w:tc>
          <w:tcPr>
            <w:tcW w:w="3211" w:type="dxa"/>
            <w:vAlign w:val="center"/>
          </w:tcPr>
          <w:p w14:paraId="0ECB2480">
            <w:pPr>
              <w:jc w:val="center"/>
              <w:rPr>
                <w:rFonts w:ascii="宋体"/>
                <w:sz w:val="18"/>
                <w:szCs w:val="18"/>
                <w:highlight w:val="none"/>
              </w:rPr>
            </w:pPr>
          </w:p>
        </w:tc>
        <w:tc>
          <w:tcPr>
            <w:tcW w:w="3211" w:type="dxa"/>
            <w:vAlign w:val="center"/>
          </w:tcPr>
          <w:p w14:paraId="35F5B9BB">
            <w:pPr>
              <w:jc w:val="center"/>
              <w:rPr>
                <w:rFonts w:ascii="宋体"/>
                <w:sz w:val="18"/>
                <w:szCs w:val="18"/>
                <w:highlight w:val="none"/>
              </w:rPr>
            </w:pPr>
          </w:p>
        </w:tc>
        <w:tc>
          <w:tcPr>
            <w:tcW w:w="1834" w:type="dxa"/>
            <w:vAlign w:val="center"/>
          </w:tcPr>
          <w:p w14:paraId="1E6FF0FA">
            <w:pPr>
              <w:jc w:val="center"/>
              <w:rPr>
                <w:rFonts w:ascii="宋体"/>
                <w:sz w:val="18"/>
                <w:szCs w:val="18"/>
                <w:highlight w:val="none"/>
              </w:rPr>
            </w:pPr>
          </w:p>
        </w:tc>
      </w:tr>
      <w:tr w14:paraId="3A9F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660F7FEF">
            <w:pPr>
              <w:jc w:val="center"/>
              <w:rPr>
                <w:rFonts w:ascii="宋体"/>
                <w:sz w:val="18"/>
                <w:szCs w:val="18"/>
                <w:highlight w:val="none"/>
              </w:rPr>
            </w:pPr>
            <w:r>
              <w:rPr>
                <w:rFonts w:ascii="宋体" w:hAnsi="宋体"/>
                <w:sz w:val="18"/>
                <w:szCs w:val="18"/>
                <w:highlight w:val="none"/>
              </w:rPr>
              <w:t>5</w:t>
            </w:r>
          </w:p>
        </w:tc>
        <w:tc>
          <w:tcPr>
            <w:tcW w:w="3211" w:type="dxa"/>
            <w:vAlign w:val="center"/>
          </w:tcPr>
          <w:p w14:paraId="00EACB54">
            <w:pPr>
              <w:jc w:val="center"/>
              <w:rPr>
                <w:rFonts w:ascii="宋体"/>
                <w:sz w:val="18"/>
                <w:szCs w:val="18"/>
                <w:highlight w:val="none"/>
              </w:rPr>
            </w:pPr>
          </w:p>
        </w:tc>
        <w:tc>
          <w:tcPr>
            <w:tcW w:w="3211" w:type="dxa"/>
            <w:vAlign w:val="center"/>
          </w:tcPr>
          <w:p w14:paraId="0FBEF313">
            <w:pPr>
              <w:jc w:val="center"/>
              <w:rPr>
                <w:rFonts w:ascii="宋体"/>
                <w:sz w:val="18"/>
                <w:szCs w:val="18"/>
                <w:highlight w:val="none"/>
              </w:rPr>
            </w:pPr>
          </w:p>
        </w:tc>
        <w:tc>
          <w:tcPr>
            <w:tcW w:w="1834" w:type="dxa"/>
            <w:vAlign w:val="center"/>
          </w:tcPr>
          <w:p w14:paraId="018FBD88">
            <w:pPr>
              <w:jc w:val="center"/>
              <w:rPr>
                <w:rFonts w:ascii="宋体"/>
                <w:sz w:val="18"/>
                <w:szCs w:val="18"/>
                <w:highlight w:val="none"/>
              </w:rPr>
            </w:pPr>
          </w:p>
        </w:tc>
      </w:tr>
      <w:tr w14:paraId="1ED3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4A818DA9">
            <w:pPr>
              <w:jc w:val="center"/>
              <w:rPr>
                <w:rFonts w:ascii="宋体"/>
                <w:sz w:val="18"/>
                <w:szCs w:val="18"/>
                <w:highlight w:val="none"/>
              </w:rPr>
            </w:pPr>
            <w:r>
              <w:rPr>
                <w:rFonts w:ascii="宋体" w:hAnsi="宋体"/>
                <w:sz w:val="18"/>
                <w:szCs w:val="18"/>
                <w:highlight w:val="none"/>
              </w:rPr>
              <w:t>6</w:t>
            </w:r>
          </w:p>
        </w:tc>
        <w:tc>
          <w:tcPr>
            <w:tcW w:w="3211" w:type="dxa"/>
            <w:vAlign w:val="center"/>
          </w:tcPr>
          <w:p w14:paraId="3F5FF562">
            <w:pPr>
              <w:jc w:val="center"/>
              <w:rPr>
                <w:rFonts w:ascii="宋体"/>
                <w:sz w:val="18"/>
                <w:szCs w:val="18"/>
                <w:highlight w:val="none"/>
              </w:rPr>
            </w:pPr>
          </w:p>
        </w:tc>
        <w:tc>
          <w:tcPr>
            <w:tcW w:w="3211" w:type="dxa"/>
            <w:vAlign w:val="center"/>
          </w:tcPr>
          <w:p w14:paraId="119E9C35">
            <w:pPr>
              <w:jc w:val="center"/>
              <w:rPr>
                <w:rFonts w:ascii="宋体"/>
                <w:sz w:val="18"/>
                <w:szCs w:val="18"/>
                <w:highlight w:val="none"/>
              </w:rPr>
            </w:pPr>
          </w:p>
        </w:tc>
        <w:tc>
          <w:tcPr>
            <w:tcW w:w="1834" w:type="dxa"/>
            <w:vAlign w:val="center"/>
          </w:tcPr>
          <w:p w14:paraId="4E8C50D0">
            <w:pPr>
              <w:jc w:val="center"/>
              <w:rPr>
                <w:rFonts w:ascii="宋体"/>
                <w:sz w:val="18"/>
                <w:szCs w:val="18"/>
                <w:highlight w:val="none"/>
              </w:rPr>
            </w:pPr>
          </w:p>
        </w:tc>
      </w:tr>
      <w:tr w14:paraId="2354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65EA987A">
            <w:pPr>
              <w:jc w:val="center"/>
              <w:rPr>
                <w:rFonts w:ascii="宋体"/>
                <w:sz w:val="18"/>
                <w:szCs w:val="18"/>
                <w:highlight w:val="none"/>
              </w:rPr>
            </w:pPr>
            <w:r>
              <w:rPr>
                <w:rFonts w:ascii="宋体" w:hAnsi="宋体"/>
                <w:sz w:val="18"/>
                <w:szCs w:val="18"/>
                <w:highlight w:val="none"/>
              </w:rPr>
              <w:t>7</w:t>
            </w:r>
          </w:p>
        </w:tc>
        <w:tc>
          <w:tcPr>
            <w:tcW w:w="3211" w:type="dxa"/>
            <w:vAlign w:val="center"/>
          </w:tcPr>
          <w:p w14:paraId="74C64F79">
            <w:pPr>
              <w:jc w:val="center"/>
              <w:rPr>
                <w:rFonts w:ascii="宋体"/>
                <w:sz w:val="18"/>
                <w:szCs w:val="18"/>
                <w:highlight w:val="none"/>
              </w:rPr>
            </w:pPr>
          </w:p>
        </w:tc>
        <w:tc>
          <w:tcPr>
            <w:tcW w:w="3211" w:type="dxa"/>
            <w:vAlign w:val="center"/>
          </w:tcPr>
          <w:p w14:paraId="0D5119F1">
            <w:pPr>
              <w:jc w:val="center"/>
              <w:rPr>
                <w:rFonts w:ascii="宋体"/>
                <w:sz w:val="18"/>
                <w:szCs w:val="18"/>
                <w:highlight w:val="none"/>
              </w:rPr>
            </w:pPr>
          </w:p>
        </w:tc>
        <w:tc>
          <w:tcPr>
            <w:tcW w:w="1834" w:type="dxa"/>
            <w:vAlign w:val="center"/>
          </w:tcPr>
          <w:p w14:paraId="252FF3A3">
            <w:pPr>
              <w:jc w:val="center"/>
              <w:rPr>
                <w:rFonts w:ascii="宋体"/>
                <w:sz w:val="18"/>
                <w:szCs w:val="18"/>
                <w:highlight w:val="none"/>
              </w:rPr>
            </w:pPr>
          </w:p>
        </w:tc>
      </w:tr>
      <w:tr w14:paraId="3D8C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5C29B9BD">
            <w:pPr>
              <w:jc w:val="center"/>
              <w:rPr>
                <w:rFonts w:ascii="宋体"/>
                <w:sz w:val="18"/>
                <w:szCs w:val="18"/>
                <w:highlight w:val="none"/>
              </w:rPr>
            </w:pPr>
            <w:r>
              <w:rPr>
                <w:rFonts w:ascii="宋体" w:hAnsi="宋体"/>
                <w:sz w:val="18"/>
                <w:szCs w:val="18"/>
                <w:highlight w:val="none"/>
              </w:rPr>
              <w:t>8</w:t>
            </w:r>
          </w:p>
        </w:tc>
        <w:tc>
          <w:tcPr>
            <w:tcW w:w="3211" w:type="dxa"/>
            <w:vAlign w:val="center"/>
          </w:tcPr>
          <w:p w14:paraId="4E5B9E74">
            <w:pPr>
              <w:jc w:val="center"/>
              <w:rPr>
                <w:rFonts w:ascii="宋体"/>
                <w:sz w:val="18"/>
                <w:szCs w:val="18"/>
                <w:highlight w:val="none"/>
              </w:rPr>
            </w:pPr>
          </w:p>
        </w:tc>
        <w:tc>
          <w:tcPr>
            <w:tcW w:w="3211" w:type="dxa"/>
            <w:vAlign w:val="center"/>
          </w:tcPr>
          <w:p w14:paraId="3B51C3B0">
            <w:pPr>
              <w:jc w:val="center"/>
              <w:rPr>
                <w:rFonts w:ascii="宋体"/>
                <w:sz w:val="18"/>
                <w:szCs w:val="18"/>
                <w:highlight w:val="none"/>
              </w:rPr>
            </w:pPr>
          </w:p>
        </w:tc>
        <w:tc>
          <w:tcPr>
            <w:tcW w:w="1834" w:type="dxa"/>
            <w:vAlign w:val="center"/>
          </w:tcPr>
          <w:p w14:paraId="423E80EF">
            <w:pPr>
              <w:jc w:val="center"/>
              <w:rPr>
                <w:rFonts w:ascii="宋体"/>
                <w:sz w:val="18"/>
                <w:szCs w:val="18"/>
                <w:highlight w:val="none"/>
              </w:rPr>
            </w:pPr>
          </w:p>
        </w:tc>
      </w:tr>
      <w:tr w14:paraId="1670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7AB125DB">
            <w:pPr>
              <w:jc w:val="center"/>
              <w:rPr>
                <w:rFonts w:ascii="宋体"/>
                <w:sz w:val="18"/>
                <w:szCs w:val="18"/>
                <w:highlight w:val="none"/>
              </w:rPr>
            </w:pPr>
            <w:r>
              <w:rPr>
                <w:rFonts w:ascii="宋体" w:hAnsi="宋体"/>
                <w:sz w:val="18"/>
                <w:szCs w:val="18"/>
                <w:highlight w:val="none"/>
              </w:rPr>
              <w:t>9</w:t>
            </w:r>
          </w:p>
        </w:tc>
        <w:tc>
          <w:tcPr>
            <w:tcW w:w="3211" w:type="dxa"/>
            <w:vAlign w:val="center"/>
          </w:tcPr>
          <w:p w14:paraId="0E59A4B9">
            <w:pPr>
              <w:jc w:val="center"/>
              <w:rPr>
                <w:rFonts w:ascii="宋体"/>
                <w:sz w:val="18"/>
                <w:szCs w:val="18"/>
                <w:highlight w:val="none"/>
              </w:rPr>
            </w:pPr>
          </w:p>
        </w:tc>
        <w:tc>
          <w:tcPr>
            <w:tcW w:w="3211" w:type="dxa"/>
            <w:vAlign w:val="center"/>
          </w:tcPr>
          <w:p w14:paraId="196BB817">
            <w:pPr>
              <w:jc w:val="center"/>
              <w:rPr>
                <w:rFonts w:ascii="宋体"/>
                <w:sz w:val="18"/>
                <w:szCs w:val="18"/>
                <w:highlight w:val="none"/>
              </w:rPr>
            </w:pPr>
          </w:p>
        </w:tc>
        <w:tc>
          <w:tcPr>
            <w:tcW w:w="1834" w:type="dxa"/>
            <w:vAlign w:val="center"/>
          </w:tcPr>
          <w:p w14:paraId="76D41424">
            <w:pPr>
              <w:jc w:val="center"/>
              <w:rPr>
                <w:rFonts w:ascii="宋体"/>
                <w:sz w:val="18"/>
                <w:szCs w:val="18"/>
                <w:highlight w:val="none"/>
              </w:rPr>
            </w:pPr>
          </w:p>
        </w:tc>
      </w:tr>
      <w:tr w14:paraId="3BDF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7C7FACD4">
            <w:pPr>
              <w:jc w:val="center"/>
              <w:rPr>
                <w:rFonts w:ascii="宋体"/>
                <w:sz w:val="18"/>
                <w:szCs w:val="18"/>
                <w:highlight w:val="none"/>
              </w:rPr>
            </w:pPr>
            <w:r>
              <w:rPr>
                <w:rFonts w:ascii="宋体" w:hAnsi="宋体"/>
                <w:sz w:val="18"/>
                <w:szCs w:val="18"/>
                <w:highlight w:val="none"/>
              </w:rPr>
              <w:t>1</w:t>
            </w:r>
            <w:r>
              <w:rPr>
                <w:rFonts w:ascii="宋体"/>
                <w:sz w:val="18"/>
                <w:szCs w:val="18"/>
                <w:highlight w:val="none"/>
              </w:rPr>
              <w:t>0</w:t>
            </w:r>
          </w:p>
        </w:tc>
        <w:tc>
          <w:tcPr>
            <w:tcW w:w="3211" w:type="dxa"/>
            <w:vAlign w:val="center"/>
          </w:tcPr>
          <w:p w14:paraId="52FCC3FE">
            <w:pPr>
              <w:jc w:val="center"/>
              <w:rPr>
                <w:rFonts w:ascii="宋体"/>
                <w:sz w:val="18"/>
                <w:szCs w:val="18"/>
                <w:highlight w:val="none"/>
              </w:rPr>
            </w:pPr>
          </w:p>
        </w:tc>
        <w:tc>
          <w:tcPr>
            <w:tcW w:w="3211" w:type="dxa"/>
            <w:vAlign w:val="center"/>
          </w:tcPr>
          <w:p w14:paraId="774AE36E">
            <w:pPr>
              <w:jc w:val="center"/>
              <w:rPr>
                <w:rFonts w:ascii="宋体"/>
                <w:sz w:val="18"/>
                <w:szCs w:val="18"/>
                <w:highlight w:val="none"/>
              </w:rPr>
            </w:pPr>
          </w:p>
        </w:tc>
        <w:tc>
          <w:tcPr>
            <w:tcW w:w="1834" w:type="dxa"/>
            <w:vAlign w:val="center"/>
          </w:tcPr>
          <w:p w14:paraId="7FBD4B08">
            <w:pPr>
              <w:jc w:val="center"/>
              <w:rPr>
                <w:rFonts w:ascii="宋体"/>
                <w:sz w:val="18"/>
                <w:szCs w:val="18"/>
                <w:highlight w:val="none"/>
              </w:rPr>
            </w:pPr>
          </w:p>
        </w:tc>
      </w:tr>
      <w:tr w14:paraId="0410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4" w:type="dxa"/>
            <w:vAlign w:val="center"/>
          </w:tcPr>
          <w:p w14:paraId="777A6913">
            <w:pPr>
              <w:jc w:val="center"/>
              <w:rPr>
                <w:rFonts w:ascii="宋体"/>
                <w:sz w:val="18"/>
                <w:szCs w:val="18"/>
                <w:highlight w:val="none"/>
              </w:rPr>
            </w:pPr>
            <w:r>
              <w:rPr>
                <w:rFonts w:hint="eastAsia" w:ascii="宋体"/>
                <w:sz w:val="18"/>
                <w:szCs w:val="18"/>
                <w:highlight w:val="none"/>
              </w:rPr>
              <w:t>……</w:t>
            </w:r>
          </w:p>
        </w:tc>
        <w:tc>
          <w:tcPr>
            <w:tcW w:w="3211" w:type="dxa"/>
            <w:vAlign w:val="center"/>
          </w:tcPr>
          <w:p w14:paraId="68D3A7CF">
            <w:pPr>
              <w:jc w:val="center"/>
              <w:rPr>
                <w:rFonts w:ascii="宋体"/>
                <w:sz w:val="18"/>
                <w:szCs w:val="18"/>
                <w:highlight w:val="none"/>
              </w:rPr>
            </w:pPr>
          </w:p>
        </w:tc>
        <w:tc>
          <w:tcPr>
            <w:tcW w:w="3211" w:type="dxa"/>
            <w:vAlign w:val="center"/>
          </w:tcPr>
          <w:p w14:paraId="33B83F70">
            <w:pPr>
              <w:jc w:val="center"/>
              <w:rPr>
                <w:rFonts w:ascii="宋体"/>
                <w:sz w:val="18"/>
                <w:szCs w:val="18"/>
                <w:highlight w:val="none"/>
              </w:rPr>
            </w:pPr>
          </w:p>
        </w:tc>
        <w:tc>
          <w:tcPr>
            <w:tcW w:w="1834" w:type="dxa"/>
            <w:vAlign w:val="center"/>
          </w:tcPr>
          <w:p w14:paraId="57063FAF">
            <w:pPr>
              <w:jc w:val="center"/>
              <w:rPr>
                <w:rFonts w:ascii="宋体"/>
                <w:sz w:val="18"/>
                <w:szCs w:val="18"/>
                <w:highlight w:val="none"/>
              </w:rPr>
            </w:pPr>
          </w:p>
        </w:tc>
      </w:tr>
      <w:tr w14:paraId="115E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vAlign w:val="center"/>
          </w:tcPr>
          <w:p w14:paraId="6F3D65C1">
            <w:pPr>
              <w:jc w:val="center"/>
              <w:rPr>
                <w:rFonts w:ascii="宋体"/>
                <w:sz w:val="18"/>
                <w:szCs w:val="18"/>
                <w:highlight w:val="none"/>
              </w:rPr>
            </w:pPr>
          </w:p>
        </w:tc>
        <w:tc>
          <w:tcPr>
            <w:tcW w:w="8256" w:type="dxa"/>
            <w:gridSpan w:val="3"/>
            <w:vAlign w:val="center"/>
          </w:tcPr>
          <w:p w14:paraId="4B3B9626">
            <w:pPr>
              <w:rPr>
                <w:rFonts w:ascii="宋体"/>
                <w:sz w:val="18"/>
                <w:szCs w:val="18"/>
                <w:highlight w:val="none"/>
              </w:rPr>
            </w:pPr>
            <w:r>
              <w:rPr>
                <w:rFonts w:hint="eastAsia" w:ascii="宋体" w:hAnsi="宋体"/>
                <w:sz w:val="18"/>
                <w:szCs w:val="18"/>
                <w:highlight w:val="none"/>
              </w:rPr>
              <w:t>除以上内容，我方对招标文件的其他技术及相关服务条款完全响应，无偏离。</w:t>
            </w:r>
          </w:p>
        </w:tc>
      </w:tr>
    </w:tbl>
    <w:p w14:paraId="00300F9C">
      <w:pPr>
        <w:rPr>
          <w:rFonts w:ascii="黑体" w:hAnsi="黑体" w:eastAsia="黑体"/>
          <w:sz w:val="18"/>
          <w:szCs w:val="18"/>
          <w:highlight w:val="none"/>
        </w:rPr>
      </w:pPr>
      <w:r>
        <w:rPr>
          <w:rFonts w:hint="eastAsia" w:ascii="黑体" w:hAnsi="黑体" w:eastAsia="黑体"/>
          <w:sz w:val="18"/>
          <w:szCs w:val="18"/>
          <w:highlight w:val="none"/>
        </w:rPr>
        <w:t>注：</w:t>
      </w:r>
      <w:r>
        <w:rPr>
          <w:rFonts w:hint="eastAsia" w:ascii="宋体" w:hAnsi="宋体"/>
          <w:sz w:val="18"/>
          <w:szCs w:val="18"/>
          <w:highlight w:val="none"/>
        </w:rPr>
        <w:t>投标人如果对技术及相关服务条款的响应有任何偏离（包括正偏离和负偏离），请在本表中详细填写，并作出说明（标明“正偏离”或“负偏离”）。除列明的内容外，如投标文件对招标文件的技术及相关服务条款完全满足（一致），应在本表中明确说明“完全响应，无偏离”。如不填写此表，则视为投标人不响应招标文件的技术及相关服务条款。投标人应对故意隐瞒负偏离的行为承担责任。</w:t>
      </w:r>
    </w:p>
    <w:p w14:paraId="19524E1B">
      <w:pPr>
        <w:spacing w:line="360" w:lineRule="auto"/>
        <w:ind w:firstLine="420" w:firstLineChars="200"/>
        <w:rPr>
          <w:rFonts w:ascii="宋体"/>
          <w:szCs w:val="21"/>
          <w:highlight w:val="none"/>
        </w:rPr>
      </w:pPr>
    </w:p>
    <w:p w14:paraId="6125E80F">
      <w:pPr>
        <w:spacing w:line="360" w:lineRule="auto"/>
        <w:ind w:firstLine="420" w:firstLineChars="200"/>
        <w:rPr>
          <w:rFonts w:ascii="宋体"/>
          <w:szCs w:val="21"/>
          <w:highlight w:val="none"/>
        </w:rPr>
      </w:pPr>
    </w:p>
    <w:bookmarkEnd w:id="101"/>
    <w:p w14:paraId="4B9E5AB1">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投标人：（盖单位公章）</w:t>
      </w:r>
    </w:p>
    <w:p w14:paraId="7A510B92">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法定代表人或其委托代理人：</w:t>
      </w:r>
      <w:r>
        <w:rPr>
          <w:rFonts w:hint="eastAsia" w:ascii="仿宋_GB2312" w:hAnsi="宋体" w:eastAsia="仿宋_GB2312"/>
          <w:sz w:val="24"/>
          <w:highlight w:val="none"/>
          <w:lang w:val="en-US" w:eastAsia="zh-CN"/>
        </w:rPr>
        <w:t>(</w:t>
      </w:r>
      <w:r>
        <w:rPr>
          <w:rFonts w:hint="eastAsia" w:ascii="仿宋_GB2312" w:hAnsi="宋体" w:eastAsia="仿宋_GB2312"/>
          <w:sz w:val="24"/>
          <w:highlight w:val="none"/>
        </w:rPr>
        <w:t>签字或印章）</w:t>
      </w:r>
    </w:p>
    <w:p w14:paraId="5988D61F">
      <w:pPr>
        <w:spacing w:line="360" w:lineRule="auto"/>
        <w:ind w:firstLine="4212" w:firstLineChars="1755"/>
        <w:rPr>
          <w:rFonts w:ascii="仿宋_GB2312" w:eastAsia="仿宋_GB2312"/>
          <w:sz w:val="24"/>
          <w:highlight w:val="none"/>
        </w:rPr>
      </w:pPr>
      <w:r>
        <w:rPr>
          <w:rFonts w:hint="eastAsia" w:ascii="仿宋_GB2312" w:hAnsi="宋体" w:eastAsia="仿宋_GB2312"/>
          <w:sz w:val="24"/>
          <w:highlight w:val="none"/>
        </w:rPr>
        <w:t>日期：年月日</w:t>
      </w:r>
    </w:p>
    <w:p w14:paraId="6439A809">
      <w:pPr>
        <w:spacing w:before="100" w:beforeAutospacing="1" w:after="100" w:afterAutospacing="1"/>
        <w:jc w:val="center"/>
        <w:outlineLvl w:val="1"/>
        <w:rPr>
          <w:rFonts w:ascii="黑体" w:eastAsia="黑体"/>
          <w:sz w:val="28"/>
          <w:szCs w:val="28"/>
          <w:highlight w:val="none"/>
        </w:rPr>
      </w:pPr>
      <w:r>
        <w:rPr>
          <w:rFonts w:hint="eastAsia" w:ascii="仿宋_GB2312" w:eastAsia="仿宋_GB2312"/>
          <w:sz w:val="24"/>
          <w:highlight w:val="none"/>
        </w:rPr>
        <w:br w:type="page"/>
      </w:r>
      <w:bookmarkStart w:id="103" w:name="_Toc11851519"/>
      <w:r>
        <w:rPr>
          <w:rFonts w:hint="eastAsia" w:ascii="黑体" w:eastAsia="黑体"/>
          <w:sz w:val="28"/>
          <w:szCs w:val="28"/>
          <w:highlight w:val="none"/>
        </w:rPr>
        <w:t>五、服务方案</w:t>
      </w:r>
      <w:bookmarkEnd w:id="103"/>
    </w:p>
    <w:p w14:paraId="3B2D658D">
      <w:pPr>
        <w:spacing w:before="100" w:beforeAutospacing="1" w:after="100" w:afterAutospacing="1"/>
        <w:jc w:val="center"/>
        <w:outlineLvl w:val="1"/>
        <w:rPr>
          <w:rFonts w:ascii="黑体" w:eastAsia="黑体"/>
          <w:sz w:val="28"/>
          <w:szCs w:val="28"/>
          <w:highlight w:val="none"/>
        </w:rPr>
      </w:pPr>
      <w:r>
        <w:rPr>
          <w:rFonts w:ascii="黑体" w:eastAsia="黑体"/>
          <w:sz w:val="24"/>
          <w:highlight w:val="none"/>
        </w:rPr>
        <w:br w:type="page"/>
      </w:r>
      <w:bookmarkStart w:id="104" w:name="_Toc11851520"/>
      <w:r>
        <w:rPr>
          <w:rFonts w:hint="eastAsia" w:ascii="黑体" w:eastAsia="黑体"/>
          <w:sz w:val="28"/>
          <w:szCs w:val="28"/>
          <w:highlight w:val="none"/>
        </w:rPr>
        <w:t>六、安全方案</w:t>
      </w:r>
      <w:bookmarkEnd w:id="104"/>
    </w:p>
    <w:p w14:paraId="65D11DA8">
      <w:pPr>
        <w:spacing w:before="100" w:beforeAutospacing="1" w:after="100" w:afterAutospacing="1"/>
        <w:jc w:val="center"/>
        <w:outlineLvl w:val="1"/>
        <w:rPr>
          <w:rFonts w:ascii="黑体" w:eastAsia="黑体"/>
          <w:sz w:val="28"/>
          <w:szCs w:val="28"/>
          <w:highlight w:val="none"/>
        </w:rPr>
      </w:pPr>
      <w:r>
        <w:rPr>
          <w:highlight w:val="none"/>
        </w:rPr>
        <w:br w:type="page"/>
      </w:r>
      <w:bookmarkStart w:id="105" w:name="_Toc11851521"/>
      <w:r>
        <w:rPr>
          <w:rFonts w:hint="eastAsia" w:ascii="黑体" w:eastAsia="黑体"/>
          <w:sz w:val="28"/>
          <w:szCs w:val="28"/>
          <w:highlight w:val="none"/>
        </w:rPr>
        <w:t>七、投标文件附表</w:t>
      </w:r>
      <w:bookmarkEnd w:id="105"/>
    </w:p>
    <w:p w14:paraId="56949661">
      <w:pPr>
        <w:spacing w:before="100" w:beforeAutospacing="1" w:after="100" w:afterAutospacing="1"/>
        <w:jc w:val="center"/>
        <w:outlineLvl w:val="2"/>
        <w:rPr>
          <w:rFonts w:ascii="黑体" w:hAnsi="黑体" w:eastAsia="黑体"/>
          <w:sz w:val="24"/>
          <w:highlight w:val="none"/>
        </w:rPr>
      </w:pPr>
      <w:bookmarkStart w:id="106" w:name="_Toc470102876"/>
      <w:bookmarkStart w:id="107" w:name="_Toc469953655"/>
      <w:bookmarkStart w:id="108" w:name="_Toc11851522"/>
      <w:bookmarkStart w:id="109" w:name="_Toc518244606"/>
      <w:r>
        <w:rPr>
          <w:rFonts w:ascii="黑体" w:hAnsi="黑体" w:eastAsia="黑体"/>
          <w:sz w:val="24"/>
          <w:highlight w:val="none"/>
        </w:rPr>
        <w:t>7</w:t>
      </w:r>
      <w:r>
        <w:rPr>
          <w:rFonts w:hint="eastAsia" w:ascii="黑体" w:hAnsi="黑体" w:eastAsia="黑体"/>
          <w:sz w:val="24"/>
          <w:highlight w:val="none"/>
        </w:rPr>
        <w:t>.1投标人基本情况表</w:t>
      </w:r>
      <w:bookmarkEnd w:id="106"/>
      <w:bookmarkEnd w:id="107"/>
      <w:bookmarkEnd w:id="108"/>
      <w:bookmarkEnd w:id="109"/>
    </w:p>
    <w:tbl>
      <w:tblPr>
        <w:tblStyle w:val="40"/>
        <w:tblW w:w="90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05"/>
        <w:gridCol w:w="3180"/>
        <w:gridCol w:w="1384"/>
        <w:gridCol w:w="2591"/>
      </w:tblGrid>
      <w:tr w14:paraId="0814EA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32F0F0A1">
            <w:pPr>
              <w:jc w:val="center"/>
              <w:rPr>
                <w:szCs w:val="21"/>
                <w:highlight w:val="none"/>
              </w:rPr>
            </w:pPr>
            <w:r>
              <w:rPr>
                <w:rFonts w:hint="eastAsia"/>
                <w:szCs w:val="21"/>
                <w:highlight w:val="none"/>
              </w:rPr>
              <w:t>机构名称</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3DA0CF5F">
            <w:pPr>
              <w:jc w:val="center"/>
              <w:rPr>
                <w:szCs w:val="21"/>
                <w:highlight w:val="none"/>
              </w:rPr>
            </w:pPr>
          </w:p>
        </w:tc>
      </w:tr>
      <w:tr w14:paraId="11D7C6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3B4C8730">
            <w:pPr>
              <w:jc w:val="center"/>
              <w:rPr>
                <w:szCs w:val="21"/>
                <w:highlight w:val="none"/>
              </w:rPr>
            </w:pPr>
            <w:r>
              <w:rPr>
                <w:rFonts w:hint="eastAsia"/>
                <w:szCs w:val="21"/>
                <w:highlight w:val="none"/>
              </w:rPr>
              <w:t>统一社会信用代码</w:t>
            </w:r>
          </w:p>
        </w:tc>
        <w:tc>
          <w:tcPr>
            <w:tcW w:w="3180" w:type="dxa"/>
            <w:tcBorders>
              <w:top w:val="single" w:color="auto" w:sz="4" w:space="0"/>
              <w:left w:val="single" w:color="auto" w:sz="4" w:space="0"/>
              <w:bottom w:val="single" w:color="auto" w:sz="4" w:space="0"/>
              <w:right w:val="single" w:color="auto" w:sz="4" w:space="0"/>
            </w:tcBorders>
            <w:vAlign w:val="center"/>
          </w:tcPr>
          <w:p w14:paraId="3171DF65">
            <w:pPr>
              <w:jc w:val="center"/>
              <w:rPr>
                <w:szCs w:val="21"/>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00D7C083">
            <w:pPr>
              <w:jc w:val="center"/>
              <w:rPr>
                <w:szCs w:val="21"/>
                <w:highlight w:val="none"/>
              </w:rPr>
            </w:pPr>
            <w:r>
              <w:rPr>
                <w:rFonts w:hint="eastAsia"/>
                <w:szCs w:val="21"/>
                <w:highlight w:val="none"/>
              </w:rPr>
              <w:t>单位类型</w:t>
            </w:r>
          </w:p>
        </w:tc>
        <w:tc>
          <w:tcPr>
            <w:tcW w:w="2591" w:type="dxa"/>
            <w:tcBorders>
              <w:top w:val="single" w:color="auto" w:sz="4" w:space="0"/>
              <w:left w:val="single" w:color="auto" w:sz="4" w:space="0"/>
              <w:bottom w:val="single" w:color="auto" w:sz="4" w:space="0"/>
              <w:right w:val="single" w:color="auto" w:sz="4" w:space="0"/>
            </w:tcBorders>
            <w:vAlign w:val="center"/>
          </w:tcPr>
          <w:p w14:paraId="2E33AC33">
            <w:pPr>
              <w:jc w:val="center"/>
              <w:rPr>
                <w:szCs w:val="21"/>
                <w:highlight w:val="none"/>
              </w:rPr>
            </w:pPr>
          </w:p>
        </w:tc>
      </w:tr>
      <w:tr w14:paraId="4E8BAB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267F732B">
            <w:pPr>
              <w:jc w:val="center"/>
              <w:rPr>
                <w:szCs w:val="21"/>
                <w:highlight w:val="none"/>
              </w:rPr>
            </w:pPr>
            <w:r>
              <w:rPr>
                <w:rFonts w:hint="eastAsia"/>
                <w:szCs w:val="21"/>
                <w:highlight w:val="none"/>
              </w:rPr>
              <w:t>法定代表人</w:t>
            </w:r>
          </w:p>
        </w:tc>
        <w:tc>
          <w:tcPr>
            <w:tcW w:w="3180" w:type="dxa"/>
            <w:tcBorders>
              <w:top w:val="single" w:color="auto" w:sz="4" w:space="0"/>
              <w:left w:val="single" w:color="auto" w:sz="4" w:space="0"/>
              <w:bottom w:val="single" w:color="auto" w:sz="4" w:space="0"/>
              <w:right w:val="single" w:color="auto" w:sz="4" w:space="0"/>
            </w:tcBorders>
            <w:vAlign w:val="center"/>
          </w:tcPr>
          <w:p w14:paraId="0D61BE19">
            <w:pPr>
              <w:jc w:val="center"/>
              <w:rPr>
                <w:szCs w:val="21"/>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77EFB4D2">
            <w:pPr>
              <w:jc w:val="center"/>
              <w:rPr>
                <w:szCs w:val="21"/>
                <w:highlight w:val="none"/>
              </w:rPr>
            </w:pPr>
            <w:r>
              <w:rPr>
                <w:rFonts w:hint="eastAsia"/>
                <w:szCs w:val="21"/>
                <w:highlight w:val="none"/>
              </w:rPr>
              <w:t>注册资本</w:t>
            </w:r>
          </w:p>
        </w:tc>
        <w:tc>
          <w:tcPr>
            <w:tcW w:w="2591" w:type="dxa"/>
            <w:tcBorders>
              <w:top w:val="single" w:color="auto" w:sz="4" w:space="0"/>
              <w:left w:val="single" w:color="auto" w:sz="4" w:space="0"/>
              <w:bottom w:val="single" w:color="auto" w:sz="4" w:space="0"/>
              <w:right w:val="single" w:color="auto" w:sz="4" w:space="0"/>
            </w:tcBorders>
            <w:vAlign w:val="center"/>
          </w:tcPr>
          <w:p w14:paraId="3DF257FB">
            <w:pPr>
              <w:jc w:val="center"/>
              <w:rPr>
                <w:szCs w:val="21"/>
                <w:highlight w:val="none"/>
              </w:rPr>
            </w:pPr>
          </w:p>
        </w:tc>
      </w:tr>
      <w:tr w14:paraId="3A1E02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11B1DE8E">
            <w:pPr>
              <w:jc w:val="center"/>
              <w:rPr>
                <w:szCs w:val="21"/>
                <w:highlight w:val="none"/>
              </w:rPr>
            </w:pPr>
            <w:r>
              <w:rPr>
                <w:rFonts w:hint="eastAsia"/>
                <w:szCs w:val="21"/>
                <w:highlight w:val="none"/>
              </w:rPr>
              <w:t>成立时间</w:t>
            </w:r>
          </w:p>
        </w:tc>
        <w:tc>
          <w:tcPr>
            <w:tcW w:w="3180" w:type="dxa"/>
            <w:tcBorders>
              <w:top w:val="single" w:color="auto" w:sz="4" w:space="0"/>
              <w:left w:val="single" w:color="auto" w:sz="4" w:space="0"/>
              <w:bottom w:val="single" w:color="auto" w:sz="4" w:space="0"/>
              <w:right w:val="single" w:color="auto" w:sz="4" w:space="0"/>
            </w:tcBorders>
            <w:vAlign w:val="center"/>
          </w:tcPr>
          <w:p w14:paraId="16AB29CB">
            <w:pPr>
              <w:jc w:val="center"/>
              <w:rPr>
                <w:szCs w:val="21"/>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10D57A0A">
            <w:pPr>
              <w:jc w:val="center"/>
              <w:rPr>
                <w:szCs w:val="21"/>
                <w:highlight w:val="none"/>
              </w:rPr>
            </w:pPr>
            <w:r>
              <w:rPr>
                <w:rFonts w:hint="eastAsia"/>
                <w:szCs w:val="21"/>
                <w:highlight w:val="none"/>
              </w:rPr>
              <w:t>经营期限</w:t>
            </w:r>
          </w:p>
        </w:tc>
        <w:tc>
          <w:tcPr>
            <w:tcW w:w="2591" w:type="dxa"/>
            <w:tcBorders>
              <w:top w:val="single" w:color="auto" w:sz="4" w:space="0"/>
              <w:left w:val="single" w:color="auto" w:sz="4" w:space="0"/>
              <w:bottom w:val="single" w:color="auto" w:sz="4" w:space="0"/>
              <w:right w:val="single" w:color="auto" w:sz="4" w:space="0"/>
            </w:tcBorders>
            <w:vAlign w:val="center"/>
          </w:tcPr>
          <w:p w14:paraId="481C21A9">
            <w:pPr>
              <w:jc w:val="center"/>
              <w:rPr>
                <w:szCs w:val="21"/>
                <w:highlight w:val="none"/>
              </w:rPr>
            </w:pPr>
          </w:p>
        </w:tc>
      </w:tr>
      <w:tr w14:paraId="4348F6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17936D23">
            <w:pPr>
              <w:jc w:val="center"/>
              <w:rPr>
                <w:szCs w:val="21"/>
                <w:highlight w:val="none"/>
              </w:rPr>
            </w:pPr>
            <w:r>
              <w:rPr>
                <w:rFonts w:hint="eastAsia"/>
                <w:szCs w:val="21"/>
                <w:highlight w:val="none"/>
              </w:rPr>
              <w:t>邮政编码</w:t>
            </w:r>
          </w:p>
        </w:tc>
        <w:tc>
          <w:tcPr>
            <w:tcW w:w="3180" w:type="dxa"/>
            <w:tcBorders>
              <w:top w:val="single" w:color="auto" w:sz="4" w:space="0"/>
              <w:left w:val="single" w:color="auto" w:sz="4" w:space="0"/>
              <w:bottom w:val="single" w:color="auto" w:sz="4" w:space="0"/>
              <w:right w:val="single" w:color="auto" w:sz="4" w:space="0"/>
            </w:tcBorders>
            <w:vAlign w:val="center"/>
          </w:tcPr>
          <w:p w14:paraId="20BC0C81">
            <w:pPr>
              <w:jc w:val="center"/>
              <w:rPr>
                <w:szCs w:val="21"/>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5FD398E3">
            <w:pPr>
              <w:jc w:val="center"/>
              <w:rPr>
                <w:szCs w:val="21"/>
                <w:highlight w:val="none"/>
              </w:rPr>
            </w:pPr>
            <w:r>
              <w:rPr>
                <w:rFonts w:hint="eastAsia"/>
                <w:szCs w:val="21"/>
                <w:highlight w:val="none"/>
              </w:rPr>
              <w:t>员工总数</w:t>
            </w:r>
          </w:p>
        </w:tc>
        <w:tc>
          <w:tcPr>
            <w:tcW w:w="2591" w:type="dxa"/>
            <w:tcBorders>
              <w:top w:val="single" w:color="auto" w:sz="4" w:space="0"/>
              <w:left w:val="single" w:color="auto" w:sz="4" w:space="0"/>
              <w:bottom w:val="single" w:color="auto" w:sz="4" w:space="0"/>
              <w:right w:val="single" w:color="auto" w:sz="4" w:space="0"/>
            </w:tcBorders>
            <w:vAlign w:val="center"/>
          </w:tcPr>
          <w:p w14:paraId="0935E8F9">
            <w:pPr>
              <w:jc w:val="center"/>
              <w:rPr>
                <w:szCs w:val="21"/>
                <w:highlight w:val="none"/>
              </w:rPr>
            </w:pPr>
          </w:p>
        </w:tc>
      </w:tr>
      <w:tr w14:paraId="6DF14E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6875ED3D">
            <w:pPr>
              <w:jc w:val="center"/>
              <w:rPr>
                <w:szCs w:val="21"/>
                <w:highlight w:val="none"/>
              </w:rPr>
            </w:pPr>
            <w:r>
              <w:rPr>
                <w:rFonts w:hint="eastAsia"/>
                <w:szCs w:val="21"/>
                <w:highlight w:val="none"/>
              </w:rPr>
              <w:t>注册地址</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02927211">
            <w:pPr>
              <w:jc w:val="left"/>
              <w:rPr>
                <w:rFonts w:ascii="宋体" w:hAnsi="宋体"/>
                <w:szCs w:val="21"/>
                <w:highlight w:val="none"/>
              </w:rPr>
            </w:pPr>
          </w:p>
        </w:tc>
      </w:tr>
      <w:tr w14:paraId="3A67FB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2673C952">
            <w:pPr>
              <w:jc w:val="center"/>
              <w:rPr>
                <w:szCs w:val="21"/>
                <w:highlight w:val="none"/>
              </w:rPr>
            </w:pPr>
            <w:r>
              <w:rPr>
                <w:rFonts w:hint="eastAsia"/>
                <w:szCs w:val="21"/>
                <w:highlight w:val="none"/>
              </w:rPr>
              <w:t>经营范围</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59A49C35">
            <w:pPr>
              <w:jc w:val="left"/>
              <w:rPr>
                <w:szCs w:val="21"/>
                <w:highlight w:val="none"/>
              </w:rPr>
            </w:pPr>
          </w:p>
        </w:tc>
      </w:tr>
      <w:tr w14:paraId="2EA3E7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6934A2B5">
            <w:pPr>
              <w:jc w:val="center"/>
              <w:rPr>
                <w:szCs w:val="21"/>
                <w:highlight w:val="none"/>
              </w:rPr>
            </w:pPr>
            <w:r>
              <w:rPr>
                <w:rFonts w:hint="eastAsia"/>
                <w:szCs w:val="21"/>
                <w:highlight w:val="none"/>
              </w:rPr>
              <w:t>联系方式</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5EE1E16C">
            <w:pPr>
              <w:jc w:val="left"/>
              <w:rPr>
                <w:szCs w:val="21"/>
                <w:highlight w:val="none"/>
              </w:rPr>
            </w:pPr>
          </w:p>
        </w:tc>
      </w:tr>
      <w:tr w14:paraId="33A6F3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0013741C">
            <w:pPr>
              <w:jc w:val="center"/>
              <w:rPr>
                <w:szCs w:val="21"/>
                <w:highlight w:val="none"/>
              </w:rPr>
            </w:pPr>
            <w:r>
              <w:rPr>
                <w:rFonts w:hint="eastAsia"/>
                <w:szCs w:val="21"/>
                <w:highlight w:val="none"/>
              </w:rPr>
              <w:t>基本账户开户银行</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1D513E2A">
            <w:pPr>
              <w:jc w:val="left"/>
              <w:rPr>
                <w:szCs w:val="21"/>
                <w:highlight w:val="none"/>
              </w:rPr>
            </w:pPr>
          </w:p>
        </w:tc>
      </w:tr>
      <w:tr w14:paraId="5E38F6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6FA8343F">
            <w:pPr>
              <w:jc w:val="center"/>
              <w:rPr>
                <w:szCs w:val="21"/>
                <w:highlight w:val="none"/>
              </w:rPr>
            </w:pPr>
            <w:r>
              <w:rPr>
                <w:rFonts w:hint="eastAsia"/>
                <w:szCs w:val="21"/>
                <w:highlight w:val="none"/>
              </w:rPr>
              <w:t>基本账户银行账号</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234F1D56">
            <w:pPr>
              <w:jc w:val="left"/>
              <w:rPr>
                <w:szCs w:val="21"/>
                <w:highlight w:val="none"/>
              </w:rPr>
            </w:pPr>
          </w:p>
        </w:tc>
      </w:tr>
      <w:tr w14:paraId="0757DC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2EF44B98">
            <w:pPr>
              <w:jc w:val="center"/>
              <w:rPr>
                <w:szCs w:val="21"/>
                <w:highlight w:val="none"/>
              </w:rPr>
            </w:pPr>
            <w:r>
              <w:rPr>
                <w:rFonts w:hint="eastAsia"/>
                <w:szCs w:val="21"/>
                <w:highlight w:val="none"/>
              </w:rPr>
              <w:t>招标文件要求投标人需具有的各类资质证书</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46116F83">
            <w:pPr>
              <w:jc w:val="left"/>
              <w:rPr>
                <w:szCs w:val="21"/>
                <w:highlight w:val="none"/>
              </w:rPr>
            </w:pPr>
            <w:r>
              <w:rPr>
                <w:rFonts w:hint="eastAsia"/>
                <w:szCs w:val="21"/>
                <w:highlight w:val="none"/>
              </w:rPr>
              <w:t>类型：等级：证书号：</w:t>
            </w:r>
          </w:p>
        </w:tc>
      </w:tr>
      <w:tr w14:paraId="38C6D1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05817153">
            <w:pPr>
              <w:jc w:val="center"/>
              <w:rPr>
                <w:szCs w:val="21"/>
                <w:highlight w:val="none"/>
              </w:rPr>
            </w:pPr>
            <w:r>
              <w:rPr>
                <w:rFonts w:hint="eastAsia"/>
                <w:szCs w:val="21"/>
                <w:highlight w:val="none"/>
              </w:rPr>
              <w:t>投标人关联企业情况（包括但不限于与投标人法定代表人为同一人或者存在控股、管理关系的不同单位）</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4E326CB4">
            <w:pPr>
              <w:jc w:val="left"/>
              <w:rPr>
                <w:szCs w:val="21"/>
                <w:highlight w:val="none"/>
              </w:rPr>
            </w:pPr>
          </w:p>
        </w:tc>
      </w:tr>
      <w:tr w14:paraId="5F6035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14:paraId="7997CFF4">
            <w:pPr>
              <w:jc w:val="center"/>
              <w:rPr>
                <w:szCs w:val="21"/>
                <w:highlight w:val="none"/>
              </w:rPr>
            </w:pPr>
            <w:r>
              <w:rPr>
                <w:rFonts w:hint="eastAsia"/>
                <w:szCs w:val="21"/>
                <w:highlight w:val="none"/>
              </w:rPr>
              <w:t>备注</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6CD0C92C">
            <w:pPr>
              <w:rPr>
                <w:szCs w:val="21"/>
                <w:highlight w:val="none"/>
              </w:rPr>
            </w:pPr>
          </w:p>
          <w:p w14:paraId="0F6AC310">
            <w:pPr>
              <w:rPr>
                <w:szCs w:val="21"/>
                <w:highlight w:val="none"/>
              </w:rPr>
            </w:pPr>
          </w:p>
          <w:p w14:paraId="2CB56C7E">
            <w:pPr>
              <w:rPr>
                <w:szCs w:val="21"/>
                <w:highlight w:val="none"/>
              </w:rPr>
            </w:pPr>
          </w:p>
          <w:p w14:paraId="59E1DC68">
            <w:pPr>
              <w:rPr>
                <w:szCs w:val="21"/>
                <w:highlight w:val="none"/>
              </w:rPr>
            </w:pPr>
          </w:p>
        </w:tc>
      </w:tr>
    </w:tbl>
    <w:p w14:paraId="6DFF46CF">
      <w:pPr>
        <w:rPr>
          <w:rFonts w:ascii="黑体" w:hAnsi="黑体" w:eastAsia="黑体"/>
          <w:sz w:val="18"/>
          <w:szCs w:val="18"/>
          <w:highlight w:val="none"/>
        </w:rPr>
      </w:pPr>
      <w:r>
        <w:rPr>
          <w:rFonts w:hint="eastAsia" w:ascii="黑体" w:hAnsi="黑体" w:eastAsia="黑体"/>
          <w:sz w:val="18"/>
          <w:szCs w:val="18"/>
          <w:highlight w:val="none"/>
        </w:rPr>
        <w:t>注：</w:t>
      </w:r>
    </w:p>
    <w:p w14:paraId="7A23A271">
      <w:pPr>
        <w:ind w:firstLine="360" w:firstLineChars="200"/>
        <w:rPr>
          <w:rFonts w:ascii="宋体" w:hAnsi="宋体"/>
          <w:sz w:val="18"/>
          <w:szCs w:val="18"/>
          <w:highlight w:val="none"/>
        </w:rPr>
      </w:pPr>
      <w:r>
        <w:rPr>
          <w:rFonts w:hint="eastAsia" w:ascii="宋体" w:hAnsi="宋体"/>
          <w:sz w:val="18"/>
          <w:szCs w:val="18"/>
          <w:highlight w:val="none"/>
        </w:rPr>
        <w:t>1.随本表附：投标人文字简介（若需要）；营业执照；基本账户开户证明；资质证书等材料。</w:t>
      </w:r>
    </w:p>
    <w:p w14:paraId="53873604">
      <w:pPr>
        <w:ind w:firstLine="360" w:firstLineChars="200"/>
        <w:rPr>
          <w:rFonts w:ascii="宋体" w:hAnsi="宋体"/>
          <w:sz w:val="18"/>
          <w:szCs w:val="18"/>
          <w:highlight w:val="none"/>
        </w:rPr>
      </w:pPr>
      <w:r>
        <w:rPr>
          <w:rFonts w:hint="eastAsia" w:ascii="宋体" w:hAnsi="宋体"/>
          <w:sz w:val="18"/>
          <w:szCs w:val="18"/>
          <w:highlight w:val="none"/>
        </w:rPr>
        <w:br w:type="page"/>
      </w:r>
    </w:p>
    <w:p w14:paraId="362F41BC">
      <w:pPr>
        <w:spacing w:before="100" w:beforeAutospacing="1" w:after="100" w:afterAutospacing="1"/>
        <w:jc w:val="center"/>
        <w:outlineLvl w:val="2"/>
        <w:rPr>
          <w:rFonts w:ascii="黑体" w:hAnsi="黑体" w:eastAsia="黑体"/>
          <w:sz w:val="24"/>
          <w:highlight w:val="none"/>
        </w:rPr>
      </w:pPr>
      <w:bookmarkStart w:id="110" w:name="_Toc518244610"/>
      <w:bookmarkStart w:id="111" w:name="_Toc11851525"/>
      <w:bookmarkStart w:id="112" w:name="_Toc470877013"/>
      <w:r>
        <w:rPr>
          <w:rFonts w:ascii="黑体" w:hAnsi="黑体" w:eastAsia="黑体"/>
          <w:sz w:val="24"/>
          <w:highlight w:val="none"/>
        </w:rPr>
        <w:t>7</w:t>
      </w:r>
      <w:r>
        <w:rPr>
          <w:rFonts w:hint="eastAsia" w:ascii="黑体" w:hAnsi="黑体" w:eastAsia="黑体"/>
          <w:sz w:val="24"/>
          <w:highlight w:val="none"/>
        </w:rPr>
        <w:t>.</w:t>
      </w:r>
      <w:r>
        <w:rPr>
          <w:rFonts w:hint="eastAsia" w:ascii="黑体" w:hAnsi="黑体" w:eastAsia="黑体"/>
          <w:sz w:val="24"/>
          <w:highlight w:val="none"/>
          <w:lang w:val="en-US" w:eastAsia="zh-CN"/>
        </w:rPr>
        <w:t>2</w:t>
      </w:r>
      <w:r>
        <w:rPr>
          <w:rFonts w:hint="eastAsia" w:ascii="黑体" w:hAnsi="黑体" w:eastAsia="黑体"/>
          <w:sz w:val="24"/>
          <w:highlight w:val="none"/>
        </w:rPr>
        <w:t>信用情况表</w:t>
      </w:r>
      <w:bookmarkEnd w:id="110"/>
      <w:bookmarkEnd w:id="111"/>
      <w:bookmarkEnd w:id="112"/>
    </w:p>
    <w:tbl>
      <w:tblPr>
        <w:tblStyle w:val="4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808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5" w:hRule="atLeast"/>
        </w:trPr>
        <w:tc>
          <w:tcPr>
            <w:tcW w:w="9060" w:type="dxa"/>
            <w:tcBorders>
              <w:top w:val="single" w:color="auto" w:sz="4" w:space="0"/>
              <w:left w:val="single" w:color="auto" w:sz="4" w:space="0"/>
              <w:bottom w:val="single" w:color="auto" w:sz="4" w:space="0"/>
              <w:right w:val="single" w:color="auto" w:sz="4" w:space="0"/>
            </w:tcBorders>
          </w:tcPr>
          <w:p w14:paraId="44BDAC93">
            <w:pPr>
              <w:spacing w:line="360" w:lineRule="auto"/>
              <w:ind w:firstLine="420" w:firstLineChars="200"/>
              <w:rPr>
                <w:rFonts w:ascii="宋体" w:hAnsi="宋体"/>
                <w:szCs w:val="21"/>
                <w:highlight w:val="none"/>
              </w:rPr>
            </w:pPr>
          </w:p>
          <w:p w14:paraId="614AB17A">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为表示投标人信用良好，应提供包括但不限于以下材料</w:t>
            </w:r>
            <w:r>
              <w:rPr>
                <w:rFonts w:hint="eastAsia" w:ascii="仿宋_GB2312" w:hAnsi="宋体" w:eastAsia="仿宋_GB2312" w:cs="宋体"/>
                <w:sz w:val="24"/>
                <w:highlight w:val="none"/>
              </w:rPr>
              <w:t>（在对应证明材料前的括号中打“√”）</w:t>
            </w:r>
            <w:r>
              <w:rPr>
                <w:rFonts w:hint="eastAsia" w:ascii="仿宋_GB2312" w:hAnsi="宋体" w:eastAsia="仿宋_GB2312"/>
                <w:sz w:val="24"/>
                <w:highlight w:val="none"/>
              </w:rPr>
              <w:t>：</w:t>
            </w:r>
          </w:p>
          <w:p w14:paraId="339ADAC6">
            <w:pPr>
              <w:spacing w:line="360" w:lineRule="auto"/>
              <w:ind w:firstLine="480" w:firstLineChars="200"/>
              <w:rPr>
                <w:rFonts w:ascii="仿宋_GB2312" w:hAnsi="宋体" w:eastAsia="仿宋_GB2312"/>
                <w:sz w:val="24"/>
                <w:highlight w:val="none"/>
              </w:rPr>
            </w:pPr>
            <w:bookmarkStart w:id="113" w:name="_Hlk514766098"/>
            <w:r>
              <w:rPr>
                <w:rFonts w:hint="eastAsia" w:ascii="仿宋_GB2312" w:hAnsi="宋体" w:eastAsia="仿宋_GB2312"/>
                <w:sz w:val="24"/>
                <w:highlight w:val="none"/>
              </w:rPr>
              <w:t>（</w:t>
            </w:r>
            <w:r>
              <w:rPr>
                <w:rFonts w:hint="eastAsia" w:ascii="仿宋_GB2312" w:hAnsi="宋体" w:eastAsia="仿宋_GB2312" w:cs="宋体"/>
                <w:sz w:val="24"/>
                <w:highlight w:val="none"/>
              </w:rPr>
              <w:t>√</w:t>
            </w:r>
            <w:r>
              <w:rPr>
                <w:rFonts w:hint="eastAsia" w:ascii="仿宋_GB2312" w:hAnsi="宋体" w:eastAsia="仿宋_GB2312"/>
                <w:sz w:val="24"/>
                <w:highlight w:val="none"/>
              </w:rPr>
              <w:t>）在经营活动中没有重大违法记录的书面声明</w:t>
            </w:r>
            <w:bookmarkEnd w:id="113"/>
          </w:p>
          <w:p w14:paraId="1FC94A0A">
            <w:pPr>
              <w:spacing w:line="360" w:lineRule="auto"/>
              <w:ind w:firstLine="420" w:firstLineChars="200"/>
              <w:rPr>
                <w:rFonts w:ascii="宋体" w:hAnsi="宋体"/>
                <w:szCs w:val="21"/>
                <w:highlight w:val="none"/>
              </w:rPr>
            </w:pPr>
          </w:p>
        </w:tc>
      </w:tr>
    </w:tbl>
    <w:p w14:paraId="2C86F2C5">
      <w:pPr>
        <w:spacing w:before="100" w:beforeAutospacing="1" w:after="100" w:afterAutospacing="1"/>
        <w:jc w:val="center"/>
        <w:outlineLvl w:val="2"/>
        <w:rPr>
          <w:rFonts w:ascii="黑体" w:hAnsi="黑体" w:eastAsia="黑体"/>
          <w:sz w:val="24"/>
          <w:highlight w:val="none"/>
        </w:rPr>
      </w:pPr>
      <w:r>
        <w:rPr>
          <w:rFonts w:hint="eastAsia" w:ascii="黑体" w:hAnsi="黑体" w:eastAsia="黑体"/>
          <w:sz w:val="18"/>
          <w:szCs w:val="18"/>
          <w:highlight w:val="none"/>
        </w:rPr>
        <w:br w:type="page"/>
      </w:r>
      <w:bookmarkStart w:id="114" w:name="_Toc470719150"/>
      <w:bookmarkStart w:id="115" w:name="_Toc11851526"/>
      <w:bookmarkStart w:id="116" w:name="_Toc518244611"/>
      <w:r>
        <w:rPr>
          <w:rFonts w:ascii="黑体" w:hAnsi="黑体" w:eastAsia="黑体"/>
          <w:sz w:val="24"/>
          <w:highlight w:val="none"/>
        </w:rPr>
        <w:t>7</w:t>
      </w:r>
      <w:r>
        <w:rPr>
          <w:rFonts w:hint="eastAsia" w:ascii="黑体" w:hAnsi="黑体" w:eastAsia="黑体"/>
          <w:sz w:val="24"/>
          <w:highlight w:val="none"/>
        </w:rPr>
        <w:t>.</w:t>
      </w:r>
      <w:r>
        <w:rPr>
          <w:rFonts w:hint="eastAsia" w:ascii="黑体" w:hAnsi="黑体" w:eastAsia="黑体"/>
          <w:sz w:val="24"/>
          <w:highlight w:val="none"/>
          <w:lang w:val="en-US" w:eastAsia="zh-CN"/>
        </w:rPr>
        <w:t>3</w:t>
      </w:r>
      <w:r>
        <w:rPr>
          <w:rFonts w:hint="eastAsia" w:ascii="黑体" w:hAnsi="黑体" w:eastAsia="黑体"/>
          <w:sz w:val="24"/>
          <w:highlight w:val="none"/>
        </w:rPr>
        <w:t>同类项目业绩情况表</w:t>
      </w:r>
      <w:bookmarkEnd w:id="114"/>
      <w:bookmarkEnd w:id="115"/>
      <w:bookmarkEnd w:id="116"/>
    </w:p>
    <w:tbl>
      <w:tblPr>
        <w:tblStyle w:val="40"/>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2"/>
        <w:gridCol w:w="1513"/>
        <w:gridCol w:w="1682"/>
        <w:gridCol w:w="1676"/>
        <w:gridCol w:w="1370"/>
        <w:gridCol w:w="1977"/>
      </w:tblGrid>
      <w:tr w14:paraId="778CE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47385C">
            <w:pPr>
              <w:jc w:val="center"/>
              <w:rPr>
                <w:rFonts w:ascii="黑体" w:hAnsi="黑体" w:eastAsia="黑体"/>
                <w:szCs w:val="21"/>
                <w:highlight w:val="none"/>
              </w:rPr>
            </w:pPr>
            <w:r>
              <w:rPr>
                <w:rFonts w:hint="eastAsia" w:ascii="黑体" w:hAnsi="黑体" w:eastAsia="黑体"/>
                <w:szCs w:val="21"/>
                <w:highlight w:val="none"/>
              </w:rPr>
              <w:t>序号</w:t>
            </w: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0AF74F">
            <w:pPr>
              <w:jc w:val="center"/>
              <w:rPr>
                <w:rFonts w:ascii="黑体" w:hAnsi="黑体" w:eastAsia="黑体"/>
                <w:szCs w:val="21"/>
                <w:highlight w:val="none"/>
              </w:rPr>
            </w:pPr>
            <w:r>
              <w:rPr>
                <w:rFonts w:hint="eastAsia" w:ascii="黑体" w:hAnsi="黑体" w:eastAsia="黑体"/>
                <w:szCs w:val="21"/>
                <w:highlight w:val="none"/>
              </w:rPr>
              <w:t>项目名称</w:t>
            </w: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8A692D7">
            <w:pPr>
              <w:jc w:val="center"/>
              <w:rPr>
                <w:rFonts w:ascii="黑体" w:hAnsi="黑体" w:eastAsia="黑体"/>
                <w:szCs w:val="21"/>
                <w:highlight w:val="none"/>
              </w:rPr>
            </w:pPr>
            <w:r>
              <w:rPr>
                <w:rFonts w:hint="eastAsia" w:ascii="黑体" w:hAnsi="黑体" w:eastAsia="黑体"/>
                <w:szCs w:val="21"/>
                <w:highlight w:val="none"/>
              </w:rPr>
              <w:t>采购单位</w:t>
            </w: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CD12FA9">
            <w:pPr>
              <w:jc w:val="center"/>
              <w:rPr>
                <w:rFonts w:ascii="黑体" w:hAnsi="黑体" w:eastAsia="黑体"/>
                <w:szCs w:val="21"/>
                <w:highlight w:val="none"/>
              </w:rPr>
            </w:pPr>
            <w:r>
              <w:rPr>
                <w:rFonts w:hint="eastAsia" w:ascii="黑体" w:hAnsi="黑体" w:eastAsia="黑体"/>
                <w:szCs w:val="21"/>
                <w:highlight w:val="none"/>
              </w:rPr>
              <w:t>就餐人数</w:t>
            </w: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D5556A">
            <w:pPr>
              <w:jc w:val="center"/>
              <w:rPr>
                <w:rFonts w:ascii="黑体" w:hAnsi="黑体" w:eastAsia="黑体"/>
                <w:szCs w:val="21"/>
                <w:highlight w:val="none"/>
              </w:rPr>
            </w:pPr>
            <w:r>
              <w:rPr>
                <w:rFonts w:hint="eastAsia" w:ascii="黑体" w:hAnsi="黑体" w:eastAsia="黑体"/>
                <w:szCs w:val="21"/>
                <w:highlight w:val="none"/>
              </w:rPr>
              <w:t>合同金额</w:t>
            </w: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971FBA9">
            <w:pPr>
              <w:jc w:val="center"/>
              <w:rPr>
                <w:rFonts w:ascii="黑体" w:hAnsi="黑体" w:eastAsia="黑体"/>
                <w:szCs w:val="21"/>
                <w:highlight w:val="none"/>
              </w:rPr>
            </w:pPr>
            <w:r>
              <w:rPr>
                <w:rFonts w:hint="eastAsia" w:ascii="黑体" w:hAnsi="黑体" w:eastAsia="黑体"/>
                <w:szCs w:val="21"/>
                <w:highlight w:val="none"/>
              </w:rPr>
              <w:t>业主联系人及电话</w:t>
            </w:r>
          </w:p>
        </w:tc>
      </w:tr>
      <w:tr w14:paraId="7CCBC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445D0A">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85F274">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F6DD3D">
            <w:pPr>
              <w:jc w:val="center"/>
              <w:rPr>
                <w:rFonts w:ascii="宋体" w:hAnsi="宋体"/>
                <w:spacing w:val="-20"/>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778E69">
            <w:pPr>
              <w:jc w:val="center"/>
              <w:rPr>
                <w:rFonts w:ascii="宋体" w:hAnsi="宋体"/>
                <w:spacing w:val="-20"/>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FDD0F5">
            <w:pPr>
              <w:jc w:val="center"/>
              <w:rPr>
                <w:rFonts w:ascii="宋体" w:hAnsi="宋体"/>
                <w:spacing w:val="-26"/>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80DD589">
            <w:pPr>
              <w:jc w:val="center"/>
              <w:rPr>
                <w:rFonts w:ascii="宋体" w:hAnsi="宋体"/>
                <w:spacing w:val="-26"/>
                <w:szCs w:val="21"/>
                <w:highlight w:val="none"/>
              </w:rPr>
            </w:pPr>
          </w:p>
        </w:tc>
      </w:tr>
      <w:tr w14:paraId="707DA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CC863C">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AEE796">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7706C8">
            <w:pPr>
              <w:jc w:val="center"/>
              <w:rPr>
                <w:rFonts w:ascii="宋体" w:hAnsi="宋体"/>
                <w:spacing w:val="-20"/>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3B1A5B">
            <w:pPr>
              <w:jc w:val="center"/>
              <w:rPr>
                <w:rFonts w:ascii="宋体" w:hAnsi="宋体"/>
                <w:spacing w:val="-20"/>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E960ED">
            <w:pPr>
              <w:jc w:val="center"/>
              <w:rPr>
                <w:rFonts w:ascii="宋体" w:hAnsi="宋体"/>
                <w:spacing w:val="-26"/>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B14EC2B">
            <w:pPr>
              <w:jc w:val="center"/>
              <w:rPr>
                <w:rFonts w:ascii="宋体" w:hAnsi="宋体"/>
                <w:spacing w:val="-26"/>
                <w:szCs w:val="21"/>
                <w:highlight w:val="none"/>
              </w:rPr>
            </w:pPr>
          </w:p>
        </w:tc>
      </w:tr>
      <w:tr w14:paraId="795B8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C73439">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FCAED8">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47DA21">
            <w:pPr>
              <w:jc w:val="center"/>
              <w:rPr>
                <w:rFonts w:ascii="宋体" w:hAnsi="宋体"/>
                <w:spacing w:val="-20"/>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F5551A">
            <w:pPr>
              <w:jc w:val="center"/>
              <w:rPr>
                <w:rFonts w:ascii="宋体" w:hAnsi="宋体"/>
                <w:spacing w:val="-20"/>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C22EE5">
            <w:pPr>
              <w:jc w:val="center"/>
              <w:rPr>
                <w:rFonts w:ascii="宋体" w:hAnsi="宋体"/>
                <w:spacing w:val="-26"/>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8BD556">
            <w:pPr>
              <w:jc w:val="center"/>
              <w:rPr>
                <w:rFonts w:ascii="宋体" w:hAnsi="宋体"/>
                <w:spacing w:val="-26"/>
                <w:szCs w:val="21"/>
                <w:highlight w:val="none"/>
              </w:rPr>
            </w:pPr>
          </w:p>
        </w:tc>
      </w:tr>
      <w:tr w14:paraId="0001D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09EAA6">
            <w:pPr>
              <w:jc w:val="center"/>
              <w:rPr>
                <w:rFonts w:ascii="宋体" w:hAnsi="宋体"/>
                <w:spacing w:val="-10"/>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20678F">
            <w:pPr>
              <w:jc w:val="center"/>
              <w:rPr>
                <w:rFonts w:ascii="宋体" w:hAnsi="宋体"/>
                <w:spacing w:val="-10"/>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93537B">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D78831">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65D46B">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18DB94">
            <w:pPr>
              <w:jc w:val="center"/>
              <w:rPr>
                <w:rFonts w:ascii="宋体" w:hAnsi="宋体"/>
                <w:szCs w:val="21"/>
                <w:highlight w:val="none"/>
              </w:rPr>
            </w:pPr>
          </w:p>
        </w:tc>
      </w:tr>
      <w:tr w14:paraId="4B3D4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B56AB1">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263B23">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2BCCC54">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7BE22F0">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7BE36F">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823524">
            <w:pPr>
              <w:jc w:val="center"/>
              <w:rPr>
                <w:rFonts w:ascii="宋体" w:hAnsi="宋体"/>
                <w:szCs w:val="21"/>
                <w:highlight w:val="none"/>
              </w:rPr>
            </w:pPr>
          </w:p>
        </w:tc>
      </w:tr>
      <w:tr w14:paraId="45C52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BE407D">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483A7D">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593E28">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C0C806">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99798C">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F2B5B7">
            <w:pPr>
              <w:jc w:val="center"/>
              <w:rPr>
                <w:rFonts w:ascii="宋体" w:hAnsi="宋体"/>
                <w:szCs w:val="21"/>
                <w:highlight w:val="none"/>
              </w:rPr>
            </w:pPr>
          </w:p>
        </w:tc>
      </w:tr>
      <w:tr w14:paraId="3E4BF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FDB8165">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68090B">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806AED">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F845134">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434B3D">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AF4059">
            <w:pPr>
              <w:jc w:val="center"/>
              <w:rPr>
                <w:rFonts w:ascii="宋体" w:hAnsi="宋体"/>
                <w:szCs w:val="21"/>
                <w:highlight w:val="none"/>
              </w:rPr>
            </w:pPr>
          </w:p>
        </w:tc>
      </w:tr>
      <w:tr w14:paraId="03454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235023">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71B0A6">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53164A">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13951A">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DE0C26">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88CF96">
            <w:pPr>
              <w:jc w:val="center"/>
              <w:rPr>
                <w:rFonts w:ascii="宋体" w:hAnsi="宋体"/>
                <w:szCs w:val="21"/>
                <w:highlight w:val="none"/>
              </w:rPr>
            </w:pPr>
          </w:p>
        </w:tc>
      </w:tr>
      <w:tr w14:paraId="01AB4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8139256">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353187">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617C3C">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DB0286">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4BD613">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A0F092">
            <w:pPr>
              <w:jc w:val="center"/>
              <w:rPr>
                <w:rFonts w:ascii="宋体" w:hAnsi="宋体"/>
                <w:szCs w:val="21"/>
                <w:highlight w:val="none"/>
              </w:rPr>
            </w:pPr>
          </w:p>
        </w:tc>
      </w:tr>
      <w:tr w14:paraId="45E2F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0804A03">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93141C4">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6B2552">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E0C0D0">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756054">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C60235">
            <w:pPr>
              <w:jc w:val="center"/>
              <w:rPr>
                <w:rFonts w:ascii="宋体" w:hAnsi="宋体"/>
                <w:szCs w:val="21"/>
                <w:highlight w:val="none"/>
              </w:rPr>
            </w:pPr>
          </w:p>
        </w:tc>
      </w:tr>
      <w:tr w14:paraId="15299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D69F59">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C843B2">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471F28">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90E12B">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8AD063">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9B788C">
            <w:pPr>
              <w:jc w:val="center"/>
              <w:rPr>
                <w:rFonts w:ascii="宋体" w:hAnsi="宋体"/>
                <w:szCs w:val="21"/>
                <w:highlight w:val="none"/>
              </w:rPr>
            </w:pPr>
          </w:p>
        </w:tc>
      </w:tr>
      <w:tr w14:paraId="05F08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6C8965">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4A8047">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2E8D2A">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EAF9DC">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B5FC89">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2AF91A">
            <w:pPr>
              <w:jc w:val="center"/>
              <w:rPr>
                <w:rFonts w:ascii="宋体" w:hAnsi="宋体"/>
                <w:szCs w:val="21"/>
                <w:highlight w:val="none"/>
              </w:rPr>
            </w:pPr>
          </w:p>
        </w:tc>
      </w:tr>
      <w:tr w14:paraId="5452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188349">
            <w:pPr>
              <w:jc w:val="center"/>
              <w:rPr>
                <w:rFonts w:ascii="宋体" w:hAnsi="宋体"/>
                <w:szCs w:val="21"/>
                <w:highlight w:val="none"/>
              </w:rPr>
            </w:pPr>
          </w:p>
        </w:tc>
        <w:tc>
          <w:tcPr>
            <w:tcW w:w="15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3B4127">
            <w:pPr>
              <w:jc w:val="center"/>
              <w:rPr>
                <w:rFonts w:ascii="宋体" w:hAnsi="宋体"/>
                <w:szCs w:val="21"/>
                <w:highlight w:val="none"/>
              </w:rPr>
            </w:pPr>
          </w:p>
        </w:tc>
        <w:tc>
          <w:tcPr>
            <w:tcW w:w="16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A93E9B">
            <w:pPr>
              <w:jc w:val="center"/>
              <w:rPr>
                <w:rFonts w:ascii="宋体" w:hAnsi="宋体"/>
                <w:szCs w:val="21"/>
                <w:highlight w:val="none"/>
              </w:rPr>
            </w:pPr>
          </w:p>
        </w:tc>
        <w:tc>
          <w:tcPr>
            <w:tcW w:w="16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91DBD4">
            <w:pPr>
              <w:jc w:val="center"/>
              <w:rPr>
                <w:rFonts w:ascii="宋体" w:hAnsi="宋体"/>
                <w:szCs w:val="21"/>
                <w:highlight w:val="none"/>
              </w:rPr>
            </w:pPr>
          </w:p>
        </w:tc>
        <w:tc>
          <w:tcPr>
            <w:tcW w:w="13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E6A009">
            <w:pPr>
              <w:jc w:val="center"/>
              <w:rPr>
                <w:rFonts w:ascii="宋体" w:hAnsi="宋体"/>
                <w:szCs w:val="21"/>
                <w:highlight w:val="none"/>
              </w:rPr>
            </w:pPr>
          </w:p>
        </w:tc>
        <w:tc>
          <w:tcPr>
            <w:tcW w:w="1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C96D7B">
            <w:pPr>
              <w:jc w:val="center"/>
              <w:rPr>
                <w:rFonts w:ascii="宋体" w:hAnsi="宋体"/>
                <w:szCs w:val="21"/>
                <w:highlight w:val="none"/>
              </w:rPr>
            </w:pPr>
          </w:p>
        </w:tc>
      </w:tr>
    </w:tbl>
    <w:p w14:paraId="11FC9714">
      <w:pPr>
        <w:rPr>
          <w:rFonts w:ascii="黑体" w:hAnsi="黑体" w:eastAsia="黑体"/>
          <w:sz w:val="18"/>
          <w:szCs w:val="18"/>
          <w:highlight w:val="none"/>
        </w:rPr>
      </w:pPr>
      <w:r>
        <w:rPr>
          <w:rFonts w:hint="eastAsia" w:ascii="黑体" w:hAnsi="黑体" w:eastAsia="黑体"/>
          <w:sz w:val="18"/>
          <w:szCs w:val="18"/>
          <w:highlight w:val="none"/>
        </w:rPr>
        <w:t>注：</w:t>
      </w:r>
    </w:p>
    <w:p w14:paraId="376FF053">
      <w:pPr>
        <w:ind w:firstLine="360" w:firstLineChars="200"/>
        <w:rPr>
          <w:rFonts w:ascii="宋体" w:hAnsi="宋体"/>
          <w:sz w:val="18"/>
          <w:szCs w:val="18"/>
          <w:highlight w:val="none"/>
        </w:rPr>
      </w:pPr>
      <w:r>
        <w:rPr>
          <w:rFonts w:hint="eastAsia" w:ascii="宋体" w:hAnsi="宋体"/>
          <w:sz w:val="18"/>
          <w:szCs w:val="18"/>
          <w:highlight w:val="none"/>
        </w:rPr>
        <w:t>1.本表所述业绩是指符合第一章“招标公告”资格条件所涉及的业绩和第二章“附表”中评分所涉及的业绩（招标文件没有作业绩要求的，可以不填本表）。</w:t>
      </w:r>
    </w:p>
    <w:p w14:paraId="4E79EF3D">
      <w:pPr>
        <w:ind w:firstLine="360" w:firstLineChars="200"/>
        <w:rPr>
          <w:rFonts w:ascii="宋体" w:hAnsi="宋体"/>
          <w:sz w:val="18"/>
          <w:szCs w:val="18"/>
          <w:highlight w:val="none"/>
        </w:rPr>
      </w:pPr>
      <w:r>
        <w:rPr>
          <w:rFonts w:hint="eastAsia" w:ascii="宋体" w:hAnsi="宋体"/>
          <w:sz w:val="18"/>
          <w:szCs w:val="18"/>
          <w:highlight w:val="none"/>
        </w:rPr>
        <w:t>2.随本表附业绩证明材料（单个证明材料的页数超过5页时，可以提供证明材料的主要条款页）。</w:t>
      </w:r>
    </w:p>
    <w:p w14:paraId="00DD5A6D">
      <w:pPr>
        <w:spacing w:line="360" w:lineRule="auto"/>
        <w:ind w:firstLine="420" w:firstLineChars="200"/>
        <w:rPr>
          <w:rFonts w:ascii="宋体" w:hAnsi="宋体"/>
          <w:szCs w:val="21"/>
          <w:highlight w:val="none"/>
        </w:rPr>
      </w:pPr>
    </w:p>
    <w:p w14:paraId="476D0243">
      <w:pPr>
        <w:spacing w:line="360" w:lineRule="auto"/>
        <w:ind w:firstLine="420" w:firstLineChars="200"/>
        <w:rPr>
          <w:rFonts w:ascii="宋体" w:hAnsi="宋体"/>
          <w:szCs w:val="21"/>
          <w:highlight w:val="none"/>
        </w:rPr>
      </w:pPr>
    </w:p>
    <w:p w14:paraId="4451AB1E">
      <w:pPr>
        <w:spacing w:line="360" w:lineRule="auto"/>
        <w:ind w:firstLine="4212" w:firstLineChars="1755"/>
        <w:rPr>
          <w:rFonts w:ascii="仿宋_GB2312" w:hAnsi="宋体" w:eastAsia="仿宋_GB2312"/>
          <w:sz w:val="24"/>
          <w:highlight w:val="none"/>
        </w:rPr>
      </w:pPr>
      <w:r>
        <w:rPr>
          <w:rFonts w:hint="eastAsia" w:ascii="仿宋_GB2312" w:hAnsi="宋体" w:eastAsia="仿宋_GB2312"/>
          <w:sz w:val="24"/>
          <w:highlight w:val="none"/>
        </w:rPr>
        <w:t>投标人：（盖单位公章）</w:t>
      </w:r>
    </w:p>
    <w:p w14:paraId="05C6AE26">
      <w:pPr>
        <w:spacing w:line="360" w:lineRule="auto"/>
        <w:ind w:firstLine="4212" w:firstLineChars="1755"/>
        <w:rPr>
          <w:rFonts w:ascii="仿宋_GB2312" w:hAnsi="宋体" w:eastAsia="仿宋_GB2312"/>
          <w:sz w:val="24"/>
          <w:highlight w:val="none"/>
        </w:rPr>
      </w:pPr>
      <w:r>
        <w:rPr>
          <w:rFonts w:hint="eastAsia" w:ascii="仿宋_GB2312" w:hAnsi="宋体" w:eastAsia="仿宋_GB2312"/>
          <w:sz w:val="24"/>
          <w:highlight w:val="none"/>
        </w:rPr>
        <w:t>法定代表人或其委托代理人：（签字或印章）</w:t>
      </w:r>
    </w:p>
    <w:p w14:paraId="00598BA7">
      <w:pPr>
        <w:spacing w:line="360" w:lineRule="auto"/>
        <w:ind w:firstLine="4212" w:firstLineChars="1755"/>
        <w:rPr>
          <w:rFonts w:ascii="仿宋_GB2312" w:hAnsi="宋体" w:eastAsia="仿宋_GB2312"/>
          <w:sz w:val="24"/>
          <w:highlight w:val="none"/>
        </w:rPr>
      </w:pPr>
      <w:r>
        <w:rPr>
          <w:rFonts w:hint="eastAsia" w:ascii="仿宋_GB2312" w:hAnsi="宋体" w:eastAsia="仿宋_GB2312"/>
          <w:sz w:val="24"/>
          <w:highlight w:val="none"/>
        </w:rPr>
        <w:t>日期：年月日</w:t>
      </w:r>
    </w:p>
    <w:p w14:paraId="2868C0DE">
      <w:pPr>
        <w:spacing w:before="100" w:beforeAutospacing="1" w:after="100" w:afterAutospacing="1"/>
        <w:jc w:val="center"/>
        <w:rPr>
          <w:rFonts w:ascii="黑体" w:eastAsia="黑体"/>
          <w:sz w:val="24"/>
          <w:highlight w:val="none"/>
        </w:rPr>
      </w:pPr>
    </w:p>
    <w:p w14:paraId="49D39899">
      <w:pPr>
        <w:spacing w:before="100" w:beforeAutospacing="1" w:after="100" w:afterAutospacing="1"/>
        <w:jc w:val="center"/>
        <w:outlineLvl w:val="1"/>
        <w:rPr>
          <w:rFonts w:ascii="黑体" w:eastAsia="黑体"/>
          <w:sz w:val="28"/>
          <w:szCs w:val="28"/>
          <w:highlight w:val="none"/>
        </w:rPr>
      </w:pPr>
      <w:r>
        <w:rPr>
          <w:highlight w:val="none"/>
        </w:rPr>
        <w:br w:type="page"/>
      </w:r>
      <w:bookmarkStart w:id="117" w:name="_Toc11851527"/>
      <w:r>
        <w:rPr>
          <w:rFonts w:hint="eastAsia" w:ascii="黑体" w:eastAsia="黑体"/>
          <w:sz w:val="28"/>
          <w:szCs w:val="28"/>
          <w:highlight w:val="none"/>
        </w:rPr>
        <w:t>八、招标文件要求及投标人认为其他应介绍或提交的资料和文件</w:t>
      </w:r>
      <w:bookmarkEnd w:id="117"/>
    </w:p>
    <w:p w14:paraId="4DFE03EC">
      <w:pPr>
        <w:rPr>
          <w:rFonts w:ascii="仿宋_GB2312" w:hAnsi="宋体" w:eastAsia="仿宋_GB2312"/>
          <w:sz w:val="24"/>
          <w:highlight w:val="none"/>
        </w:rPr>
      </w:pPr>
      <w:r>
        <w:rPr>
          <w:rFonts w:ascii="黑体" w:eastAsia="黑体"/>
          <w:sz w:val="24"/>
          <w:highlight w:val="none"/>
        </w:rPr>
        <w:br w:type="page"/>
      </w:r>
      <w:r>
        <w:rPr>
          <w:rFonts w:hint="eastAsia" w:ascii="仿宋_GB2312" w:hAnsi="宋体" w:eastAsia="仿宋_GB2312"/>
          <w:sz w:val="24"/>
          <w:highlight w:val="none"/>
        </w:rPr>
        <w:t>招标文件附件</w:t>
      </w:r>
      <w:r>
        <w:rPr>
          <w:rFonts w:ascii="仿宋_GB2312" w:hAnsi="宋体" w:eastAsia="仿宋_GB2312"/>
          <w:sz w:val="24"/>
          <w:highlight w:val="none"/>
        </w:rPr>
        <w:t>1</w:t>
      </w:r>
    </w:p>
    <w:p w14:paraId="5CC858C5">
      <w:pPr>
        <w:spacing w:before="100" w:beforeAutospacing="1" w:after="100" w:afterAutospacing="1"/>
        <w:jc w:val="center"/>
        <w:rPr>
          <w:rFonts w:ascii="黑体" w:hAnsi="黑体" w:eastAsia="黑体" w:cs="宋体"/>
          <w:sz w:val="28"/>
          <w:szCs w:val="28"/>
          <w:highlight w:val="none"/>
          <w:lang w:val="zh-CN"/>
        </w:rPr>
      </w:pPr>
      <w:r>
        <w:rPr>
          <w:rFonts w:hint="eastAsia" w:ascii="黑体" w:hAnsi="黑体" w:eastAsia="黑体" w:cs="宋体"/>
          <w:sz w:val="28"/>
          <w:szCs w:val="28"/>
          <w:highlight w:val="none"/>
          <w:lang w:val="zh-CN"/>
        </w:rPr>
        <w:t>项目服务人员一览表</w:t>
      </w:r>
    </w:p>
    <w:p w14:paraId="21DD033F">
      <w:pPr>
        <w:rPr>
          <w:rFonts w:ascii="仿宋_GB2312" w:hAnsi="黑体" w:eastAsia="仿宋_GB2312" w:cs="宋体"/>
          <w:sz w:val="24"/>
          <w:highlight w:val="none"/>
          <w:lang w:val="zh-CN"/>
        </w:rPr>
      </w:pPr>
      <w:r>
        <w:rPr>
          <w:rFonts w:hint="eastAsia" w:ascii="仿宋_GB2312" w:hAnsi="黑体" w:eastAsia="仿宋_GB2312" w:cs="宋体"/>
          <w:sz w:val="24"/>
          <w:highlight w:val="none"/>
          <w:lang w:val="zh-CN"/>
        </w:rPr>
        <w:t>项目名称：项目编号：</w:t>
      </w:r>
    </w:p>
    <w:tbl>
      <w:tblPr>
        <w:tblStyle w:val="4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134"/>
        <w:gridCol w:w="1412"/>
        <w:gridCol w:w="1134"/>
        <w:gridCol w:w="1134"/>
        <w:gridCol w:w="1133"/>
        <w:gridCol w:w="1133"/>
      </w:tblGrid>
      <w:tr w14:paraId="4E87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top w:val="single" w:color="auto" w:sz="4" w:space="0"/>
              <w:left w:val="single" w:color="auto" w:sz="4" w:space="0"/>
              <w:right w:val="single" w:color="auto" w:sz="4" w:space="0"/>
            </w:tcBorders>
            <w:vAlign w:val="center"/>
          </w:tcPr>
          <w:p w14:paraId="285B5454">
            <w:pPr>
              <w:jc w:val="center"/>
              <w:rPr>
                <w:rFonts w:ascii="黑体" w:hAnsi="黑体" w:eastAsia="黑体"/>
                <w:sz w:val="18"/>
                <w:szCs w:val="18"/>
                <w:highlight w:val="none"/>
              </w:rPr>
            </w:pPr>
            <w:r>
              <w:rPr>
                <w:rFonts w:hint="eastAsia" w:ascii="黑体" w:hAnsi="黑体" w:eastAsia="黑体"/>
                <w:sz w:val="18"/>
                <w:szCs w:val="18"/>
                <w:highlight w:val="none"/>
              </w:rPr>
              <w:t>序号</w:t>
            </w:r>
          </w:p>
        </w:tc>
        <w:tc>
          <w:tcPr>
            <w:tcW w:w="1276" w:type="dxa"/>
            <w:vMerge w:val="restart"/>
            <w:tcBorders>
              <w:top w:val="single" w:color="auto" w:sz="4" w:space="0"/>
              <w:left w:val="single" w:color="auto" w:sz="4" w:space="0"/>
              <w:right w:val="single" w:color="auto" w:sz="4" w:space="0"/>
            </w:tcBorders>
            <w:vAlign w:val="center"/>
          </w:tcPr>
          <w:p w14:paraId="2A039AD9">
            <w:pPr>
              <w:jc w:val="center"/>
              <w:rPr>
                <w:rFonts w:ascii="黑体" w:hAnsi="黑体" w:eastAsia="黑体"/>
                <w:sz w:val="18"/>
                <w:szCs w:val="18"/>
                <w:highlight w:val="none"/>
              </w:rPr>
            </w:pPr>
            <w:r>
              <w:rPr>
                <w:rFonts w:hint="eastAsia" w:ascii="黑体" w:hAnsi="黑体" w:eastAsia="黑体"/>
                <w:sz w:val="18"/>
                <w:szCs w:val="18"/>
                <w:highlight w:val="none"/>
              </w:rPr>
              <w:t>姓名</w:t>
            </w:r>
          </w:p>
        </w:tc>
        <w:tc>
          <w:tcPr>
            <w:tcW w:w="1134" w:type="dxa"/>
            <w:vMerge w:val="restart"/>
            <w:tcBorders>
              <w:top w:val="single" w:color="auto" w:sz="4" w:space="0"/>
              <w:left w:val="single" w:color="auto" w:sz="4" w:space="0"/>
              <w:right w:val="single" w:color="auto" w:sz="4" w:space="0"/>
            </w:tcBorders>
            <w:vAlign w:val="center"/>
          </w:tcPr>
          <w:p w14:paraId="62A2890A">
            <w:pPr>
              <w:jc w:val="center"/>
              <w:rPr>
                <w:rFonts w:ascii="黑体" w:hAnsi="黑体" w:eastAsia="黑体"/>
                <w:sz w:val="18"/>
                <w:szCs w:val="18"/>
                <w:highlight w:val="none"/>
              </w:rPr>
            </w:pPr>
            <w:r>
              <w:rPr>
                <w:rFonts w:hint="eastAsia" w:ascii="黑体" w:hAnsi="黑体" w:eastAsia="黑体"/>
                <w:sz w:val="18"/>
                <w:szCs w:val="18"/>
                <w:highlight w:val="none"/>
              </w:rPr>
              <w:t>岗位</w:t>
            </w:r>
          </w:p>
        </w:tc>
        <w:tc>
          <w:tcPr>
            <w:tcW w:w="1412" w:type="dxa"/>
            <w:vMerge w:val="restart"/>
            <w:tcBorders>
              <w:top w:val="single" w:color="auto" w:sz="4" w:space="0"/>
              <w:left w:val="single" w:color="auto" w:sz="4" w:space="0"/>
              <w:right w:val="single" w:color="auto" w:sz="4" w:space="0"/>
            </w:tcBorders>
            <w:vAlign w:val="center"/>
          </w:tcPr>
          <w:p w14:paraId="553D1C3F">
            <w:pPr>
              <w:jc w:val="center"/>
              <w:rPr>
                <w:rFonts w:ascii="黑体" w:hAnsi="黑体" w:eastAsia="黑体"/>
                <w:sz w:val="18"/>
                <w:szCs w:val="18"/>
                <w:highlight w:val="none"/>
              </w:rPr>
            </w:pPr>
            <w:r>
              <w:rPr>
                <w:rFonts w:hint="eastAsia" w:ascii="黑体" w:hAnsi="黑体" w:eastAsia="黑体"/>
                <w:sz w:val="18"/>
                <w:szCs w:val="18"/>
                <w:highlight w:val="none"/>
              </w:rPr>
              <w:t>身份证号码</w:t>
            </w:r>
          </w:p>
        </w:tc>
        <w:tc>
          <w:tcPr>
            <w:tcW w:w="4534" w:type="dxa"/>
            <w:gridSpan w:val="4"/>
            <w:tcBorders>
              <w:top w:val="single" w:color="auto" w:sz="4" w:space="0"/>
              <w:left w:val="single" w:color="auto" w:sz="4" w:space="0"/>
              <w:bottom w:val="single" w:color="auto" w:sz="4" w:space="0"/>
              <w:right w:val="single" w:color="auto" w:sz="4" w:space="0"/>
            </w:tcBorders>
            <w:vAlign w:val="center"/>
          </w:tcPr>
          <w:p w14:paraId="44950F26">
            <w:pPr>
              <w:jc w:val="center"/>
              <w:rPr>
                <w:rFonts w:ascii="黑体" w:hAnsi="黑体" w:eastAsia="黑体"/>
                <w:sz w:val="18"/>
                <w:szCs w:val="18"/>
                <w:highlight w:val="none"/>
              </w:rPr>
            </w:pPr>
            <w:r>
              <w:rPr>
                <w:rFonts w:hint="eastAsia" w:ascii="黑体" w:hAnsi="黑体" w:eastAsia="黑体"/>
                <w:sz w:val="18"/>
                <w:szCs w:val="18"/>
                <w:highlight w:val="none"/>
              </w:rPr>
              <w:t>资格</w:t>
            </w:r>
          </w:p>
        </w:tc>
      </w:tr>
      <w:tr w14:paraId="5E11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bottom w:val="single" w:color="auto" w:sz="4" w:space="0"/>
              <w:right w:val="single" w:color="auto" w:sz="4" w:space="0"/>
            </w:tcBorders>
            <w:vAlign w:val="center"/>
          </w:tcPr>
          <w:p w14:paraId="392C9B1F">
            <w:pPr>
              <w:jc w:val="center"/>
              <w:rPr>
                <w:rFonts w:ascii="黑体" w:hAnsi="黑体" w:eastAsia="黑体"/>
                <w:sz w:val="18"/>
                <w:szCs w:val="18"/>
                <w:highlight w:val="none"/>
              </w:rPr>
            </w:pPr>
          </w:p>
        </w:tc>
        <w:tc>
          <w:tcPr>
            <w:tcW w:w="1276" w:type="dxa"/>
            <w:vMerge w:val="continue"/>
            <w:tcBorders>
              <w:left w:val="single" w:color="auto" w:sz="4" w:space="0"/>
              <w:bottom w:val="single" w:color="auto" w:sz="4" w:space="0"/>
              <w:right w:val="single" w:color="auto" w:sz="4" w:space="0"/>
            </w:tcBorders>
            <w:vAlign w:val="center"/>
          </w:tcPr>
          <w:p w14:paraId="562A3526">
            <w:pPr>
              <w:jc w:val="center"/>
              <w:rPr>
                <w:rFonts w:ascii="黑体" w:hAnsi="黑体" w:eastAsia="黑体"/>
                <w:sz w:val="18"/>
                <w:szCs w:val="18"/>
                <w:highlight w:val="none"/>
              </w:rPr>
            </w:pPr>
          </w:p>
        </w:tc>
        <w:tc>
          <w:tcPr>
            <w:tcW w:w="1134" w:type="dxa"/>
            <w:vMerge w:val="continue"/>
            <w:tcBorders>
              <w:left w:val="single" w:color="auto" w:sz="4" w:space="0"/>
              <w:bottom w:val="single" w:color="auto" w:sz="4" w:space="0"/>
              <w:right w:val="single" w:color="auto" w:sz="4" w:space="0"/>
            </w:tcBorders>
            <w:vAlign w:val="center"/>
          </w:tcPr>
          <w:p w14:paraId="51268BB6">
            <w:pPr>
              <w:jc w:val="center"/>
              <w:rPr>
                <w:rFonts w:ascii="黑体" w:hAnsi="黑体" w:eastAsia="黑体"/>
                <w:sz w:val="18"/>
                <w:szCs w:val="18"/>
                <w:highlight w:val="none"/>
              </w:rPr>
            </w:pPr>
          </w:p>
        </w:tc>
        <w:tc>
          <w:tcPr>
            <w:tcW w:w="1412" w:type="dxa"/>
            <w:vMerge w:val="continue"/>
            <w:tcBorders>
              <w:left w:val="single" w:color="auto" w:sz="4" w:space="0"/>
              <w:bottom w:val="single" w:color="auto" w:sz="4" w:space="0"/>
              <w:right w:val="single" w:color="auto" w:sz="4" w:space="0"/>
            </w:tcBorders>
            <w:vAlign w:val="center"/>
          </w:tcPr>
          <w:p w14:paraId="728AABA0">
            <w:pPr>
              <w:jc w:val="center"/>
              <w:rPr>
                <w:rFonts w:ascii="黑体" w:hAnsi="黑体" w:eastAsia="黑体"/>
                <w:sz w:val="18"/>
                <w:szCs w:val="1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DAA0EF">
            <w:pPr>
              <w:jc w:val="center"/>
              <w:rPr>
                <w:rFonts w:ascii="黑体" w:hAnsi="黑体" w:eastAsia="黑体"/>
                <w:sz w:val="18"/>
                <w:szCs w:val="18"/>
                <w:highlight w:val="none"/>
              </w:rPr>
            </w:pPr>
            <w:r>
              <w:rPr>
                <w:rFonts w:hint="eastAsia" w:ascii="黑体" w:hAnsi="黑体" w:eastAsia="黑体"/>
                <w:sz w:val="18"/>
                <w:szCs w:val="18"/>
                <w:highlight w:val="none"/>
              </w:rPr>
              <w:t>证书名称</w:t>
            </w:r>
          </w:p>
        </w:tc>
        <w:tc>
          <w:tcPr>
            <w:tcW w:w="1134" w:type="dxa"/>
            <w:tcBorders>
              <w:top w:val="single" w:color="auto" w:sz="4" w:space="0"/>
              <w:left w:val="single" w:color="auto" w:sz="4" w:space="0"/>
              <w:bottom w:val="single" w:color="auto" w:sz="4" w:space="0"/>
              <w:right w:val="single" w:color="auto" w:sz="4" w:space="0"/>
            </w:tcBorders>
            <w:vAlign w:val="center"/>
          </w:tcPr>
          <w:p w14:paraId="3984FDBA">
            <w:pPr>
              <w:jc w:val="center"/>
              <w:rPr>
                <w:rFonts w:ascii="黑体" w:hAnsi="黑体" w:eastAsia="黑体"/>
                <w:sz w:val="18"/>
                <w:szCs w:val="18"/>
                <w:highlight w:val="none"/>
              </w:rPr>
            </w:pPr>
            <w:r>
              <w:rPr>
                <w:rFonts w:hint="eastAsia" w:ascii="黑体" w:hAnsi="黑体" w:eastAsia="黑体"/>
                <w:sz w:val="18"/>
                <w:szCs w:val="18"/>
                <w:highlight w:val="none"/>
              </w:rPr>
              <w:t>级别</w:t>
            </w:r>
          </w:p>
        </w:tc>
        <w:tc>
          <w:tcPr>
            <w:tcW w:w="1133" w:type="dxa"/>
            <w:tcBorders>
              <w:top w:val="single" w:color="auto" w:sz="4" w:space="0"/>
              <w:left w:val="single" w:color="auto" w:sz="4" w:space="0"/>
              <w:bottom w:val="single" w:color="auto" w:sz="4" w:space="0"/>
              <w:right w:val="single" w:color="auto" w:sz="4" w:space="0"/>
            </w:tcBorders>
            <w:vAlign w:val="center"/>
          </w:tcPr>
          <w:p w14:paraId="09DFAF9F">
            <w:pPr>
              <w:jc w:val="center"/>
              <w:rPr>
                <w:rFonts w:ascii="黑体" w:hAnsi="黑体" w:eastAsia="黑体"/>
                <w:sz w:val="18"/>
                <w:szCs w:val="18"/>
                <w:highlight w:val="none"/>
              </w:rPr>
            </w:pPr>
            <w:r>
              <w:rPr>
                <w:rFonts w:hint="eastAsia" w:ascii="黑体" w:hAnsi="黑体" w:eastAsia="黑体"/>
                <w:sz w:val="18"/>
                <w:szCs w:val="18"/>
                <w:highlight w:val="none"/>
              </w:rPr>
              <w:t>证号</w:t>
            </w:r>
          </w:p>
        </w:tc>
        <w:tc>
          <w:tcPr>
            <w:tcW w:w="1133" w:type="dxa"/>
            <w:tcBorders>
              <w:top w:val="single" w:color="auto" w:sz="4" w:space="0"/>
              <w:left w:val="single" w:color="auto" w:sz="4" w:space="0"/>
              <w:bottom w:val="single" w:color="auto" w:sz="4" w:space="0"/>
              <w:right w:val="single" w:color="auto" w:sz="4" w:space="0"/>
            </w:tcBorders>
            <w:vAlign w:val="center"/>
          </w:tcPr>
          <w:p w14:paraId="4A062894">
            <w:pPr>
              <w:jc w:val="center"/>
              <w:rPr>
                <w:rFonts w:ascii="黑体" w:hAnsi="黑体" w:eastAsia="黑体"/>
                <w:sz w:val="18"/>
                <w:szCs w:val="18"/>
                <w:highlight w:val="none"/>
              </w:rPr>
            </w:pPr>
            <w:r>
              <w:rPr>
                <w:rFonts w:hint="eastAsia" w:ascii="黑体" w:hAnsi="黑体" w:eastAsia="黑体"/>
                <w:sz w:val="18"/>
                <w:szCs w:val="18"/>
                <w:highlight w:val="none"/>
              </w:rPr>
              <w:t>专业</w:t>
            </w:r>
          </w:p>
        </w:tc>
      </w:tr>
      <w:tr w14:paraId="6BE5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C49DC94">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6FDD474">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BDE1F7B">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77FCF0A5">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631B76">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9182A8">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0D7A50F9">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9E788EC">
            <w:pPr>
              <w:jc w:val="center"/>
              <w:rPr>
                <w:rFonts w:ascii="宋体" w:hAnsi="宋体"/>
                <w:szCs w:val="21"/>
                <w:highlight w:val="none"/>
              </w:rPr>
            </w:pPr>
          </w:p>
        </w:tc>
      </w:tr>
      <w:tr w14:paraId="1D04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3C7A5B3">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B1FCC43">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87AB04">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43F7A83C">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31B392">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C8C7520">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9C2822E">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2709FBE">
            <w:pPr>
              <w:jc w:val="center"/>
              <w:rPr>
                <w:rFonts w:ascii="宋体" w:hAnsi="宋体"/>
                <w:szCs w:val="21"/>
                <w:highlight w:val="none"/>
              </w:rPr>
            </w:pPr>
          </w:p>
        </w:tc>
      </w:tr>
      <w:tr w14:paraId="2B55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7EBD0DF">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B2145B1">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443C249">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081BDBDA">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AF3721">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6708FC">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1905FCE">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49837CB8">
            <w:pPr>
              <w:jc w:val="center"/>
              <w:rPr>
                <w:rFonts w:ascii="宋体" w:hAnsi="宋体"/>
                <w:szCs w:val="21"/>
                <w:highlight w:val="none"/>
              </w:rPr>
            </w:pPr>
          </w:p>
        </w:tc>
      </w:tr>
      <w:tr w14:paraId="5732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764FDE7">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36CE9B0">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94E61E">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36D27943">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A4462BF">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C942F84">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52F8416">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67E267D">
            <w:pPr>
              <w:jc w:val="center"/>
              <w:rPr>
                <w:rFonts w:ascii="宋体" w:hAnsi="宋体"/>
                <w:szCs w:val="21"/>
                <w:highlight w:val="none"/>
              </w:rPr>
            </w:pPr>
          </w:p>
        </w:tc>
      </w:tr>
      <w:tr w14:paraId="68A7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FECA02">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A9AE81A">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238A01">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40190BCB">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B7A86F5">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2357C2">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B16E76C">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0815484">
            <w:pPr>
              <w:jc w:val="center"/>
              <w:rPr>
                <w:rFonts w:ascii="宋体" w:hAnsi="宋体"/>
                <w:szCs w:val="21"/>
                <w:highlight w:val="none"/>
              </w:rPr>
            </w:pPr>
          </w:p>
        </w:tc>
      </w:tr>
      <w:tr w14:paraId="4019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D4A33C5">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B2B4818">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87B164">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788F7E8F">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97BE81">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76AC677">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484403FF">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44CBB473">
            <w:pPr>
              <w:jc w:val="center"/>
              <w:rPr>
                <w:rFonts w:ascii="宋体" w:hAnsi="宋体"/>
                <w:szCs w:val="21"/>
                <w:highlight w:val="none"/>
              </w:rPr>
            </w:pPr>
          </w:p>
        </w:tc>
      </w:tr>
      <w:tr w14:paraId="5D23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06044D4">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ACC19CD">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260F390">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0A8EE6ED">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B89837">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2BE0A5">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72E2535">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E197E73">
            <w:pPr>
              <w:jc w:val="center"/>
              <w:rPr>
                <w:rFonts w:ascii="宋体" w:hAnsi="宋体"/>
                <w:szCs w:val="21"/>
                <w:highlight w:val="none"/>
              </w:rPr>
            </w:pPr>
          </w:p>
        </w:tc>
      </w:tr>
      <w:tr w14:paraId="5314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E881003">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B78E5A0">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4D06BA">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4D6F5161">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A81B55">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66027A">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9923CBD">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1D7BB13">
            <w:pPr>
              <w:jc w:val="center"/>
              <w:rPr>
                <w:rFonts w:ascii="宋体" w:hAnsi="宋体"/>
                <w:szCs w:val="21"/>
                <w:highlight w:val="none"/>
              </w:rPr>
            </w:pPr>
          </w:p>
        </w:tc>
      </w:tr>
      <w:tr w14:paraId="2BDC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7889325">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1B3BD2E">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9149A9">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7F3D0624">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3E0E1E">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54EA01B">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ED3E2E1">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24CA07E">
            <w:pPr>
              <w:jc w:val="center"/>
              <w:rPr>
                <w:rFonts w:ascii="宋体" w:hAnsi="宋体"/>
                <w:szCs w:val="21"/>
                <w:highlight w:val="none"/>
              </w:rPr>
            </w:pPr>
          </w:p>
        </w:tc>
      </w:tr>
      <w:tr w14:paraId="4A13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7CEE35D">
            <w:pPr>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D3C35B6">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C896A9C">
            <w:pPr>
              <w:jc w:val="center"/>
              <w:rPr>
                <w:rFonts w:ascii="宋体" w:hAnsi="宋体"/>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1477878A">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BECF4C">
            <w:pPr>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764214">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4DD2C86">
            <w:pPr>
              <w:jc w:val="center"/>
              <w:rPr>
                <w:rFonts w:ascii="宋体" w:hAnsi="宋体"/>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7CC5D00">
            <w:pPr>
              <w:jc w:val="center"/>
              <w:rPr>
                <w:rFonts w:ascii="宋体" w:hAnsi="宋体"/>
                <w:szCs w:val="21"/>
                <w:highlight w:val="none"/>
              </w:rPr>
            </w:pPr>
          </w:p>
        </w:tc>
      </w:tr>
    </w:tbl>
    <w:p w14:paraId="08DE9A6E">
      <w:pPr>
        <w:tabs>
          <w:tab w:val="left" w:pos="6300"/>
        </w:tabs>
        <w:rPr>
          <w:rFonts w:ascii="黑体" w:hAnsi="黑体" w:eastAsia="黑体" w:cs="仿宋"/>
          <w:szCs w:val="21"/>
          <w:highlight w:val="none"/>
          <w:lang w:val="zh-CN"/>
        </w:rPr>
      </w:pPr>
      <w:r>
        <w:rPr>
          <w:rFonts w:hint="eastAsia" w:ascii="黑体" w:hAnsi="黑体" w:eastAsia="黑体" w:cs="仿宋"/>
          <w:szCs w:val="21"/>
          <w:highlight w:val="none"/>
          <w:lang w:val="zh-CN"/>
        </w:rPr>
        <w:t>注：</w:t>
      </w:r>
    </w:p>
    <w:p w14:paraId="56C4FFB7">
      <w:pPr>
        <w:tabs>
          <w:tab w:val="left" w:pos="6300"/>
        </w:tabs>
        <w:ind w:firstLine="210" w:firstLineChars="100"/>
        <w:rPr>
          <w:rFonts w:ascii="黑体" w:hAnsi="黑体" w:eastAsia="黑体" w:cs="仿宋"/>
          <w:szCs w:val="21"/>
          <w:highlight w:val="none"/>
          <w:lang w:val="zh-CN"/>
        </w:rPr>
      </w:pPr>
      <w:r>
        <w:rPr>
          <w:rFonts w:hint="eastAsia" w:ascii="黑体" w:hAnsi="黑体" w:eastAsia="黑体" w:cs="仿宋"/>
          <w:szCs w:val="21"/>
          <w:highlight w:val="none"/>
          <w:lang w:val="zh-CN"/>
        </w:rPr>
        <w:t>1</w:t>
      </w:r>
      <w:r>
        <w:rPr>
          <w:rFonts w:ascii="黑体" w:hAnsi="黑体" w:eastAsia="黑体" w:cs="仿宋"/>
          <w:szCs w:val="21"/>
          <w:highlight w:val="none"/>
          <w:lang w:val="zh-CN"/>
        </w:rPr>
        <w:t>.</w:t>
      </w:r>
      <w:r>
        <w:rPr>
          <w:rFonts w:hint="eastAsia" w:ascii="黑体" w:hAnsi="黑体" w:eastAsia="黑体" w:cs="仿宋"/>
          <w:szCs w:val="21"/>
          <w:highlight w:val="none"/>
          <w:lang w:val="zh-CN"/>
        </w:rPr>
        <w:t>项目服务人员系指指拟投入招标项目的厨师长、厨师、其他帮厨人员等岗位人员，随本表附身份证、资格证书或岗位证书、职称证、健康证、食品安全知识培训证、社保证明等材料。</w:t>
      </w:r>
    </w:p>
    <w:p w14:paraId="561FAA0B">
      <w:pPr>
        <w:tabs>
          <w:tab w:val="left" w:pos="6300"/>
        </w:tabs>
        <w:ind w:firstLine="210" w:firstLineChars="100"/>
        <w:rPr>
          <w:rFonts w:ascii="黑体" w:hAnsi="黑体" w:eastAsia="黑体" w:cs="仿宋"/>
          <w:szCs w:val="21"/>
          <w:highlight w:val="none"/>
          <w:lang w:val="zh-CN"/>
        </w:rPr>
      </w:pPr>
      <w:r>
        <w:rPr>
          <w:rFonts w:hint="eastAsia" w:ascii="黑体" w:hAnsi="黑体" w:eastAsia="黑体" w:cs="仿宋"/>
          <w:szCs w:val="21"/>
          <w:highlight w:val="none"/>
          <w:lang w:val="zh-CN"/>
        </w:rPr>
        <w:t>2</w:t>
      </w:r>
      <w:r>
        <w:rPr>
          <w:rFonts w:ascii="黑体" w:hAnsi="黑体" w:eastAsia="黑体" w:cs="仿宋"/>
          <w:szCs w:val="21"/>
          <w:highlight w:val="none"/>
          <w:lang w:val="zh-CN"/>
        </w:rPr>
        <w:t>.</w:t>
      </w:r>
      <w:r>
        <w:rPr>
          <w:rFonts w:hint="eastAsia" w:ascii="黑体" w:hAnsi="黑体" w:eastAsia="黑体" w:cs="仿宋"/>
          <w:szCs w:val="21"/>
          <w:highlight w:val="none"/>
          <w:lang w:val="zh-CN"/>
        </w:rPr>
        <w:t>人员配备标准如下：帮厨人员配备标准：厨师长1人；厨师配备比例按就餐人数1000人以上2人，1000人以下1人；员工配备（不含厨师长）按就餐人数1:80的比例配备。</w:t>
      </w:r>
    </w:p>
    <w:p w14:paraId="4418B79A">
      <w:pPr>
        <w:tabs>
          <w:tab w:val="left" w:pos="6300"/>
        </w:tabs>
        <w:ind w:firstLine="210" w:firstLineChars="100"/>
        <w:rPr>
          <w:rFonts w:ascii="黑体" w:hAnsi="黑体" w:eastAsia="黑体" w:cs="仿宋"/>
          <w:szCs w:val="21"/>
          <w:highlight w:val="none"/>
          <w:lang w:val="zh-CN"/>
        </w:rPr>
      </w:pPr>
      <w:r>
        <w:rPr>
          <w:rFonts w:hint="eastAsia" w:ascii="黑体" w:hAnsi="黑体" w:eastAsia="黑体" w:cs="仿宋"/>
          <w:szCs w:val="21"/>
          <w:highlight w:val="none"/>
          <w:lang w:val="zh-CN"/>
        </w:rPr>
        <w:t>3</w:t>
      </w:r>
      <w:r>
        <w:rPr>
          <w:rFonts w:ascii="黑体" w:hAnsi="黑体" w:eastAsia="黑体" w:cs="仿宋"/>
          <w:szCs w:val="21"/>
          <w:highlight w:val="none"/>
          <w:lang w:val="zh-CN"/>
        </w:rPr>
        <w:t>.</w:t>
      </w:r>
      <w:r>
        <w:rPr>
          <w:rFonts w:hint="eastAsia" w:ascii="黑体" w:hAnsi="黑体" w:eastAsia="黑体" w:cs="仿宋"/>
          <w:szCs w:val="21"/>
          <w:highlight w:val="none"/>
          <w:lang w:val="zh-CN"/>
        </w:rPr>
        <w:t>“岗位”系指服务人员在本项目中的工作岗位。</w:t>
      </w:r>
    </w:p>
    <w:p w14:paraId="30180C1D">
      <w:pPr>
        <w:tabs>
          <w:tab w:val="left" w:pos="6300"/>
        </w:tabs>
        <w:jc w:val="right"/>
        <w:rPr>
          <w:rFonts w:ascii="宋体" w:hAnsi="宋体" w:cs="仿宋"/>
          <w:b/>
          <w:sz w:val="18"/>
          <w:szCs w:val="18"/>
          <w:highlight w:val="none"/>
          <w:u w:val="single"/>
          <w:lang w:val="zh-CN"/>
        </w:rPr>
      </w:pPr>
    </w:p>
    <w:p w14:paraId="794E3C01">
      <w:pPr>
        <w:tabs>
          <w:tab w:val="left" w:pos="6300"/>
        </w:tabs>
        <w:jc w:val="right"/>
        <w:rPr>
          <w:rFonts w:ascii="宋体" w:hAnsi="宋体" w:cs="仿宋"/>
          <w:b/>
          <w:sz w:val="18"/>
          <w:szCs w:val="18"/>
          <w:highlight w:val="none"/>
          <w:u w:val="single"/>
          <w:lang w:val="zh-CN"/>
        </w:rPr>
      </w:pPr>
      <w:r>
        <w:rPr>
          <w:rFonts w:hint="eastAsia" w:ascii="宋体" w:hAnsi="宋体" w:cs="仿宋"/>
          <w:b/>
          <w:sz w:val="18"/>
          <w:szCs w:val="18"/>
          <w:highlight w:val="none"/>
          <w:u w:val="single"/>
          <w:lang w:val="zh-CN"/>
        </w:rPr>
        <w:t>本表格式不适合填写的，投标人可自拟格式。</w:t>
      </w:r>
    </w:p>
    <w:p w14:paraId="70C6873A">
      <w:pPr>
        <w:rPr>
          <w:rFonts w:ascii="仿宋_GB2312" w:hAnsi="宋体" w:eastAsia="仿宋_GB2312"/>
          <w:sz w:val="24"/>
          <w:highlight w:val="none"/>
        </w:rPr>
      </w:pPr>
      <w:r>
        <w:rPr>
          <w:rFonts w:ascii="黑体" w:eastAsia="黑体"/>
          <w:sz w:val="24"/>
          <w:highlight w:val="none"/>
        </w:rPr>
        <w:br w:type="page"/>
      </w:r>
      <w:r>
        <w:rPr>
          <w:rFonts w:hint="eastAsia" w:ascii="仿宋_GB2312" w:hAnsi="宋体" w:eastAsia="仿宋_GB2312"/>
          <w:sz w:val="24"/>
          <w:highlight w:val="none"/>
        </w:rPr>
        <w:t>招标文件附件2：</w:t>
      </w:r>
    </w:p>
    <w:p w14:paraId="392606DE">
      <w:pPr>
        <w:spacing w:before="100" w:beforeAutospacing="1" w:after="100" w:afterAutospacing="1"/>
        <w:jc w:val="center"/>
        <w:rPr>
          <w:rFonts w:ascii="黑体" w:eastAsia="黑体"/>
          <w:sz w:val="28"/>
          <w:szCs w:val="28"/>
          <w:highlight w:val="none"/>
        </w:rPr>
      </w:pPr>
      <w:r>
        <w:rPr>
          <w:rFonts w:hint="eastAsia" w:ascii="黑体" w:eastAsia="黑体"/>
          <w:sz w:val="28"/>
          <w:szCs w:val="28"/>
          <w:highlight w:val="none"/>
        </w:rPr>
        <w:t>在经营活动中没有重大违法记录的书面声明</w:t>
      </w:r>
    </w:p>
    <w:p w14:paraId="2581B7D4">
      <w:pPr>
        <w:spacing w:line="360" w:lineRule="auto"/>
        <w:rPr>
          <w:rFonts w:ascii="仿宋_GB2312" w:hAnsi="宋体" w:eastAsia="仿宋_GB2312"/>
          <w:sz w:val="24"/>
          <w:highlight w:val="none"/>
        </w:rPr>
      </w:pPr>
      <w:r>
        <w:rPr>
          <w:rFonts w:hint="eastAsia" w:ascii="仿宋_GB2312" w:hAnsi="宋体" w:eastAsia="仿宋_GB2312"/>
          <w:sz w:val="24"/>
          <w:highlight w:val="none"/>
        </w:rPr>
        <w:t>（招标人名称）：</w:t>
      </w:r>
    </w:p>
    <w:p w14:paraId="5014978D">
      <w:pPr>
        <w:wordWrap w:val="0"/>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我方在参加（项目名称）采购活动前3年内，我方被公开披露或查处的违法违规行为有：，但在经营活动中没有重大违法记录（重大违法记录指投标人因违法经营受到刑事处罚或者责令停产停业、吊销许可证或者执照、较大数额罚款等行政处罚）。</w:t>
      </w:r>
    </w:p>
    <w:p w14:paraId="7E0896A8">
      <w:pPr>
        <w:spacing w:line="360" w:lineRule="auto"/>
        <w:ind w:firstLine="480" w:firstLineChars="200"/>
        <w:rPr>
          <w:rFonts w:ascii="仿宋_GB2312" w:hAnsi="仿宋" w:eastAsia="仿宋_GB2312"/>
          <w:sz w:val="24"/>
          <w:highlight w:val="none"/>
        </w:rPr>
      </w:pPr>
    </w:p>
    <w:p w14:paraId="7F7B3338">
      <w:pPr>
        <w:spacing w:line="360" w:lineRule="auto"/>
        <w:ind w:firstLine="480" w:firstLineChars="200"/>
        <w:rPr>
          <w:rFonts w:ascii="仿宋_GB2312" w:hAnsi="仿宋" w:eastAsia="仿宋_GB2312"/>
          <w:sz w:val="24"/>
          <w:highlight w:val="none"/>
        </w:rPr>
      </w:pPr>
    </w:p>
    <w:p w14:paraId="4128240A">
      <w:pPr>
        <w:spacing w:line="420" w:lineRule="auto"/>
        <w:ind w:firstLine="4108" w:firstLineChars="1712"/>
        <w:rPr>
          <w:rFonts w:ascii="仿宋_GB2312" w:hAnsi="仿宋" w:eastAsia="仿宋_GB2312"/>
          <w:sz w:val="24"/>
          <w:highlight w:val="none"/>
        </w:rPr>
      </w:pPr>
      <w:r>
        <w:rPr>
          <w:rFonts w:hint="eastAsia" w:ascii="仿宋_GB2312" w:hAnsi="仿宋" w:eastAsia="仿宋_GB2312"/>
          <w:sz w:val="24"/>
          <w:highlight w:val="none"/>
        </w:rPr>
        <w:t>投标人：（盖单位公章）</w:t>
      </w:r>
    </w:p>
    <w:p w14:paraId="45C4441D">
      <w:pPr>
        <w:spacing w:line="420" w:lineRule="auto"/>
        <w:ind w:firstLine="4108" w:firstLineChars="1712"/>
        <w:rPr>
          <w:rFonts w:ascii="仿宋_GB2312" w:hAnsi="仿宋" w:eastAsia="仿宋_GB2312"/>
          <w:sz w:val="24"/>
          <w:highlight w:val="none"/>
        </w:rPr>
      </w:pPr>
      <w:r>
        <w:rPr>
          <w:rFonts w:hint="eastAsia" w:ascii="仿宋_GB2312" w:hAnsi="仿宋" w:eastAsia="仿宋_GB2312"/>
          <w:sz w:val="24"/>
          <w:highlight w:val="none"/>
        </w:rPr>
        <w:t>法定代表人：（签字或盖章）</w:t>
      </w:r>
    </w:p>
    <w:p w14:paraId="69F0C502">
      <w:pPr>
        <w:spacing w:line="420" w:lineRule="auto"/>
        <w:ind w:firstLine="4108" w:firstLineChars="1712"/>
        <w:rPr>
          <w:rFonts w:ascii="仿宋_GB2312" w:hAnsi="仿宋" w:eastAsia="仿宋_GB2312"/>
          <w:sz w:val="24"/>
          <w:highlight w:val="none"/>
        </w:rPr>
      </w:pPr>
      <w:r>
        <w:rPr>
          <w:rFonts w:hint="eastAsia" w:ascii="仿宋_GB2312" w:hAnsi="仿宋" w:eastAsia="仿宋_GB2312"/>
          <w:sz w:val="24"/>
          <w:highlight w:val="none"/>
        </w:rPr>
        <w:t>日期：年月日</w:t>
      </w:r>
    </w:p>
    <w:p w14:paraId="43AC57E9">
      <w:pPr>
        <w:spacing w:line="360" w:lineRule="auto"/>
        <w:ind w:firstLine="420" w:firstLineChars="200"/>
        <w:rPr>
          <w:rFonts w:ascii="仿宋_GB2312" w:hAnsi="宋体" w:eastAsia="仿宋_GB2312"/>
          <w:szCs w:val="21"/>
          <w:highlight w:val="none"/>
        </w:rPr>
      </w:pPr>
    </w:p>
    <w:p w14:paraId="155E117D">
      <w:pPr>
        <w:spacing w:line="360" w:lineRule="auto"/>
        <w:ind w:firstLine="420" w:firstLineChars="200"/>
        <w:rPr>
          <w:rFonts w:ascii="宋体" w:hAnsi="宋体"/>
          <w:szCs w:val="21"/>
          <w:highlight w:val="none"/>
        </w:rPr>
      </w:pPr>
    </w:p>
    <w:p w14:paraId="06FF5756">
      <w:pPr>
        <w:rPr>
          <w:rFonts w:ascii="黑体" w:hAnsi="宋体" w:eastAsia="黑体"/>
          <w:sz w:val="24"/>
          <w:highlight w:val="none"/>
        </w:rPr>
      </w:pPr>
      <w:r>
        <w:rPr>
          <w:rFonts w:ascii="仿宋_GB2312" w:eastAsia="仿宋_GB2312"/>
          <w:highlight w:val="none"/>
          <w:u w:val="single"/>
        </w:rPr>
        <w:br w:type="page"/>
      </w:r>
      <w:r>
        <w:rPr>
          <w:rFonts w:hint="eastAsia" w:ascii="宋体" w:hAnsi="宋体"/>
          <w:szCs w:val="21"/>
          <w:highlight w:val="none"/>
        </w:rPr>
        <w:t>招标文件附件</w:t>
      </w:r>
      <w:r>
        <w:rPr>
          <w:rFonts w:ascii="宋体" w:hAnsi="宋体"/>
          <w:szCs w:val="21"/>
          <w:highlight w:val="none"/>
        </w:rPr>
        <w:t>3</w:t>
      </w:r>
      <w:r>
        <w:rPr>
          <w:rFonts w:hint="eastAsia" w:ascii="宋体" w:hAnsi="宋体"/>
          <w:szCs w:val="21"/>
          <w:highlight w:val="none"/>
        </w:rPr>
        <w:t>：</w:t>
      </w:r>
    </w:p>
    <w:p w14:paraId="688AE33A">
      <w:pPr>
        <w:spacing w:before="100" w:beforeAutospacing="1" w:after="100" w:afterAutospacing="1"/>
        <w:jc w:val="center"/>
        <w:rPr>
          <w:rFonts w:ascii="黑体" w:hAnsi="宋体" w:eastAsia="黑体"/>
          <w:sz w:val="24"/>
          <w:highlight w:val="none"/>
        </w:rPr>
      </w:pPr>
      <w:r>
        <w:rPr>
          <w:rFonts w:hint="eastAsia" w:ascii="黑体" w:hAnsi="宋体" w:eastAsia="黑体"/>
          <w:sz w:val="24"/>
          <w:highlight w:val="none"/>
        </w:rPr>
        <w:t>投标文件包装袋密封件正面格式</w:t>
      </w:r>
    </w:p>
    <w:tbl>
      <w:tblPr>
        <w:tblStyle w:val="4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F1E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64CACE9C">
            <w:pPr>
              <w:spacing w:line="360" w:lineRule="auto"/>
              <w:rPr>
                <w:rFonts w:ascii="仿宋_GB2312" w:hAnsi="宋体" w:eastAsia="仿宋_GB2312"/>
                <w:sz w:val="24"/>
                <w:highlight w:val="none"/>
              </w:rPr>
            </w:pPr>
          </w:p>
          <w:p w14:paraId="054467DE">
            <w:pPr>
              <w:spacing w:line="360" w:lineRule="auto"/>
              <w:rPr>
                <w:rFonts w:ascii="仿宋_GB2312" w:hAnsi="宋体" w:eastAsia="仿宋_GB2312"/>
                <w:sz w:val="24"/>
                <w:highlight w:val="none"/>
              </w:rPr>
            </w:pPr>
            <w:r>
              <w:rPr>
                <w:rFonts w:hint="eastAsia" w:ascii="仿宋_GB2312" w:hAnsi="宋体" w:eastAsia="仿宋_GB2312"/>
                <w:sz w:val="24"/>
                <w:highlight w:val="none"/>
              </w:rPr>
              <w:t>收件人：</w:t>
            </w:r>
          </w:p>
          <w:p w14:paraId="6AEE6B60">
            <w:pPr>
              <w:spacing w:line="360" w:lineRule="auto"/>
              <w:rPr>
                <w:rFonts w:ascii="仿宋_GB2312" w:hAnsi="宋体" w:eastAsia="仿宋_GB2312"/>
                <w:sz w:val="24"/>
                <w:highlight w:val="none"/>
              </w:rPr>
            </w:pPr>
            <w:r>
              <w:rPr>
                <w:rFonts w:hint="eastAsia" w:ascii="仿宋_GB2312" w:hAnsi="宋体" w:eastAsia="仿宋_GB2312"/>
                <w:sz w:val="24"/>
                <w:highlight w:val="none"/>
              </w:rPr>
              <w:t>项目名称：</w:t>
            </w:r>
          </w:p>
          <w:p w14:paraId="38E65299">
            <w:pPr>
              <w:spacing w:line="360" w:lineRule="auto"/>
              <w:rPr>
                <w:rFonts w:ascii="仿宋_GB2312" w:hAnsi="宋体" w:eastAsia="仿宋_GB2312"/>
                <w:sz w:val="24"/>
                <w:highlight w:val="none"/>
              </w:rPr>
            </w:pPr>
            <w:r>
              <w:rPr>
                <w:rFonts w:hint="eastAsia" w:ascii="仿宋_GB2312" w:hAnsi="宋体" w:eastAsia="仿宋_GB2312"/>
                <w:sz w:val="24"/>
                <w:highlight w:val="none"/>
              </w:rPr>
              <w:t>项目编号：</w:t>
            </w:r>
          </w:p>
          <w:p w14:paraId="6489A8F3">
            <w:pPr>
              <w:spacing w:line="360" w:lineRule="auto"/>
              <w:rPr>
                <w:rFonts w:ascii="仿宋_GB2312" w:hAnsi="宋体" w:eastAsia="仿宋_GB2312"/>
                <w:sz w:val="24"/>
                <w:highlight w:val="none"/>
              </w:rPr>
            </w:pPr>
          </w:p>
          <w:p w14:paraId="40250BA0">
            <w:pPr>
              <w:spacing w:line="360" w:lineRule="auto"/>
              <w:rPr>
                <w:rFonts w:ascii="仿宋_GB2312" w:hAnsi="宋体" w:eastAsia="仿宋_GB2312"/>
                <w:sz w:val="24"/>
                <w:highlight w:val="none"/>
              </w:rPr>
            </w:pPr>
            <w:r>
              <w:rPr>
                <w:rFonts w:hint="eastAsia" w:ascii="仿宋_GB2312" w:hAnsi="宋体" w:eastAsia="仿宋_GB2312"/>
                <w:sz w:val="24"/>
                <w:highlight w:val="none"/>
              </w:rPr>
              <w:t>投标人名称：</w:t>
            </w:r>
          </w:p>
          <w:p w14:paraId="7D2C8F91">
            <w:pPr>
              <w:spacing w:line="360" w:lineRule="auto"/>
              <w:rPr>
                <w:rFonts w:ascii="仿宋_GB2312" w:hAnsi="宋体" w:eastAsia="仿宋_GB2312"/>
                <w:sz w:val="24"/>
                <w:highlight w:val="none"/>
              </w:rPr>
            </w:pPr>
            <w:r>
              <w:rPr>
                <w:rFonts w:hint="eastAsia" w:ascii="仿宋_GB2312" w:hAnsi="宋体" w:eastAsia="仿宋_GB2312"/>
                <w:sz w:val="24"/>
                <w:highlight w:val="none"/>
              </w:rPr>
              <w:t>投标人地址：</w:t>
            </w:r>
          </w:p>
          <w:p w14:paraId="1CEFE242">
            <w:pPr>
              <w:spacing w:line="360" w:lineRule="auto"/>
              <w:rPr>
                <w:rFonts w:ascii="仿宋_GB2312" w:hAnsi="宋体" w:eastAsia="仿宋_GB2312"/>
                <w:sz w:val="24"/>
                <w:highlight w:val="none"/>
              </w:rPr>
            </w:pPr>
            <w:r>
              <w:rPr>
                <w:rFonts w:hint="eastAsia" w:ascii="仿宋_GB2312" w:hAnsi="宋体" w:eastAsia="仿宋_GB2312"/>
                <w:sz w:val="24"/>
                <w:highlight w:val="none"/>
              </w:rPr>
              <w:t>邮政编码：</w:t>
            </w:r>
          </w:p>
          <w:p w14:paraId="3EDD250D">
            <w:pPr>
              <w:rPr>
                <w:rFonts w:ascii="仿宋_GB2312" w:hAnsi="宋体" w:eastAsia="仿宋_GB2312"/>
                <w:sz w:val="24"/>
                <w:highlight w:val="none"/>
              </w:rPr>
            </w:pPr>
            <w:r>
              <w:rPr>
                <w:rFonts w:hint="eastAsia" w:ascii="仿宋_GB2312" w:hAnsi="宋体" w:eastAsia="仿宋_GB2312"/>
                <w:sz w:val="24"/>
                <w:highlight w:val="none"/>
              </w:rPr>
              <w:t>年月日</w:t>
            </w:r>
          </w:p>
          <w:p w14:paraId="1A3B0565">
            <w:pPr>
              <w:jc w:val="center"/>
              <w:rPr>
                <w:rFonts w:ascii="仿宋_GB2312" w:hAnsi="宋体" w:eastAsia="仿宋_GB2312"/>
                <w:sz w:val="24"/>
                <w:highlight w:val="none"/>
              </w:rPr>
            </w:pPr>
          </w:p>
          <w:p w14:paraId="033C0F92">
            <w:pPr>
              <w:jc w:val="center"/>
              <w:rPr>
                <w:rFonts w:ascii="仿宋_GB2312" w:hAnsi="宋体" w:eastAsia="仿宋_GB2312"/>
                <w:sz w:val="24"/>
                <w:highlight w:val="none"/>
              </w:rPr>
            </w:pPr>
          </w:p>
          <w:p w14:paraId="7684B54B">
            <w:pPr>
              <w:jc w:val="center"/>
              <w:rPr>
                <w:rFonts w:ascii="仿宋_GB2312" w:hAnsi="宋体" w:eastAsia="仿宋_GB2312"/>
                <w:sz w:val="24"/>
                <w:highlight w:val="none"/>
              </w:rPr>
            </w:pPr>
            <w:r>
              <w:rPr>
                <w:rFonts w:hint="eastAsia" w:ascii="仿宋_GB2312" w:hAnsi="宋体" w:eastAsia="仿宋_GB2312"/>
                <w:sz w:val="24"/>
                <w:highlight w:val="none"/>
              </w:rPr>
              <w:t>加盖投标人公章（或投标人法定代表人或其全权代表签字）</w:t>
            </w:r>
          </w:p>
          <w:p w14:paraId="61A9D5E5">
            <w:pPr>
              <w:jc w:val="center"/>
              <w:rPr>
                <w:rFonts w:ascii="仿宋_GB2312" w:hAnsi="宋体" w:eastAsia="仿宋_GB2312"/>
                <w:sz w:val="24"/>
                <w:highlight w:val="none"/>
              </w:rPr>
            </w:pPr>
          </w:p>
        </w:tc>
      </w:tr>
    </w:tbl>
    <w:p w14:paraId="2824FBEB">
      <w:pPr>
        <w:spacing w:before="100" w:beforeAutospacing="1" w:after="100" w:afterAutospacing="1"/>
        <w:jc w:val="center"/>
        <w:rPr>
          <w:rFonts w:ascii="仿宋_GB2312" w:hAnsi="宋体" w:eastAsia="仿宋_GB2312"/>
          <w:sz w:val="24"/>
          <w:highlight w:val="none"/>
        </w:rPr>
      </w:pPr>
    </w:p>
    <w:p w14:paraId="47EF7A8D">
      <w:pPr>
        <w:spacing w:before="100" w:beforeAutospacing="1" w:after="100" w:afterAutospacing="1"/>
        <w:jc w:val="center"/>
        <w:rPr>
          <w:rFonts w:ascii="黑体" w:hAnsi="宋体" w:eastAsia="黑体"/>
          <w:sz w:val="24"/>
          <w:highlight w:val="none"/>
        </w:rPr>
      </w:pPr>
      <w:r>
        <w:rPr>
          <w:rFonts w:hint="eastAsia" w:ascii="黑体" w:hAnsi="宋体" w:eastAsia="黑体"/>
          <w:sz w:val="24"/>
          <w:highlight w:val="none"/>
        </w:rPr>
        <w:t>投标文件封口格式</w:t>
      </w:r>
    </w:p>
    <w:tbl>
      <w:tblPr>
        <w:tblStyle w:val="4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5B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9286" w:type="dxa"/>
          </w:tcPr>
          <w:p w14:paraId="38FE3801">
            <w:pPr>
              <w:rPr>
                <w:rFonts w:ascii="仿宋_GB2312" w:hAnsi="宋体" w:eastAsia="仿宋_GB2312"/>
                <w:sz w:val="24"/>
                <w:highlight w:val="none"/>
              </w:rPr>
            </w:pPr>
          </w:p>
          <w:p w14:paraId="45C94583">
            <w:pPr>
              <w:jc w:val="center"/>
              <w:rPr>
                <w:rFonts w:ascii="仿宋_GB2312" w:hAnsi="宋体" w:eastAsia="仿宋_GB2312"/>
                <w:sz w:val="24"/>
                <w:highlight w:val="none"/>
              </w:rPr>
            </w:pPr>
            <w:r>
              <w:rPr>
                <w:rFonts w:hint="eastAsia" w:ascii="仿宋_GB2312" w:hAnsi="宋体" w:eastAsia="仿宋_GB2312"/>
                <w:sz w:val="24"/>
                <w:highlight w:val="none"/>
              </w:rPr>
              <w:t>请勿在年月日之前启封</w:t>
            </w:r>
          </w:p>
          <w:p w14:paraId="56B42D84">
            <w:pPr>
              <w:pStyle w:val="34"/>
              <w:rPr>
                <w:rFonts w:ascii="仿宋_GB2312" w:hAnsi="宋体" w:eastAsia="仿宋_GB2312"/>
                <w:highlight w:val="none"/>
              </w:rPr>
            </w:pPr>
          </w:p>
          <w:p w14:paraId="251F317E">
            <w:pPr>
              <w:jc w:val="center"/>
              <w:rPr>
                <w:rFonts w:ascii="仿宋_GB2312" w:hAnsi="宋体" w:eastAsia="仿宋_GB2312"/>
                <w:sz w:val="24"/>
                <w:highlight w:val="none"/>
              </w:rPr>
            </w:pPr>
            <w:r>
              <w:rPr>
                <w:rFonts w:hint="eastAsia" w:ascii="仿宋_GB2312" w:hAnsi="宋体" w:eastAsia="仿宋_GB2312"/>
                <w:sz w:val="24"/>
                <w:highlight w:val="none"/>
              </w:rPr>
              <w:t>加盖投标人公章（或投标人法定代表人或其全权代表签字）</w:t>
            </w:r>
          </w:p>
        </w:tc>
      </w:tr>
    </w:tbl>
    <w:p w14:paraId="7A913783">
      <w:pPr>
        <w:snapToGrid w:val="0"/>
        <w:spacing w:line="440" w:lineRule="exact"/>
        <w:ind w:firstLine="480" w:firstLineChars="200"/>
        <w:jc w:val="right"/>
        <w:rPr>
          <w:rFonts w:ascii="仿宋_GB2312" w:hAnsi="微软雅黑" w:eastAsia="仿宋_GB2312" w:cs="微软雅黑"/>
          <w:sz w:val="24"/>
          <w:highlight w:val="none"/>
        </w:rPr>
      </w:pPr>
    </w:p>
    <w:p w14:paraId="5CDDA81A">
      <w:pPr>
        <w:rPr>
          <w:highlight w:val="none"/>
        </w:rPr>
      </w:pPr>
    </w:p>
    <w:sectPr>
      <w:headerReference r:id="rId3" w:type="default"/>
      <w:footerReference r:id="rId4" w:type="default"/>
      <w:pgSz w:w="11906" w:h="16838"/>
      <w:pgMar w:top="1418" w:right="1418" w:bottom="141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668588"/>
    </w:sdtPr>
    <w:sdtContent>
      <w:p w14:paraId="4BFB381A">
        <w:pPr>
          <w:pStyle w:val="27"/>
          <w:jc w:val="center"/>
        </w:pPr>
        <w:r>
          <w:fldChar w:fldCharType="begin"/>
        </w:r>
        <w:r>
          <w:instrText xml:space="preserve">PAGE   \* MERGEFORMAT</w:instrText>
        </w:r>
        <w:r>
          <w:fldChar w:fldCharType="separate"/>
        </w:r>
        <w:r>
          <w:rPr>
            <w:lang w:val="zh-CN"/>
          </w:rPr>
          <w:t>22</w:t>
        </w:r>
        <w:r>
          <w:fldChar w:fldCharType="end"/>
        </w:r>
      </w:p>
    </w:sdtContent>
  </w:sdt>
  <w:p w14:paraId="72F6B266">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F63F">
    <w:pPr>
      <w:pStyle w:val="28"/>
      <w:jc w:val="both"/>
      <w:rPr>
        <w:rFonts w:hint="eastAsia" w:ascii="黑体" w:hAnsi="黑体" w:eastAsia="黑体"/>
        <w:lang w:eastAsia="zh-CN"/>
      </w:rPr>
    </w:pPr>
    <w:r>
      <w:rPr>
        <w:rFonts w:hint="eastAsia" w:ascii="黑体" w:hAnsi="黑体" w:eastAsia="黑体"/>
      </w:rPr>
      <w:t>项目名称：青岛西海岸新区凤凰岛初级中学购买食堂帮厨服务项目</w:t>
    </w:r>
    <w:r>
      <w:rPr>
        <w:rFonts w:hint="eastAsia" w:ascii="黑体" w:hAnsi="黑体" w:eastAsia="黑体"/>
        <w:lang w:val="en-US" w:eastAsia="zh-CN"/>
      </w:rPr>
      <w:t xml:space="preserve">                   </w:t>
    </w:r>
    <w:r>
      <w:rPr>
        <w:rFonts w:hint="eastAsia" w:ascii="黑体" w:hAnsi="黑体" w:eastAsia="黑体"/>
      </w:rPr>
      <w:t>项目编号：</w:t>
    </w:r>
    <w:r>
      <w:rPr>
        <w:rFonts w:hint="eastAsia" w:ascii="黑体" w:hAnsi="黑体" w:eastAsia="黑体"/>
        <w:lang w:eastAsia="zh-CN"/>
      </w:rPr>
      <w:t>FRQD202004</w:t>
    </w:r>
    <w:r>
      <w:rPr>
        <w:rFonts w:hint="eastAsia" w:ascii="黑体" w:hAnsi="黑体" w:eastAsia="黑体"/>
        <w:lang w:val="en-US" w:eastAsia="zh-CN"/>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
    <w:nsid w:val="248F4210"/>
    <w:multiLevelType w:val="multilevel"/>
    <w:tmpl w:val="248F4210"/>
    <w:lvl w:ilvl="0" w:tentative="0">
      <w:start w:val="1"/>
      <w:numFmt w:val="decimal"/>
      <w:pStyle w:val="20"/>
      <w:lvlText w:val="（%1）"/>
      <w:lvlJc w:val="left"/>
      <w:pPr>
        <w:tabs>
          <w:tab w:val="left" w:pos="1280"/>
        </w:tabs>
        <w:ind w:left="1280"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lODkzNzYyMGJiZTdkNDhlYzc4MjQ3MTdmM2JhMjEifQ=="/>
  </w:docVars>
  <w:rsids>
    <w:rsidRoot w:val="00493672"/>
    <w:rsid w:val="0001026B"/>
    <w:rsid w:val="000242B7"/>
    <w:rsid w:val="00031E7B"/>
    <w:rsid w:val="00032144"/>
    <w:rsid w:val="000332B6"/>
    <w:rsid w:val="0004197F"/>
    <w:rsid w:val="00061555"/>
    <w:rsid w:val="00080449"/>
    <w:rsid w:val="0008143A"/>
    <w:rsid w:val="0009639D"/>
    <w:rsid w:val="000C2059"/>
    <w:rsid w:val="000D26E1"/>
    <w:rsid w:val="000D6673"/>
    <w:rsid w:val="000E777C"/>
    <w:rsid w:val="001024D9"/>
    <w:rsid w:val="00105BEB"/>
    <w:rsid w:val="001149C6"/>
    <w:rsid w:val="001429D6"/>
    <w:rsid w:val="00143127"/>
    <w:rsid w:val="0015479C"/>
    <w:rsid w:val="00174BBB"/>
    <w:rsid w:val="001B716D"/>
    <w:rsid w:val="001C22E9"/>
    <w:rsid w:val="001C66B5"/>
    <w:rsid w:val="001D3B62"/>
    <w:rsid w:val="001E3332"/>
    <w:rsid w:val="001E3E34"/>
    <w:rsid w:val="001F66E1"/>
    <w:rsid w:val="00223D9A"/>
    <w:rsid w:val="00230DC5"/>
    <w:rsid w:val="002519AC"/>
    <w:rsid w:val="002549F9"/>
    <w:rsid w:val="002B05CA"/>
    <w:rsid w:val="002B0DB8"/>
    <w:rsid w:val="002B5BBC"/>
    <w:rsid w:val="002F0522"/>
    <w:rsid w:val="002F2369"/>
    <w:rsid w:val="00302E85"/>
    <w:rsid w:val="00334EA5"/>
    <w:rsid w:val="003357D7"/>
    <w:rsid w:val="00352D99"/>
    <w:rsid w:val="003667AE"/>
    <w:rsid w:val="0037317F"/>
    <w:rsid w:val="003733F7"/>
    <w:rsid w:val="00380306"/>
    <w:rsid w:val="003B2385"/>
    <w:rsid w:val="003B79FA"/>
    <w:rsid w:val="003D530F"/>
    <w:rsid w:val="003E1F80"/>
    <w:rsid w:val="00430716"/>
    <w:rsid w:val="004552B7"/>
    <w:rsid w:val="00493672"/>
    <w:rsid w:val="00493819"/>
    <w:rsid w:val="004E0881"/>
    <w:rsid w:val="004E3A5F"/>
    <w:rsid w:val="004F2ACC"/>
    <w:rsid w:val="00504CC5"/>
    <w:rsid w:val="005105F2"/>
    <w:rsid w:val="00534250"/>
    <w:rsid w:val="00542ECC"/>
    <w:rsid w:val="00547B2A"/>
    <w:rsid w:val="00571E85"/>
    <w:rsid w:val="00574D12"/>
    <w:rsid w:val="005833EF"/>
    <w:rsid w:val="005B4E68"/>
    <w:rsid w:val="005C447F"/>
    <w:rsid w:val="005E53E6"/>
    <w:rsid w:val="005E6C21"/>
    <w:rsid w:val="00615C80"/>
    <w:rsid w:val="00633479"/>
    <w:rsid w:val="00640174"/>
    <w:rsid w:val="00662EDD"/>
    <w:rsid w:val="00664403"/>
    <w:rsid w:val="00673C06"/>
    <w:rsid w:val="006824E5"/>
    <w:rsid w:val="00690EDD"/>
    <w:rsid w:val="006B0DF5"/>
    <w:rsid w:val="006B70EB"/>
    <w:rsid w:val="006D517C"/>
    <w:rsid w:val="006F50E6"/>
    <w:rsid w:val="006F6273"/>
    <w:rsid w:val="00707EEB"/>
    <w:rsid w:val="00710545"/>
    <w:rsid w:val="007360D3"/>
    <w:rsid w:val="007576C2"/>
    <w:rsid w:val="00774F5F"/>
    <w:rsid w:val="0079127E"/>
    <w:rsid w:val="00793E4C"/>
    <w:rsid w:val="007A2C8C"/>
    <w:rsid w:val="007A5D9C"/>
    <w:rsid w:val="007B1B81"/>
    <w:rsid w:val="007C2AF9"/>
    <w:rsid w:val="007E1FE0"/>
    <w:rsid w:val="007E531F"/>
    <w:rsid w:val="00812C62"/>
    <w:rsid w:val="0081331B"/>
    <w:rsid w:val="00832C7A"/>
    <w:rsid w:val="00852B12"/>
    <w:rsid w:val="008566CB"/>
    <w:rsid w:val="00872711"/>
    <w:rsid w:val="00876FC7"/>
    <w:rsid w:val="00883D76"/>
    <w:rsid w:val="00894B36"/>
    <w:rsid w:val="008B3473"/>
    <w:rsid w:val="008E3302"/>
    <w:rsid w:val="00907173"/>
    <w:rsid w:val="0091633F"/>
    <w:rsid w:val="00916DE7"/>
    <w:rsid w:val="00921200"/>
    <w:rsid w:val="00946922"/>
    <w:rsid w:val="00951B2B"/>
    <w:rsid w:val="00953101"/>
    <w:rsid w:val="009765DB"/>
    <w:rsid w:val="00977ABC"/>
    <w:rsid w:val="009A0D3E"/>
    <w:rsid w:val="009A295A"/>
    <w:rsid w:val="009A6AAC"/>
    <w:rsid w:val="009B02B9"/>
    <w:rsid w:val="009E1CFF"/>
    <w:rsid w:val="009E24AA"/>
    <w:rsid w:val="009F2FE6"/>
    <w:rsid w:val="00A60FBB"/>
    <w:rsid w:val="00AB24F4"/>
    <w:rsid w:val="00AC6FE5"/>
    <w:rsid w:val="00AD02CF"/>
    <w:rsid w:val="00AE574E"/>
    <w:rsid w:val="00AF78A0"/>
    <w:rsid w:val="00B03859"/>
    <w:rsid w:val="00B05999"/>
    <w:rsid w:val="00B12BA7"/>
    <w:rsid w:val="00B302A0"/>
    <w:rsid w:val="00B46F69"/>
    <w:rsid w:val="00B5470A"/>
    <w:rsid w:val="00B666E3"/>
    <w:rsid w:val="00B9515B"/>
    <w:rsid w:val="00BB6557"/>
    <w:rsid w:val="00BC3E79"/>
    <w:rsid w:val="00BF18B0"/>
    <w:rsid w:val="00C035E1"/>
    <w:rsid w:val="00C25967"/>
    <w:rsid w:val="00C3741F"/>
    <w:rsid w:val="00C66938"/>
    <w:rsid w:val="00C76ED8"/>
    <w:rsid w:val="00C94DB1"/>
    <w:rsid w:val="00CF6940"/>
    <w:rsid w:val="00D11222"/>
    <w:rsid w:val="00D64E2D"/>
    <w:rsid w:val="00D670FD"/>
    <w:rsid w:val="00D67437"/>
    <w:rsid w:val="00DC2648"/>
    <w:rsid w:val="00DD44A5"/>
    <w:rsid w:val="00E0339C"/>
    <w:rsid w:val="00E0476E"/>
    <w:rsid w:val="00E07EE3"/>
    <w:rsid w:val="00E165E4"/>
    <w:rsid w:val="00E62F2C"/>
    <w:rsid w:val="00E65EFD"/>
    <w:rsid w:val="00E85B03"/>
    <w:rsid w:val="00E94549"/>
    <w:rsid w:val="00E95161"/>
    <w:rsid w:val="00EB22E1"/>
    <w:rsid w:val="00EC026D"/>
    <w:rsid w:val="00ED4E22"/>
    <w:rsid w:val="00EE4411"/>
    <w:rsid w:val="00EE5054"/>
    <w:rsid w:val="00EF3FB1"/>
    <w:rsid w:val="00F11AC4"/>
    <w:rsid w:val="00F26C5E"/>
    <w:rsid w:val="00F55F30"/>
    <w:rsid w:val="00F73BE8"/>
    <w:rsid w:val="00F743A4"/>
    <w:rsid w:val="00F77B4F"/>
    <w:rsid w:val="00F80947"/>
    <w:rsid w:val="00F96896"/>
    <w:rsid w:val="00FD45F2"/>
    <w:rsid w:val="00FE376B"/>
    <w:rsid w:val="017176C0"/>
    <w:rsid w:val="01D276BE"/>
    <w:rsid w:val="01DA677A"/>
    <w:rsid w:val="01EF57C1"/>
    <w:rsid w:val="021D69C2"/>
    <w:rsid w:val="0227145F"/>
    <w:rsid w:val="025C7444"/>
    <w:rsid w:val="02F4788B"/>
    <w:rsid w:val="043B1F8E"/>
    <w:rsid w:val="043E6A6A"/>
    <w:rsid w:val="044E6CC0"/>
    <w:rsid w:val="0539295A"/>
    <w:rsid w:val="05660893"/>
    <w:rsid w:val="05A85592"/>
    <w:rsid w:val="060429CA"/>
    <w:rsid w:val="068D67FC"/>
    <w:rsid w:val="073F0134"/>
    <w:rsid w:val="081324B7"/>
    <w:rsid w:val="08EB6AA4"/>
    <w:rsid w:val="09403E89"/>
    <w:rsid w:val="09A46EA0"/>
    <w:rsid w:val="09D65497"/>
    <w:rsid w:val="0A37499A"/>
    <w:rsid w:val="0AED49EF"/>
    <w:rsid w:val="0AFA37D1"/>
    <w:rsid w:val="0B0B41F0"/>
    <w:rsid w:val="0B6C0418"/>
    <w:rsid w:val="0B822F57"/>
    <w:rsid w:val="0BB154F2"/>
    <w:rsid w:val="0BED4A4D"/>
    <w:rsid w:val="0CEB4412"/>
    <w:rsid w:val="0E42026D"/>
    <w:rsid w:val="0E4A71EC"/>
    <w:rsid w:val="0E6B7CF8"/>
    <w:rsid w:val="0E70158D"/>
    <w:rsid w:val="0E9C554C"/>
    <w:rsid w:val="0ED2219D"/>
    <w:rsid w:val="0FAC3BF2"/>
    <w:rsid w:val="0FFF1A4B"/>
    <w:rsid w:val="100C1501"/>
    <w:rsid w:val="102A12B5"/>
    <w:rsid w:val="10E861C2"/>
    <w:rsid w:val="120946E7"/>
    <w:rsid w:val="126438D8"/>
    <w:rsid w:val="12864A67"/>
    <w:rsid w:val="13337C1E"/>
    <w:rsid w:val="135C21CC"/>
    <w:rsid w:val="138A56E3"/>
    <w:rsid w:val="138B7B40"/>
    <w:rsid w:val="140B7B9B"/>
    <w:rsid w:val="146D01AD"/>
    <w:rsid w:val="148048D8"/>
    <w:rsid w:val="14D77536"/>
    <w:rsid w:val="15093603"/>
    <w:rsid w:val="16464A1E"/>
    <w:rsid w:val="164857EC"/>
    <w:rsid w:val="167E6609"/>
    <w:rsid w:val="16B71DED"/>
    <w:rsid w:val="16D7789E"/>
    <w:rsid w:val="1789072B"/>
    <w:rsid w:val="17AD2679"/>
    <w:rsid w:val="17DC7EDC"/>
    <w:rsid w:val="17DE0F82"/>
    <w:rsid w:val="17ED66AF"/>
    <w:rsid w:val="17F256F1"/>
    <w:rsid w:val="1805361B"/>
    <w:rsid w:val="1837334B"/>
    <w:rsid w:val="18BE3A3D"/>
    <w:rsid w:val="19274601"/>
    <w:rsid w:val="1943015D"/>
    <w:rsid w:val="19745B4B"/>
    <w:rsid w:val="199F51CD"/>
    <w:rsid w:val="19BE6ADB"/>
    <w:rsid w:val="1AF20CD1"/>
    <w:rsid w:val="1BC906D9"/>
    <w:rsid w:val="1CA529F2"/>
    <w:rsid w:val="1CC72883"/>
    <w:rsid w:val="1D277738"/>
    <w:rsid w:val="1D910339"/>
    <w:rsid w:val="1DBE0FAD"/>
    <w:rsid w:val="1E3E2007"/>
    <w:rsid w:val="1E5C3B9F"/>
    <w:rsid w:val="1E8C0056"/>
    <w:rsid w:val="1EA1635D"/>
    <w:rsid w:val="1F463BCC"/>
    <w:rsid w:val="1F5264BA"/>
    <w:rsid w:val="1F72171F"/>
    <w:rsid w:val="205F66B2"/>
    <w:rsid w:val="209E61C4"/>
    <w:rsid w:val="20C973A3"/>
    <w:rsid w:val="211F6D4E"/>
    <w:rsid w:val="2146620B"/>
    <w:rsid w:val="228A6068"/>
    <w:rsid w:val="229C3BB7"/>
    <w:rsid w:val="22E33000"/>
    <w:rsid w:val="2324028E"/>
    <w:rsid w:val="23524885"/>
    <w:rsid w:val="238664AE"/>
    <w:rsid w:val="24AD22ED"/>
    <w:rsid w:val="24AF638A"/>
    <w:rsid w:val="24D459E2"/>
    <w:rsid w:val="25567A3A"/>
    <w:rsid w:val="258F7D3E"/>
    <w:rsid w:val="25BD345B"/>
    <w:rsid w:val="263F18F4"/>
    <w:rsid w:val="2675263F"/>
    <w:rsid w:val="26B45A11"/>
    <w:rsid w:val="27292CBF"/>
    <w:rsid w:val="275A345F"/>
    <w:rsid w:val="275C580D"/>
    <w:rsid w:val="28BC746F"/>
    <w:rsid w:val="29933877"/>
    <w:rsid w:val="29E63421"/>
    <w:rsid w:val="29F0426F"/>
    <w:rsid w:val="2A3A3892"/>
    <w:rsid w:val="2A4F47E2"/>
    <w:rsid w:val="2A95495F"/>
    <w:rsid w:val="2AC156D1"/>
    <w:rsid w:val="2B0C1101"/>
    <w:rsid w:val="2B4C437C"/>
    <w:rsid w:val="2B7441D8"/>
    <w:rsid w:val="2B7E2549"/>
    <w:rsid w:val="2C8C3A80"/>
    <w:rsid w:val="2CDA55F2"/>
    <w:rsid w:val="2CDD48FB"/>
    <w:rsid w:val="2D461C2F"/>
    <w:rsid w:val="2D5722BB"/>
    <w:rsid w:val="2DAC5A24"/>
    <w:rsid w:val="2E3A061F"/>
    <w:rsid w:val="2E8728DC"/>
    <w:rsid w:val="2E9671D0"/>
    <w:rsid w:val="2F0702F6"/>
    <w:rsid w:val="2F201D2E"/>
    <w:rsid w:val="2F2747ED"/>
    <w:rsid w:val="2F5D1CBD"/>
    <w:rsid w:val="2F972CA0"/>
    <w:rsid w:val="2FD17007"/>
    <w:rsid w:val="2FDD7C23"/>
    <w:rsid w:val="30EC11F1"/>
    <w:rsid w:val="30EC247B"/>
    <w:rsid w:val="31AD588C"/>
    <w:rsid w:val="31C75608"/>
    <w:rsid w:val="32A10306"/>
    <w:rsid w:val="33340647"/>
    <w:rsid w:val="337B7267"/>
    <w:rsid w:val="3395268C"/>
    <w:rsid w:val="34087933"/>
    <w:rsid w:val="349F7B11"/>
    <w:rsid w:val="354B5894"/>
    <w:rsid w:val="35FC1B0F"/>
    <w:rsid w:val="360C69B9"/>
    <w:rsid w:val="36397F99"/>
    <w:rsid w:val="364C75A8"/>
    <w:rsid w:val="365B60A3"/>
    <w:rsid w:val="372800E6"/>
    <w:rsid w:val="374313F6"/>
    <w:rsid w:val="380915DE"/>
    <w:rsid w:val="380B4C28"/>
    <w:rsid w:val="389827D1"/>
    <w:rsid w:val="38C11823"/>
    <w:rsid w:val="39F96B49"/>
    <w:rsid w:val="3A2653CA"/>
    <w:rsid w:val="3AC14E0F"/>
    <w:rsid w:val="3AD726C3"/>
    <w:rsid w:val="3B24501F"/>
    <w:rsid w:val="3B2F0011"/>
    <w:rsid w:val="3B9E3D80"/>
    <w:rsid w:val="3BA451EC"/>
    <w:rsid w:val="3BF71596"/>
    <w:rsid w:val="3C236D1E"/>
    <w:rsid w:val="3C307457"/>
    <w:rsid w:val="3C486B35"/>
    <w:rsid w:val="3C7C623C"/>
    <w:rsid w:val="3CD2517F"/>
    <w:rsid w:val="3D42605A"/>
    <w:rsid w:val="3D444A8B"/>
    <w:rsid w:val="3DFF74B2"/>
    <w:rsid w:val="3E623654"/>
    <w:rsid w:val="3E655117"/>
    <w:rsid w:val="3E7D4380"/>
    <w:rsid w:val="3F177DE3"/>
    <w:rsid w:val="3FF24886"/>
    <w:rsid w:val="400E08A8"/>
    <w:rsid w:val="403A503E"/>
    <w:rsid w:val="40C51F9A"/>
    <w:rsid w:val="41DD055F"/>
    <w:rsid w:val="41F25BB6"/>
    <w:rsid w:val="42C33D0C"/>
    <w:rsid w:val="42E24F4C"/>
    <w:rsid w:val="432A326D"/>
    <w:rsid w:val="436F3E3D"/>
    <w:rsid w:val="43CC1C12"/>
    <w:rsid w:val="43F440B6"/>
    <w:rsid w:val="441B5847"/>
    <w:rsid w:val="44753955"/>
    <w:rsid w:val="448A6ADE"/>
    <w:rsid w:val="44C665C9"/>
    <w:rsid w:val="44D51B71"/>
    <w:rsid w:val="465F341E"/>
    <w:rsid w:val="467E533A"/>
    <w:rsid w:val="46842761"/>
    <w:rsid w:val="46C453A0"/>
    <w:rsid w:val="46DA332F"/>
    <w:rsid w:val="46F241D4"/>
    <w:rsid w:val="47083E52"/>
    <w:rsid w:val="473B1103"/>
    <w:rsid w:val="47401F19"/>
    <w:rsid w:val="48131F63"/>
    <w:rsid w:val="484278F3"/>
    <w:rsid w:val="485B3840"/>
    <w:rsid w:val="4868251A"/>
    <w:rsid w:val="486C7A3D"/>
    <w:rsid w:val="48782762"/>
    <w:rsid w:val="48E84A91"/>
    <w:rsid w:val="48FD154F"/>
    <w:rsid w:val="491D0D21"/>
    <w:rsid w:val="493E6DCF"/>
    <w:rsid w:val="49450372"/>
    <w:rsid w:val="49AD1069"/>
    <w:rsid w:val="4A9F23FC"/>
    <w:rsid w:val="4ABB4F3F"/>
    <w:rsid w:val="4B4461D5"/>
    <w:rsid w:val="4B891B18"/>
    <w:rsid w:val="4BCC73A6"/>
    <w:rsid w:val="4BE3273E"/>
    <w:rsid w:val="4C6D7119"/>
    <w:rsid w:val="4C826D15"/>
    <w:rsid w:val="4D935655"/>
    <w:rsid w:val="4E0E0302"/>
    <w:rsid w:val="4F2A2AD1"/>
    <w:rsid w:val="4FC069AA"/>
    <w:rsid w:val="500512EC"/>
    <w:rsid w:val="50075B43"/>
    <w:rsid w:val="501B17B1"/>
    <w:rsid w:val="50413059"/>
    <w:rsid w:val="51002C68"/>
    <w:rsid w:val="51BA56D4"/>
    <w:rsid w:val="51FB231B"/>
    <w:rsid w:val="52AB3B13"/>
    <w:rsid w:val="52D33825"/>
    <w:rsid w:val="52D56293"/>
    <w:rsid w:val="5378201D"/>
    <w:rsid w:val="53864829"/>
    <w:rsid w:val="53FE5111"/>
    <w:rsid w:val="54131C3B"/>
    <w:rsid w:val="54155D82"/>
    <w:rsid w:val="5494558E"/>
    <w:rsid w:val="54B47FFC"/>
    <w:rsid w:val="54F04D10"/>
    <w:rsid w:val="550449D5"/>
    <w:rsid w:val="55BC6E65"/>
    <w:rsid w:val="55E87B29"/>
    <w:rsid w:val="56115292"/>
    <w:rsid w:val="56230E4A"/>
    <w:rsid w:val="569357D7"/>
    <w:rsid w:val="57E248D9"/>
    <w:rsid w:val="58233931"/>
    <w:rsid w:val="58600E39"/>
    <w:rsid w:val="586F3F45"/>
    <w:rsid w:val="5910626E"/>
    <w:rsid w:val="592B1C74"/>
    <w:rsid w:val="59A11432"/>
    <w:rsid w:val="5A1C6ADB"/>
    <w:rsid w:val="5A33429F"/>
    <w:rsid w:val="5A360C9C"/>
    <w:rsid w:val="5AC36A31"/>
    <w:rsid w:val="5ADB23DB"/>
    <w:rsid w:val="5B5E1ED6"/>
    <w:rsid w:val="5BA14CEC"/>
    <w:rsid w:val="5C3A0466"/>
    <w:rsid w:val="5C8171DA"/>
    <w:rsid w:val="5C8C1FA3"/>
    <w:rsid w:val="5CFA3502"/>
    <w:rsid w:val="5D477BE1"/>
    <w:rsid w:val="5D737345"/>
    <w:rsid w:val="5E8C1A98"/>
    <w:rsid w:val="5EF860A7"/>
    <w:rsid w:val="5F5F79DF"/>
    <w:rsid w:val="5FF808D3"/>
    <w:rsid w:val="604805B4"/>
    <w:rsid w:val="60A54593"/>
    <w:rsid w:val="60D53E42"/>
    <w:rsid w:val="6284784F"/>
    <w:rsid w:val="637020B1"/>
    <w:rsid w:val="63BC1F75"/>
    <w:rsid w:val="63CB798E"/>
    <w:rsid w:val="641960FD"/>
    <w:rsid w:val="65204566"/>
    <w:rsid w:val="653C483F"/>
    <w:rsid w:val="656013EC"/>
    <w:rsid w:val="662D5EEB"/>
    <w:rsid w:val="663911BE"/>
    <w:rsid w:val="66D42E98"/>
    <w:rsid w:val="67A655AA"/>
    <w:rsid w:val="67B73B10"/>
    <w:rsid w:val="682123CE"/>
    <w:rsid w:val="68552BDF"/>
    <w:rsid w:val="685C2AE7"/>
    <w:rsid w:val="68C07F6D"/>
    <w:rsid w:val="69023DAC"/>
    <w:rsid w:val="69681EC7"/>
    <w:rsid w:val="69EA0FC2"/>
    <w:rsid w:val="6ACA6411"/>
    <w:rsid w:val="6ADA52C0"/>
    <w:rsid w:val="6AFF454F"/>
    <w:rsid w:val="6B683572"/>
    <w:rsid w:val="6C5B6D6C"/>
    <w:rsid w:val="6CE6515A"/>
    <w:rsid w:val="6DAA2D5F"/>
    <w:rsid w:val="6DB86582"/>
    <w:rsid w:val="6E390212"/>
    <w:rsid w:val="6EA873FC"/>
    <w:rsid w:val="6EDA72A4"/>
    <w:rsid w:val="6F5E599A"/>
    <w:rsid w:val="6FDB793C"/>
    <w:rsid w:val="700C01E0"/>
    <w:rsid w:val="702562C1"/>
    <w:rsid w:val="704B54E7"/>
    <w:rsid w:val="70655DCD"/>
    <w:rsid w:val="712D1CC7"/>
    <w:rsid w:val="72345B92"/>
    <w:rsid w:val="724167CD"/>
    <w:rsid w:val="72C77A74"/>
    <w:rsid w:val="736812E1"/>
    <w:rsid w:val="736C4DED"/>
    <w:rsid w:val="73F56640"/>
    <w:rsid w:val="745D3528"/>
    <w:rsid w:val="746627BE"/>
    <w:rsid w:val="74A440D2"/>
    <w:rsid w:val="757B21AD"/>
    <w:rsid w:val="75DF74B1"/>
    <w:rsid w:val="75EF7CB7"/>
    <w:rsid w:val="769357C3"/>
    <w:rsid w:val="76EF3F8D"/>
    <w:rsid w:val="776452EF"/>
    <w:rsid w:val="776B1ADF"/>
    <w:rsid w:val="77F72638"/>
    <w:rsid w:val="77F7714A"/>
    <w:rsid w:val="780815B7"/>
    <w:rsid w:val="7814746C"/>
    <w:rsid w:val="78883AA5"/>
    <w:rsid w:val="78F71131"/>
    <w:rsid w:val="79942BBD"/>
    <w:rsid w:val="7A2E561A"/>
    <w:rsid w:val="7A7C5828"/>
    <w:rsid w:val="7B910A4C"/>
    <w:rsid w:val="7BB877FE"/>
    <w:rsid w:val="7C623AB3"/>
    <w:rsid w:val="7CB74161"/>
    <w:rsid w:val="7D643C31"/>
    <w:rsid w:val="7D9D5ECC"/>
    <w:rsid w:val="7E05532A"/>
    <w:rsid w:val="7F0E1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rFonts w:ascii="宋体" w:hAnsi="Courier New"/>
      <w:b/>
      <w:bCs/>
      <w:kern w:val="44"/>
      <w:sz w:val="44"/>
      <w:szCs w:val="44"/>
    </w:rPr>
  </w:style>
  <w:style w:type="paragraph" w:styleId="4">
    <w:name w:val="heading 2"/>
    <w:basedOn w:val="1"/>
    <w:next w:val="1"/>
    <w:link w:val="52"/>
    <w:qFormat/>
    <w:uiPriority w:val="0"/>
    <w:pPr>
      <w:keepNext/>
      <w:jc w:val="center"/>
      <w:outlineLvl w:val="1"/>
    </w:pPr>
    <w:rPr>
      <w:rFonts w:ascii="黑体" w:eastAsia="黑体"/>
      <w:b/>
      <w:color w:val="000000"/>
      <w:sz w:val="24"/>
      <w:szCs w:val="20"/>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tabs>
        <w:tab w:val="left" w:pos="864"/>
      </w:tabs>
      <w:adjustRightInd w:val="0"/>
      <w:spacing w:before="280" w:after="290" w:line="376" w:lineRule="atLeast"/>
      <w:ind w:left="864" w:hanging="864"/>
      <w:textAlignment w:val="baseline"/>
      <w:outlineLvl w:val="3"/>
    </w:pPr>
    <w:rPr>
      <w:rFonts w:ascii="Arial" w:hAnsi="Arial" w:eastAsia="黑体"/>
      <w:b/>
      <w:kern w:val="0"/>
      <w:sz w:val="28"/>
      <w:szCs w:val="20"/>
    </w:rPr>
  </w:style>
  <w:style w:type="paragraph" w:styleId="7">
    <w:name w:val="heading 5"/>
    <w:basedOn w:val="1"/>
    <w:next w:val="1"/>
    <w:link w:val="55"/>
    <w:qFormat/>
    <w:uiPriority w:val="0"/>
    <w:pPr>
      <w:keepNext/>
      <w:keepLines/>
      <w:tabs>
        <w:tab w:val="left" w:pos="1008"/>
      </w:tabs>
      <w:adjustRightInd w:val="0"/>
      <w:spacing w:before="280" w:after="290" w:line="376" w:lineRule="atLeast"/>
      <w:ind w:left="1008" w:hanging="1008"/>
      <w:textAlignment w:val="baseline"/>
      <w:outlineLvl w:val="4"/>
    </w:pPr>
    <w:rPr>
      <w:b/>
      <w:kern w:val="0"/>
      <w:sz w:val="28"/>
      <w:szCs w:val="20"/>
    </w:rPr>
  </w:style>
  <w:style w:type="paragraph" w:styleId="8">
    <w:name w:val="heading 6"/>
    <w:basedOn w:val="1"/>
    <w:next w:val="1"/>
    <w:link w:val="56"/>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kern w:val="0"/>
      <w:sz w:val="24"/>
      <w:szCs w:val="20"/>
    </w:rPr>
  </w:style>
  <w:style w:type="paragraph" w:styleId="9">
    <w:name w:val="heading 7"/>
    <w:basedOn w:val="1"/>
    <w:next w:val="1"/>
    <w:link w:val="57"/>
    <w:qFormat/>
    <w:uiPriority w:val="0"/>
    <w:pPr>
      <w:keepNext/>
      <w:keepLines/>
      <w:tabs>
        <w:tab w:val="left" w:pos="1296"/>
      </w:tabs>
      <w:adjustRightInd w:val="0"/>
      <w:spacing w:before="240" w:after="64" w:line="320" w:lineRule="atLeast"/>
      <w:ind w:left="1296" w:hanging="1296"/>
      <w:textAlignment w:val="baseline"/>
      <w:outlineLvl w:val="6"/>
    </w:pPr>
    <w:rPr>
      <w:b/>
      <w:kern w:val="0"/>
      <w:sz w:val="24"/>
      <w:szCs w:val="20"/>
    </w:rPr>
  </w:style>
  <w:style w:type="paragraph" w:styleId="10">
    <w:name w:val="heading 8"/>
    <w:basedOn w:val="1"/>
    <w:next w:val="1"/>
    <w:link w:val="58"/>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 w:val="24"/>
      <w:szCs w:val="20"/>
    </w:rPr>
  </w:style>
  <w:style w:type="paragraph" w:styleId="11">
    <w:name w:val="heading 9"/>
    <w:basedOn w:val="1"/>
    <w:next w:val="1"/>
    <w:link w:val="59"/>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4"/>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12">
    <w:name w:val="List 3"/>
    <w:basedOn w:val="1"/>
    <w:qFormat/>
    <w:uiPriority w:val="0"/>
    <w:pPr>
      <w:ind w:left="100" w:leftChars="400" w:hanging="200" w:hangingChars="200"/>
    </w:pPr>
  </w:style>
  <w:style w:type="paragraph" w:styleId="13">
    <w:name w:val="Normal Indent"/>
    <w:basedOn w:val="1"/>
    <w:link w:val="70"/>
    <w:qFormat/>
    <w:uiPriority w:val="0"/>
    <w:pPr>
      <w:ind w:firstLine="420" w:firstLineChars="200"/>
    </w:p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1"/>
      </w:numPr>
    </w:pPr>
  </w:style>
  <w:style w:type="paragraph" w:styleId="16">
    <w:name w:val="annotation text"/>
    <w:basedOn w:val="1"/>
    <w:link w:val="164"/>
    <w:semiHidden/>
    <w:qFormat/>
    <w:uiPriority w:val="0"/>
    <w:pPr>
      <w:jc w:val="left"/>
    </w:pPr>
    <w:rPr>
      <w:rFonts w:asciiTheme="minorHAnsi" w:hAnsiTheme="minorHAnsi" w:cstheme="minorBidi"/>
    </w:rPr>
  </w:style>
  <w:style w:type="paragraph" w:styleId="17">
    <w:name w:val="Body Text 3"/>
    <w:basedOn w:val="1"/>
    <w:link w:val="174"/>
    <w:qFormat/>
    <w:uiPriority w:val="99"/>
    <w:pPr>
      <w:spacing w:after="120"/>
    </w:pPr>
    <w:rPr>
      <w:sz w:val="16"/>
      <w:szCs w:val="16"/>
    </w:rPr>
  </w:style>
  <w:style w:type="paragraph" w:styleId="18">
    <w:name w:val="Body Text"/>
    <w:basedOn w:val="1"/>
    <w:link w:val="68"/>
    <w:qFormat/>
    <w:uiPriority w:val="0"/>
    <w:pPr>
      <w:spacing w:after="120"/>
    </w:pPr>
  </w:style>
  <w:style w:type="paragraph" w:styleId="19">
    <w:name w:val="Body Text Indent"/>
    <w:basedOn w:val="1"/>
    <w:link w:val="63"/>
    <w:qFormat/>
    <w:uiPriority w:val="0"/>
    <w:pPr>
      <w:spacing w:line="540" w:lineRule="exact"/>
      <w:ind w:firstLine="480" w:firstLineChars="200"/>
    </w:pPr>
    <w:rPr>
      <w:sz w:val="24"/>
    </w:rPr>
  </w:style>
  <w:style w:type="paragraph" w:styleId="20">
    <w:name w:val="List Number 3"/>
    <w:basedOn w:val="1"/>
    <w:qFormat/>
    <w:uiPriority w:val="0"/>
    <w:pPr>
      <w:widowControl/>
      <w:numPr>
        <w:ilvl w:val="0"/>
        <w:numId w:val="2"/>
      </w:numPr>
      <w:tabs>
        <w:tab w:val="left" w:pos="482"/>
      </w:tabs>
      <w:spacing w:afterLines="50"/>
      <w:ind w:left="482" w:hanging="340"/>
      <w:jc w:val="left"/>
    </w:pPr>
    <w:rPr>
      <w:kern w:val="0"/>
      <w:sz w:val="24"/>
      <w:szCs w:val="20"/>
    </w:rPr>
  </w:style>
  <w:style w:type="paragraph" w:styleId="21">
    <w:name w:val="List 2"/>
    <w:basedOn w:val="1"/>
    <w:qFormat/>
    <w:uiPriority w:val="0"/>
    <w:pPr>
      <w:ind w:left="200" w:leftChars="200" w:hanging="200" w:hangingChars="200"/>
    </w:pPr>
  </w:style>
  <w:style w:type="paragraph" w:styleId="22">
    <w:name w:val="toc 3"/>
    <w:basedOn w:val="1"/>
    <w:next w:val="1"/>
    <w:qFormat/>
    <w:uiPriority w:val="39"/>
    <w:pPr>
      <w:tabs>
        <w:tab w:val="right" w:leader="dot" w:pos="9060"/>
      </w:tabs>
      <w:ind w:left="840" w:leftChars="400"/>
    </w:pPr>
  </w:style>
  <w:style w:type="paragraph" w:styleId="23">
    <w:name w:val="Plain Text"/>
    <w:basedOn w:val="1"/>
    <w:link w:val="74"/>
    <w:qFormat/>
    <w:uiPriority w:val="0"/>
    <w:pPr>
      <w:widowControl/>
      <w:spacing w:before="120" w:after="120" w:line="240" w:lineRule="atLeast"/>
    </w:pPr>
    <w:rPr>
      <w:rFonts w:ascii="宋体" w:hAnsi="Courier New"/>
      <w:sz w:val="28"/>
      <w:szCs w:val="20"/>
    </w:rPr>
  </w:style>
  <w:style w:type="paragraph" w:styleId="24">
    <w:name w:val="Date"/>
    <w:basedOn w:val="1"/>
    <w:next w:val="1"/>
    <w:link w:val="64"/>
    <w:qFormat/>
    <w:uiPriority w:val="0"/>
    <w:pPr>
      <w:ind w:left="100" w:leftChars="2500"/>
    </w:pPr>
  </w:style>
  <w:style w:type="paragraph" w:styleId="25">
    <w:name w:val="Body Text Indent 2"/>
    <w:basedOn w:val="1"/>
    <w:link w:val="65"/>
    <w:qFormat/>
    <w:uiPriority w:val="0"/>
    <w:pPr>
      <w:spacing w:after="120" w:line="480" w:lineRule="auto"/>
      <w:ind w:left="420" w:leftChars="200"/>
    </w:pPr>
  </w:style>
  <w:style w:type="paragraph" w:styleId="26">
    <w:name w:val="Balloon Text"/>
    <w:basedOn w:val="1"/>
    <w:link w:val="95"/>
    <w:semiHidden/>
    <w:qFormat/>
    <w:uiPriority w:val="0"/>
    <w:rPr>
      <w:sz w:val="18"/>
      <w:szCs w:val="18"/>
    </w:rPr>
  </w:style>
  <w:style w:type="paragraph" w:styleId="27">
    <w:name w:val="footer"/>
    <w:basedOn w:val="1"/>
    <w:link w:val="62"/>
    <w:qFormat/>
    <w:uiPriority w:val="99"/>
    <w:pPr>
      <w:tabs>
        <w:tab w:val="center" w:pos="4153"/>
        <w:tab w:val="right" w:pos="8306"/>
      </w:tabs>
      <w:snapToGrid w:val="0"/>
      <w:jc w:val="left"/>
    </w:pPr>
    <w:rPr>
      <w:sz w:val="18"/>
      <w:szCs w:val="18"/>
    </w:rPr>
  </w:style>
  <w:style w:type="paragraph" w:styleId="28">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adjustRightInd w:val="0"/>
      <w:spacing w:before="120" w:after="120" w:line="360" w:lineRule="auto"/>
      <w:ind w:firstLine="425"/>
      <w:jc w:val="left"/>
      <w:textAlignment w:val="baseline"/>
    </w:pPr>
    <w:rPr>
      <w:b/>
      <w:caps/>
      <w:sz w:val="20"/>
      <w:szCs w:val="20"/>
    </w:rPr>
  </w:style>
  <w:style w:type="paragraph" w:styleId="30">
    <w:name w:val="Body Text Indent 3"/>
    <w:basedOn w:val="1"/>
    <w:link w:val="66"/>
    <w:qFormat/>
    <w:uiPriority w:val="0"/>
    <w:pPr>
      <w:spacing w:after="120"/>
      <w:ind w:left="420" w:leftChars="200"/>
    </w:pPr>
    <w:rPr>
      <w:sz w:val="16"/>
      <w:szCs w:val="16"/>
    </w:rPr>
  </w:style>
  <w:style w:type="paragraph" w:styleId="31">
    <w:name w:val="toc 2"/>
    <w:basedOn w:val="1"/>
    <w:next w:val="1"/>
    <w:qFormat/>
    <w:uiPriority w:val="39"/>
    <w:pPr>
      <w:ind w:left="420" w:leftChars="200"/>
    </w:pPr>
  </w:style>
  <w:style w:type="paragraph" w:styleId="32">
    <w:name w:val="Body Text 2"/>
    <w:basedOn w:val="1"/>
    <w:link w:val="82"/>
    <w:qFormat/>
    <w:uiPriority w:val="0"/>
    <w:pPr>
      <w:spacing w:after="120" w:line="480" w:lineRule="auto"/>
    </w:pPr>
  </w:style>
  <w:style w:type="paragraph" w:styleId="3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5">
    <w:name w:val="index 1"/>
    <w:basedOn w:val="1"/>
    <w:next w:val="1"/>
    <w:semiHidden/>
    <w:qFormat/>
    <w:uiPriority w:val="0"/>
    <w:pPr>
      <w:adjustRightInd w:val="0"/>
      <w:spacing w:line="360" w:lineRule="auto"/>
      <w:ind w:left="240" w:hanging="240"/>
      <w:jc w:val="left"/>
      <w:textAlignment w:val="baseline"/>
    </w:pPr>
    <w:rPr>
      <w:sz w:val="20"/>
      <w:szCs w:val="20"/>
    </w:rPr>
  </w:style>
  <w:style w:type="paragraph" w:styleId="36">
    <w:name w:val="index 2"/>
    <w:basedOn w:val="1"/>
    <w:next w:val="1"/>
    <w:semiHidden/>
    <w:qFormat/>
    <w:uiPriority w:val="0"/>
    <w:pPr>
      <w:adjustRightInd w:val="0"/>
      <w:spacing w:line="360" w:lineRule="auto"/>
      <w:ind w:left="480" w:hanging="240"/>
      <w:jc w:val="left"/>
      <w:textAlignment w:val="baseline"/>
    </w:pPr>
    <w:rPr>
      <w:sz w:val="20"/>
      <w:szCs w:val="20"/>
    </w:rPr>
  </w:style>
  <w:style w:type="paragraph" w:styleId="37">
    <w:name w:val="annotation subject"/>
    <w:basedOn w:val="16"/>
    <w:next w:val="16"/>
    <w:link w:val="163"/>
    <w:qFormat/>
    <w:uiPriority w:val="0"/>
    <w:rPr>
      <w:b/>
      <w:bCs/>
    </w:rPr>
  </w:style>
  <w:style w:type="paragraph" w:styleId="38">
    <w:name w:val="Body Text First Indent"/>
    <w:basedOn w:val="18"/>
    <w:link w:val="72"/>
    <w:qFormat/>
    <w:uiPriority w:val="0"/>
    <w:pPr>
      <w:ind w:firstLine="420" w:firstLineChars="100"/>
    </w:pPr>
  </w:style>
  <w:style w:type="paragraph" w:styleId="39">
    <w:name w:val="Body Text First Indent 2"/>
    <w:basedOn w:val="19"/>
    <w:link w:val="118"/>
    <w:qFormat/>
    <w:uiPriority w:val="0"/>
    <w:pPr>
      <w:spacing w:after="120" w:line="240" w:lineRule="auto"/>
      <w:ind w:left="420" w:leftChars="200" w:firstLine="420"/>
    </w:pPr>
    <w:rPr>
      <w:sz w:val="21"/>
    </w:rPr>
  </w:style>
  <w:style w:type="table" w:styleId="41">
    <w:name w:val="Table Grid"/>
    <w:basedOn w:val="40"/>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Elegant"/>
    <w:basedOn w:val="40"/>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HTML Sample"/>
    <w:qFormat/>
    <w:uiPriority w:val="0"/>
    <w:rPr>
      <w:rFonts w:ascii="Courier New" w:hAnsi="Courier New"/>
    </w:rPr>
  </w:style>
  <w:style w:type="character" w:customStyle="1" w:styleId="51">
    <w:name w:val="标题 1 Char1"/>
    <w:basedOn w:val="43"/>
    <w:link w:val="3"/>
    <w:qFormat/>
    <w:uiPriority w:val="0"/>
    <w:rPr>
      <w:rFonts w:ascii="宋体" w:hAnsi="Courier New" w:eastAsia="宋体" w:cs="Times New Roman"/>
      <w:b/>
      <w:bCs/>
      <w:kern w:val="44"/>
      <w:sz w:val="44"/>
      <w:szCs w:val="44"/>
    </w:rPr>
  </w:style>
  <w:style w:type="character" w:customStyle="1" w:styleId="52">
    <w:name w:val="标题 2 Char1"/>
    <w:basedOn w:val="43"/>
    <w:link w:val="4"/>
    <w:qFormat/>
    <w:uiPriority w:val="0"/>
    <w:rPr>
      <w:rFonts w:ascii="黑体" w:hAnsi="Times New Roman" w:eastAsia="黑体" w:cs="Times New Roman"/>
      <w:b/>
      <w:color w:val="000000"/>
      <w:sz w:val="24"/>
      <w:szCs w:val="20"/>
    </w:rPr>
  </w:style>
  <w:style w:type="character" w:customStyle="1" w:styleId="53">
    <w:name w:val="标题 3 Char1"/>
    <w:basedOn w:val="43"/>
    <w:link w:val="5"/>
    <w:qFormat/>
    <w:uiPriority w:val="0"/>
    <w:rPr>
      <w:rFonts w:ascii="Times New Roman" w:hAnsi="Times New Roman" w:eastAsia="宋体" w:cs="Times New Roman"/>
      <w:b/>
      <w:bCs/>
      <w:sz w:val="32"/>
      <w:szCs w:val="32"/>
    </w:rPr>
  </w:style>
  <w:style w:type="character" w:customStyle="1" w:styleId="54">
    <w:name w:val="标题 4 Char"/>
    <w:basedOn w:val="43"/>
    <w:link w:val="6"/>
    <w:qFormat/>
    <w:uiPriority w:val="0"/>
    <w:rPr>
      <w:rFonts w:ascii="Arial" w:hAnsi="Arial" w:eastAsia="黑体" w:cs="Times New Roman"/>
      <w:b/>
      <w:kern w:val="0"/>
      <w:sz w:val="28"/>
      <w:szCs w:val="20"/>
    </w:rPr>
  </w:style>
  <w:style w:type="character" w:customStyle="1" w:styleId="55">
    <w:name w:val="标题 5 Char"/>
    <w:basedOn w:val="43"/>
    <w:link w:val="7"/>
    <w:qFormat/>
    <w:uiPriority w:val="0"/>
    <w:rPr>
      <w:rFonts w:ascii="Times New Roman" w:hAnsi="Times New Roman" w:eastAsia="宋体" w:cs="Times New Roman"/>
      <w:b/>
      <w:kern w:val="0"/>
      <w:sz w:val="28"/>
      <w:szCs w:val="20"/>
    </w:rPr>
  </w:style>
  <w:style w:type="character" w:customStyle="1" w:styleId="56">
    <w:name w:val="标题 6 Char"/>
    <w:basedOn w:val="43"/>
    <w:link w:val="8"/>
    <w:qFormat/>
    <w:uiPriority w:val="0"/>
    <w:rPr>
      <w:rFonts w:ascii="Arial" w:hAnsi="Arial" w:eastAsia="黑体" w:cs="Times New Roman"/>
      <w:b/>
      <w:kern w:val="0"/>
      <w:sz w:val="24"/>
      <w:szCs w:val="20"/>
    </w:rPr>
  </w:style>
  <w:style w:type="character" w:customStyle="1" w:styleId="57">
    <w:name w:val="标题 7 Char"/>
    <w:basedOn w:val="43"/>
    <w:link w:val="9"/>
    <w:qFormat/>
    <w:uiPriority w:val="0"/>
    <w:rPr>
      <w:rFonts w:ascii="Times New Roman" w:hAnsi="Times New Roman" w:eastAsia="宋体" w:cs="Times New Roman"/>
      <w:b/>
      <w:kern w:val="0"/>
      <w:sz w:val="24"/>
      <w:szCs w:val="20"/>
    </w:rPr>
  </w:style>
  <w:style w:type="character" w:customStyle="1" w:styleId="58">
    <w:name w:val="标题 8 Char"/>
    <w:basedOn w:val="43"/>
    <w:link w:val="10"/>
    <w:qFormat/>
    <w:uiPriority w:val="0"/>
    <w:rPr>
      <w:rFonts w:ascii="Arial" w:hAnsi="Arial" w:eastAsia="黑体" w:cs="Times New Roman"/>
      <w:kern w:val="0"/>
      <w:sz w:val="24"/>
      <w:szCs w:val="20"/>
    </w:rPr>
  </w:style>
  <w:style w:type="character" w:customStyle="1" w:styleId="59">
    <w:name w:val="标题 9 Char"/>
    <w:basedOn w:val="43"/>
    <w:link w:val="11"/>
    <w:qFormat/>
    <w:uiPriority w:val="0"/>
    <w:rPr>
      <w:rFonts w:ascii="Arial" w:hAnsi="Arial" w:eastAsia="黑体" w:cs="Times New Roman"/>
      <w:kern w:val="0"/>
      <w:sz w:val="24"/>
      <w:szCs w:val="20"/>
    </w:rPr>
  </w:style>
  <w:style w:type="paragraph" w:customStyle="1" w:styleId="60">
    <w:name w:val="Char1"/>
    <w:basedOn w:val="1"/>
    <w:qFormat/>
    <w:uiPriority w:val="0"/>
  </w:style>
  <w:style w:type="character" w:customStyle="1" w:styleId="61">
    <w:name w:val="页眉 Char1"/>
    <w:basedOn w:val="43"/>
    <w:link w:val="28"/>
    <w:qFormat/>
    <w:uiPriority w:val="0"/>
    <w:rPr>
      <w:rFonts w:ascii="Times New Roman" w:hAnsi="Times New Roman" w:eastAsia="宋体" w:cs="Times New Roman"/>
      <w:sz w:val="18"/>
      <w:szCs w:val="18"/>
    </w:rPr>
  </w:style>
  <w:style w:type="character" w:customStyle="1" w:styleId="62">
    <w:name w:val="页脚 Char1"/>
    <w:basedOn w:val="43"/>
    <w:link w:val="27"/>
    <w:qFormat/>
    <w:uiPriority w:val="99"/>
    <w:rPr>
      <w:rFonts w:ascii="Times New Roman" w:hAnsi="Times New Roman" w:eastAsia="宋体" w:cs="Times New Roman"/>
      <w:sz w:val="18"/>
      <w:szCs w:val="18"/>
    </w:rPr>
  </w:style>
  <w:style w:type="character" w:customStyle="1" w:styleId="63">
    <w:name w:val="正文文本缩进 Char1"/>
    <w:basedOn w:val="43"/>
    <w:link w:val="19"/>
    <w:qFormat/>
    <w:uiPriority w:val="0"/>
    <w:rPr>
      <w:rFonts w:ascii="Times New Roman" w:hAnsi="Times New Roman" w:eastAsia="宋体" w:cs="Times New Roman"/>
      <w:sz w:val="24"/>
      <w:szCs w:val="24"/>
    </w:rPr>
  </w:style>
  <w:style w:type="character" w:customStyle="1" w:styleId="64">
    <w:name w:val="日期 Char1"/>
    <w:basedOn w:val="43"/>
    <w:link w:val="24"/>
    <w:qFormat/>
    <w:uiPriority w:val="0"/>
    <w:rPr>
      <w:rFonts w:ascii="Times New Roman" w:hAnsi="Times New Roman" w:eastAsia="宋体" w:cs="Times New Roman"/>
      <w:szCs w:val="24"/>
    </w:rPr>
  </w:style>
  <w:style w:type="character" w:customStyle="1" w:styleId="65">
    <w:name w:val="正文文本缩进 2 Char"/>
    <w:basedOn w:val="43"/>
    <w:link w:val="25"/>
    <w:qFormat/>
    <w:uiPriority w:val="0"/>
    <w:rPr>
      <w:rFonts w:ascii="Times New Roman" w:hAnsi="Times New Roman" w:eastAsia="宋体" w:cs="Times New Roman"/>
      <w:szCs w:val="24"/>
    </w:rPr>
  </w:style>
  <w:style w:type="character" w:customStyle="1" w:styleId="66">
    <w:name w:val="正文文本缩进 3 Char"/>
    <w:basedOn w:val="43"/>
    <w:link w:val="30"/>
    <w:qFormat/>
    <w:uiPriority w:val="0"/>
    <w:rPr>
      <w:rFonts w:ascii="Times New Roman" w:hAnsi="Times New Roman" w:eastAsia="宋体" w:cs="Times New Roman"/>
      <w:sz w:val="16"/>
      <w:szCs w:val="16"/>
    </w:rPr>
  </w:style>
  <w:style w:type="character" w:customStyle="1" w:styleId="67">
    <w:name w:val="正文文本 Char"/>
    <w:basedOn w:val="43"/>
    <w:qFormat/>
    <w:uiPriority w:val="0"/>
    <w:rPr>
      <w:rFonts w:ascii="Times New Roman" w:hAnsi="Times New Roman" w:eastAsia="宋体" w:cs="Times New Roman"/>
      <w:szCs w:val="24"/>
    </w:rPr>
  </w:style>
  <w:style w:type="character" w:customStyle="1" w:styleId="68">
    <w:name w:val="正文文本 Char2"/>
    <w:link w:val="18"/>
    <w:qFormat/>
    <w:uiPriority w:val="0"/>
    <w:rPr>
      <w:rFonts w:ascii="Times New Roman" w:hAnsi="Times New Roman" w:eastAsia="宋体" w:cs="Times New Roman"/>
      <w:szCs w:val="24"/>
    </w:rPr>
  </w:style>
  <w:style w:type="paragraph" w:customStyle="1" w:styleId="69">
    <w:name w:val="图表题注"/>
    <w:basedOn w:val="14"/>
    <w:next w:val="13"/>
    <w:qFormat/>
    <w:uiPriority w:val="0"/>
    <w:pPr>
      <w:spacing w:before="152" w:after="160"/>
      <w:jc w:val="center"/>
    </w:pPr>
    <w:rPr>
      <w:rFonts w:ascii="Times New Roman" w:hAnsi="Times New Roman" w:eastAsia="宋体" w:cs="Times New Roman"/>
      <w:sz w:val="21"/>
    </w:rPr>
  </w:style>
  <w:style w:type="character" w:customStyle="1" w:styleId="70">
    <w:name w:val="正文缩进 Char"/>
    <w:link w:val="13"/>
    <w:qFormat/>
    <w:uiPriority w:val="0"/>
    <w:rPr>
      <w:rFonts w:ascii="Times New Roman" w:hAnsi="Times New Roman" w:eastAsia="宋体" w:cs="Times New Roman"/>
      <w:szCs w:val="24"/>
    </w:rPr>
  </w:style>
  <w:style w:type="paragraph" w:customStyle="1" w:styleId="7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2">
    <w:name w:val="正文首行缩进 Char"/>
    <w:basedOn w:val="67"/>
    <w:link w:val="38"/>
    <w:qFormat/>
    <w:uiPriority w:val="0"/>
    <w:rPr>
      <w:rFonts w:ascii="Times New Roman" w:hAnsi="Times New Roman" w:eastAsia="宋体" w:cs="Times New Roman"/>
      <w:szCs w:val="24"/>
    </w:rPr>
  </w:style>
  <w:style w:type="character" w:customStyle="1" w:styleId="73">
    <w:name w:val="纯文本 Char"/>
    <w:basedOn w:val="43"/>
    <w:semiHidden/>
    <w:qFormat/>
    <w:uiPriority w:val="99"/>
    <w:rPr>
      <w:rFonts w:ascii="宋体" w:hAnsi="Courier New" w:eastAsia="宋体" w:cs="Courier New"/>
      <w:szCs w:val="21"/>
    </w:rPr>
  </w:style>
  <w:style w:type="character" w:customStyle="1" w:styleId="74">
    <w:name w:val="纯文本 Char2"/>
    <w:link w:val="23"/>
    <w:qFormat/>
    <w:uiPriority w:val="0"/>
    <w:rPr>
      <w:rFonts w:ascii="宋体" w:hAnsi="Courier New" w:eastAsia="宋体" w:cs="Times New Roman"/>
      <w:sz w:val="28"/>
      <w:szCs w:val="20"/>
    </w:rPr>
  </w:style>
  <w:style w:type="character" w:customStyle="1" w:styleId="75">
    <w:name w:val="case31"/>
    <w:qFormat/>
    <w:uiPriority w:val="0"/>
    <w:rPr>
      <w:rFonts w:hint="default" w:ascii="ˎ̥" w:hAnsi="ˎ̥"/>
      <w:sz w:val="21"/>
      <w:szCs w:val="21"/>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77">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78">
    <w:name w:val="正文文本 21"/>
    <w:basedOn w:val="1"/>
    <w:qFormat/>
    <w:uiPriority w:val="0"/>
    <w:pPr>
      <w:adjustRightInd w:val="0"/>
      <w:ind w:left="1332"/>
      <w:jc w:val="left"/>
      <w:textAlignment w:val="baseline"/>
    </w:pPr>
    <w:rPr>
      <w:spacing w:val="-20"/>
      <w:sz w:val="28"/>
      <w:szCs w:val="20"/>
    </w:rPr>
  </w:style>
  <w:style w:type="paragraph" w:customStyle="1" w:styleId="79">
    <w:name w:val="表格文字"/>
    <w:next w:val="18"/>
    <w:qFormat/>
    <w:uiPriority w:val="0"/>
    <w:pPr>
      <w:jc w:val="center"/>
    </w:pPr>
    <w:rPr>
      <w:rFonts w:ascii="Times New Roman" w:hAnsi="Times New Roman" w:eastAsia="楷体_GB2312" w:cs="Times New Roman"/>
      <w:bCs/>
      <w:sz w:val="24"/>
      <w:lang w:val="en-US" w:eastAsia="zh-CN" w:bidi="ar-SA"/>
    </w:rPr>
  </w:style>
  <w:style w:type="paragraph" w:customStyle="1" w:styleId="80">
    <w:name w:val="标题10"/>
    <w:basedOn w:val="9"/>
    <w:qFormat/>
    <w:uiPriority w:val="0"/>
    <w:pPr>
      <w:tabs>
        <w:tab w:val="left" w:pos="360"/>
        <w:tab w:val="left" w:pos="720"/>
        <w:tab w:val="clear" w:pos="1296"/>
      </w:tabs>
      <w:ind w:left="901" w:leftChars="300" w:hanging="181"/>
    </w:pPr>
    <w:rPr>
      <w:rFonts w:eastAsia="楷体_GB2312"/>
      <w:szCs w:val="24"/>
    </w:rPr>
  </w:style>
  <w:style w:type="character" w:customStyle="1" w:styleId="81">
    <w:name w:val="正文文本 3 Char"/>
    <w:basedOn w:val="43"/>
    <w:semiHidden/>
    <w:qFormat/>
    <w:uiPriority w:val="99"/>
    <w:rPr>
      <w:rFonts w:ascii="Times New Roman" w:hAnsi="Times New Roman" w:eastAsia="宋体" w:cs="Times New Roman"/>
      <w:sz w:val="16"/>
      <w:szCs w:val="16"/>
    </w:rPr>
  </w:style>
  <w:style w:type="character" w:customStyle="1" w:styleId="82">
    <w:name w:val="正文文本 2 Char1"/>
    <w:basedOn w:val="43"/>
    <w:link w:val="32"/>
    <w:qFormat/>
    <w:uiPriority w:val="0"/>
    <w:rPr>
      <w:rFonts w:ascii="Times New Roman" w:hAnsi="Times New Roman" w:eastAsia="宋体" w:cs="Times New Roman"/>
      <w:szCs w:val="24"/>
    </w:rPr>
  </w:style>
  <w:style w:type="paragraph" w:customStyle="1" w:styleId="83">
    <w:name w:val="Achievement"/>
    <w:basedOn w:val="1"/>
    <w:qFormat/>
    <w:uiPriority w:val="0"/>
    <w:pPr>
      <w:widowControl/>
      <w:ind w:left="180" w:hanging="180"/>
      <w:jc w:val="left"/>
    </w:pPr>
    <w:rPr>
      <w:kern w:val="0"/>
      <w:sz w:val="20"/>
      <w:szCs w:val="20"/>
    </w:rPr>
  </w:style>
  <w:style w:type="paragraph" w:customStyle="1" w:styleId="84">
    <w:name w:val="样式2"/>
    <w:basedOn w:val="1"/>
    <w:qFormat/>
    <w:uiPriority w:val="0"/>
    <w:rPr>
      <w:szCs w:val="20"/>
    </w:rPr>
  </w:style>
  <w:style w:type="character" w:customStyle="1" w:styleId="85">
    <w:name w:val="style141"/>
    <w:qFormat/>
    <w:uiPriority w:val="0"/>
    <w:rPr>
      <w:b/>
      <w:bCs/>
      <w:color w:val="FF9900"/>
      <w:sz w:val="22"/>
      <w:szCs w:val="22"/>
    </w:rPr>
  </w:style>
  <w:style w:type="paragraph" w:customStyle="1" w:styleId="86">
    <w:name w:val="Char"/>
    <w:basedOn w:val="1"/>
    <w:qFormat/>
    <w:uiPriority w:val="0"/>
  </w:style>
  <w:style w:type="paragraph" w:customStyle="1" w:styleId="87">
    <w:name w:val="Technical 4"/>
    <w:qFormat/>
    <w:uiPriority w:val="0"/>
    <w:pPr>
      <w:widowControl w:val="0"/>
      <w:tabs>
        <w:tab w:val="left" w:pos="-720"/>
      </w:tabs>
    </w:pPr>
    <w:rPr>
      <w:rFonts w:ascii="Arial" w:hAnsi="Arial" w:eastAsia="宋体" w:cs="Times New Roman"/>
      <w:b/>
      <w:sz w:val="24"/>
      <w:lang w:val="en-US" w:eastAsia="zh-CN" w:bidi="ar-SA"/>
    </w:rPr>
  </w:style>
  <w:style w:type="paragraph" w:customStyle="1" w:styleId="88">
    <w:name w:val="样式1"/>
    <w:basedOn w:val="1"/>
    <w:qFormat/>
    <w:uiPriority w:val="0"/>
    <w:pPr>
      <w:adjustRightInd w:val="0"/>
      <w:spacing w:line="490" w:lineRule="exact"/>
      <w:ind w:firstLine="556"/>
      <w:textAlignment w:val="baseline"/>
    </w:pPr>
    <w:rPr>
      <w:rFonts w:ascii="宋体" w:eastAsia="仿宋_GB2312"/>
      <w:kern w:val="0"/>
      <w:sz w:val="28"/>
      <w:szCs w:val="20"/>
    </w:rPr>
  </w:style>
  <w:style w:type="paragraph" w:customStyle="1" w:styleId="89">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90">
    <w:name w:val="Style1"/>
    <w:basedOn w:val="1"/>
    <w:qFormat/>
    <w:uiPriority w:val="0"/>
    <w:pPr>
      <w:widowControl/>
      <w:tabs>
        <w:tab w:val="left" w:pos="-720"/>
      </w:tabs>
      <w:spacing w:after="120"/>
    </w:pPr>
    <w:rPr>
      <w:spacing w:val="-3"/>
      <w:kern w:val="0"/>
      <w:sz w:val="24"/>
      <w:szCs w:val="20"/>
      <w:lang w:val="en-AU" w:eastAsia="en-US"/>
    </w:rPr>
  </w:style>
  <w:style w:type="paragraph" w:customStyle="1" w:styleId="91">
    <w:name w:val="默认段落字体 Para Char Char Char Char"/>
    <w:basedOn w:val="1"/>
    <w:qFormat/>
    <w:uiPriority w:val="0"/>
  </w:style>
  <w:style w:type="paragraph" w:customStyle="1" w:styleId="92">
    <w:name w:val="Char11"/>
    <w:basedOn w:val="1"/>
    <w:qFormat/>
    <w:uiPriority w:val="0"/>
  </w:style>
  <w:style w:type="paragraph" w:customStyle="1" w:styleId="93">
    <w:name w:val="Char1 Char Char Char"/>
    <w:basedOn w:val="1"/>
    <w:qFormat/>
    <w:uiPriority w:val="0"/>
  </w:style>
  <w:style w:type="paragraph" w:customStyle="1" w:styleId="94">
    <w:name w:val="默认段落字体 Para Char"/>
    <w:basedOn w:val="1"/>
    <w:qFormat/>
    <w:uiPriority w:val="0"/>
    <w:rPr>
      <w:rFonts w:ascii="Tahoma" w:hAnsi="Tahoma"/>
      <w:sz w:val="24"/>
      <w:szCs w:val="20"/>
    </w:rPr>
  </w:style>
  <w:style w:type="character" w:customStyle="1" w:styleId="95">
    <w:name w:val="批注框文本 Char1"/>
    <w:basedOn w:val="43"/>
    <w:link w:val="26"/>
    <w:semiHidden/>
    <w:qFormat/>
    <w:uiPriority w:val="0"/>
    <w:rPr>
      <w:rFonts w:ascii="Times New Roman" w:hAnsi="Times New Roman" w:eastAsia="宋体" w:cs="Times New Roman"/>
      <w:sz w:val="18"/>
      <w:szCs w:val="18"/>
    </w:rPr>
  </w:style>
  <w:style w:type="paragraph" w:customStyle="1" w:styleId="96">
    <w:name w:val="Char2"/>
    <w:basedOn w:val="1"/>
    <w:qFormat/>
    <w:uiPriority w:val="0"/>
  </w:style>
  <w:style w:type="paragraph" w:customStyle="1" w:styleId="97">
    <w:name w:val="A2"/>
    <w:basedOn w:val="1"/>
    <w:qFormat/>
    <w:uiPriority w:val="0"/>
    <w:pPr>
      <w:autoSpaceDE w:val="0"/>
      <w:autoSpaceDN w:val="0"/>
      <w:adjustRightInd w:val="0"/>
      <w:ind w:firstLine="425"/>
    </w:pPr>
    <w:rPr>
      <w:rFonts w:ascii="宋体"/>
      <w:sz w:val="28"/>
      <w:szCs w:val="20"/>
    </w:rPr>
  </w:style>
  <w:style w:type="character" w:customStyle="1" w:styleId="98">
    <w:name w:val="HTML 预设格式 Char"/>
    <w:basedOn w:val="43"/>
    <w:link w:val="33"/>
    <w:qFormat/>
    <w:uiPriority w:val="0"/>
    <w:rPr>
      <w:rFonts w:ascii="黑体" w:hAnsi="Courier New" w:eastAsia="黑体" w:cs="Times New Roman"/>
      <w:kern w:val="0"/>
      <w:sz w:val="20"/>
      <w:szCs w:val="20"/>
    </w:rPr>
  </w:style>
  <w:style w:type="paragraph" w:customStyle="1" w:styleId="9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Style Heading 3一、Heading 3 - oldH3h33Level 3 Headheading 3B..."/>
    <w:basedOn w:val="5"/>
    <w:qFormat/>
    <w:uiPriority w:val="0"/>
    <w:pPr>
      <w:tabs>
        <w:tab w:val="left" w:pos="720"/>
      </w:tabs>
      <w:spacing w:line="360" w:lineRule="auto"/>
      <w:ind w:left="720" w:hanging="720"/>
    </w:pPr>
    <w:rPr>
      <w:rFonts w:cs="宋体"/>
      <w:sz w:val="28"/>
      <w:szCs w:val="28"/>
    </w:rPr>
  </w:style>
  <w:style w:type="paragraph" w:customStyle="1" w:styleId="10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CM63"/>
    <w:basedOn w:val="101"/>
    <w:next w:val="101"/>
    <w:qFormat/>
    <w:uiPriority w:val="0"/>
    <w:pPr>
      <w:spacing w:after="663"/>
    </w:pPr>
    <w:rPr>
      <w:rFonts w:cs="Times New Roman"/>
      <w:color w:val="auto"/>
    </w:rPr>
  </w:style>
  <w:style w:type="paragraph" w:customStyle="1" w:styleId="103">
    <w:name w:val="CM8"/>
    <w:basedOn w:val="101"/>
    <w:next w:val="101"/>
    <w:qFormat/>
    <w:uiPriority w:val="0"/>
    <w:rPr>
      <w:rFonts w:cs="Times New Roman"/>
      <w:color w:val="auto"/>
    </w:rPr>
  </w:style>
  <w:style w:type="paragraph" w:customStyle="1" w:styleId="104">
    <w:name w:val="CM28"/>
    <w:basedOn w:val="101"/>
    <w:next w:val="101"/>
    <w:qFormat/>
    <w:uiPriority w:val="0"/>
    <w:pPr>
      <w:spacing w:line="400" w:lineRule="atLeast"/>
    </w:pPr>
    <w:rPr>
      <w:rFonts w:cs="Times New Roman"/>
      <w:color w:val="auto"/>
    </w:rPr>
  </w:style>
  <w:style w:type="paragraph" w:customStyle="1" w:styleId="105">
    <w:name w:val="CM73"/>
    <w:basedOn w:val="101"/>
    <w:next w:val="101"/>
    <w:qFormat/>
    <w:uiPriority w:val="0"/>
    <w:pPr>
      <w:spacing w:after="840"/>
    </w:pPr>
    <w:rPr>
      <w:rFonts w:cs="Times New Roman"/>
      <w:color w:val="auto"/>
    </w:rPr>
  </w:style>
  <w:style w:type="paragraph" w:customStyle="1" w:styleId="106">
    <w:name w:val="CM29"/>
    <w:basedOn w:val="101"/>
    <w:next w:val="101"/>
    <w:qFormat/>
    <w:uiPriority w:val="0"/>
    <w:pPr>
      <w:spacing w:line="523" w:lineRule="atLeast"/>
    </w:pPr>
    <w:rPr>
      <w:rFonts w:cs="Times New Roman"/>
      <w:color w:val="auto"/>
    </w:rPr>
  </w:style>
  <w:style w:type="paragraph" w:customStyle="1" w:styleId="10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108">
    <w:name w:val="Style Heading 2第一层条h22Heading 2 HiddenHeading 2 CCBSl2Course..."/>
    <w:basedOn w:val="4"/>
    <w:link w:val="109"/>
    <w:qFormat/>
    <w:uiPriority w:val="0"/>
    <w:pPr>
      <w:keepNext w:val="0"/>
      <w:keepLines/>
      <w:tabs>
        <w:tab w:val="left" w:pos="816"/>
        <w:tab w:val="left" w:pos="2016"/>
      </w:tabs>
      <w:spacing w:before="260" w:after="260" w:line="360" w:lineRule="auto"/>
      <w:ind w:left="2016" w:hanging="576"/>
      <w:jc w:val="both"/>
    </w:pPr>
    <w:rPr>
      <w:rFonts w:ascii="Arial" w:hAnsi="Arial"/>
      <w:bCs/>
      <w:color w:val="auto"/>
      <w:szCs w:val="32"/>
    </w:rPr>
  </w:style>
  <w:style w:type="character" w:customStyle="1" w:styleId="109">
    <w:name w:val="Style Heading 2第一层条h22Heading 2 HiddenHeading 2 CCBSl2Course... Char"/>
    <w:link w:val="108"/>
    <w:qFormat/>
    <w:uiPriority w:val="0"/>
    <w:rPr>
      <w:rFonts w:ascii="Arial" w:hAnsi="Arial" w:eastAsia="黑体" w:cs="Times New Roman"/>
      <w:b/>
      <w:bCs/>
      <w:sz w:val="24"/>
      <w:szCs w:val="32"/>
    </w:rPr>
  </w:style>
  <w:style w:type="paragraph" w:customStyle="1" w:styleId="110">
    <w:name w:val="Style Heading 1H1SAHeading 1卷标题h1标书1L1boc1st levelSection ..."/>
    <w:basedOn w:val="3"/>
    <w:link w:val="111"/>
    <w:qFormat/>
    <w:uiPriority w:val="0"/>
    <w:pPr>
      <w:tabs>
        <w:tab w:val="left" w:pos="1080"/>
      </w:tabs>
      <w:spacing w:line="360" w:lineRule="auto"/>
      <w:ind w:left="432" w:hanging="432"/>
      <w:jc w:val="center"/>
    </w:pPr>
    <w:rPr>
      <w:rFonts w:ascii="Arial" w:hAnsi="Arial" w:eastAsia="黑体" w:cs="Arial"/>
      <w:sz w:val="28"/>
      <w:szCs w:val="28"/>
    </w:rPr>
  </w:style>
  <w:style w:type="character" w:customStyle="1" w:styleId="111">
    <w:name w:val="Style Heading 1H1SAHeading 1卷标题h1标书1L1boc1st levelSection ... Char"/>
    <w:link w:val="110"/>
    <w:qFormat/>
    <w:uiPriority w:val="0"/>
    <w:rPr>
      <w:rFonts w:ascii="Arial" w:hAnsi="Arial" w:eastAsia="黑体" w:cs="Arial"/>
      <w:b/>
      <w:bCs/>
      <w:kern w:val="44"/>
      <w:sz w:val="28"/>
      <w:szCs w:val="28"/>
    </w:rPr>
  </w:style>
  <w:style w:type="paragraph" w:customStyle="1" w:styleId="112">
    <w:name w:val="Char1 Char Char Char Char Char Char"/>
    <w:basedOn w:val="1"/>
    <w:qFormat/>
    <w:uiPriority w:val="0"/>
  </w:style>
  <w:style w:type="paragraph" w:customStyle="1" w:styleId="113">
    <w:name w:val="附件标题-1"/>
    <w:basedOn w:val="1"/>
    <w:qFormat/>
    <w:uiPriority w:val="0"/>
    <w:pPr>
      <w:spacing w:beforeLines="50" w:afterLines="50"/>
      <w:jc w:val="center"/>
    </w:pPr>
    <w:rPr>
      <w:rFonts w:eastAsia="黑体"/>
      <w:sz w:val="32"/>
    </w:rPr>
  </w:style>
  <w:style w:type="paragraph" w:customStyle="1" w:styleId="114">
    <w:name w:val="Char Char 字元 字元 字元 Char Char Char Char"/>
    <w:basedOn w:val="1"/>
    <w:qFormat/>
    <w:uiPriority w:val="0"/>
    <w:pPr>
      <w:adjustRightInd w:val="0"/>
      <w:spacing w:line="360" w:lineRule="auto"/>
    </w:pPr>
    <w:rPr>
      <w:kern w:val="0"/>
      <w:sz w:val="24"/>
      <w:szCs w:val="20"/>
    </w:rPr>
  </w:style>
  <w:style w:type="paragraph" w:customStyle="1" w:styleId="115">
    <w:name w:val="正文2"/>
    <w:basedOn w:val="1"/>
    <w:qFormat/>
    <w:uiPriority w:val="0"/>
    <w:pPr>
      <w:adjustRightInd w:val="0"/>
      <w:spacing w:line="312" w:lineRule="atLeast"/>
      <w:textAlignment w:val="baseline"/>
    </w:pPr>
    <w:rPr>
      <w:kern w:val="0"/>
      <w:szCs w:val="20"/>
    </w:rPr>
  </w:style>
  <w:style w:type="paragraph" w:customStyle="1" w:styleId="116">
    <w:name w:val="样式 正文首行缩进 + 宋体 段后: 0 磅"/>
    <w:basedOn w:val="38"/>
    <w:qFormat/>
    <w:uiPriority w:val="0"/>
    <w:pPr>
      <w:spacing w:after="0" w:line="300" w:lineRule="auto"/>
      <w:ind w:firstLine="225" w:firstLineChars="225"/>
    </w:pPr>
    <w:rPr>
      <w:rFonts w:ascii="宋体" w:hAnsi="宋体" w:cs="宋体"/>
      <w:sz w:val="24"/>
      <w:szCs w:val="20"/>
    </w:rPr>
  </w:style>
  <w:style w:type="character" w:customStyle="1" w:styleId="117">
    <w:name w:val="title_emph1"/>
    <w:qFormat/>
    <w:uiPriority w:val="0"/>
    <w:rPr>
      <w:rFonts w:hint="default" w:ascii="Arial" w:hAnsi="Arial" w:cs="Arial"/>
      <w:b/>
      <w:bCs/>
      <w:sz w:val="18"/>
      <w:szCs w:val="18"/>
    </w:rPr>
  </w:style>
  <w:style w:type="character" w:customStyle="1" w:styleId="118">
    <w:name w:val="正文首行缩进 2 Char"/>
    <w:basedOn w:val="63"/>
    <w:link w:val="39"/>
    <w:qFormat/>
    <w:uiPriority w:val="0"/>
    <w:rPr>
      <w:rFonts w:ascii="Times New Roman" w:hAnsi="Times New Roman" w:eastAsia="宋体" w:cs="Times New Roman"/>
      <w:sz w:val="24"/>
      <w:szCs w:val="24"/>
    </w:rPr>
  </w:style>
  <w:style w:type="paragraph" w:customStyle="1" w:styleId="119">
    <w:name w:val="样式10"/>
    <w:basedOn w:val="1"/>
    <w:qFormat/>
    <w:uiPriority w:val="0"/>
    <w:pPr>
      <w:spacing w:line="400" w:lineRule="exact"/>
      <w:jc w:val="center"/>
    </w:pPr>
    <w:rPr>
      <w:sz w:val="18"/>
      <w:szCs w:val="21"/>
    </w:rPr>
  </w:style>
  <w:style w:type="paragraph" w:customStyle="1" w:styleId="12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2">
    <w:name w:val="style91"/>
    <w:qFormat/>
    <w:uiPriority w:val="0"/>
    <w:rPr>
      <w:color w:val="B70404"/>
    </w:rPr>
  </w:style>
  <w:style w:type="paragraph" w:styleId="123">
    <w:name w:val="List Paragraph"/>
    <w:basedOn w:val="1"/>
    <w:qFormat/>
    <w:uiPriority w:val="0"/>
    <w:pPr>
      <w:ind w:firstLine="420" w:firstLineChars="200"/>
    </w:pPr>
    <w:rPr>
      <w:rFonts w:ascii="Calibri" w:hAnsi="Calibri"/>
      <w:szCs w:val="20"/>
    </w:rPr>
  </w:style>
  <w:style w:type="character" w:customStyle="1" w:styleId="124">
    <w:name w:val="headline-content2"/>
    <w:basedOn w:val="43"/>
    <w:qFormat/>
    <w:uiPriority w:val="0"/>
  </w:style>
  <w:style w:type="character" w:customStyle="1" w:styleId="125">
    <w:name w:val="line181"/>
    <w:basedOn w:val="43"/>
    <w:qFormat/>
    <w:uiPriority w:val="0"/>
  </w:style>
  <w:style w:type="character" w:customStyle="1" w:styleId="126">
    <w:name w:val="f151"/>
    <w:qFormat/>
    <w:uiPriority w:val="0"/>
    <w:rPr>
      <w:sz w:val="23"/>
      <w:szCs w:val="23"/>
    </w:rPr>
  </w:style>
  <w:style w:type="paragraph" w:customStyle="1" w:styleId="127">
    <w:name w:val="正文缩进2"/>
    <w:basedOn w:val="1"/>
    <w:qFormat/>
    <w:uiPriority w:val="0"/>
    <w:pPr>
      <w:widowControl/>
      <w:spacing w:before="100" w:beforeAutospacing="1" w:after="100" w:afterAutospacing="1"/>
      <w:jc w:val="left"/>
    </w:pPr>
    <w:rPr>
      <w:rFonts w:ascii="宋体" w:hAnsi="宋体"/>
      <w:kern w:val="0"/>
      <w:sz w:val="24"/>
    </w:rPr>
  </w:style>
  <w:style w:type="paragraph" w:customStyle="1" w:styleId="128">
    <w:name w:val="纯文本1"/>
    <w:basedOn w:val="1"/>
    <w:qFormat/>
    <w:uiPriority w:val="0"/>
    <w:pPr>
      <w:widowControl/>
      <w:spacing w:before="100" w:beforeAutospacing="1" w:after="100" w:afterAutospacing="1"/>
      <w:jc w:val="left"/>
    </w:pPr>
    <w:rPr>
      <w:rFonts w:ascii="宋体" w:hAnsi="宋体"/>
      <w:sz w:val="24"/>
    </w:rPr>
  </w:style>
  <w:style w:type="paragraph" w:customStyle="1" w:styleId="129">
    <w:name w:val="p0"/>
    <w:basedOn w:val="1"/>
    <w:qFormat/>
    <w:uiPriority w:val="0"/>
    <w:pPr>
      <w:widowControl/>
    </w:pPr>
    <w:rPr>
      <w:kern w:val="0"/>
      <w:szCs w:val="21"/>
    </w:rPr>
  </w:style>
  <w:style w:type="paragraph" w:customStyle="1" w:styleId="130">
    <w:name w:val="_Style 1"/>
    <w:basedOn w:val="1"/>
    <w:qFormat/>
    <w:uiPriority w:val="0"/>
  </w:style>
  <w:style w:type="paragraph" w:customStyle="1" w:styleId="131">
    <w:name w:val="列表段落1"/>
    <w:basedOn w:val="1"/>
    <w:link w:val="132"/>
    <w:qFormat/>
    <w:uiPriority w:val="0"/>
    <w:pPr>
      <w:spacing w:line="400" w:lineRule="exact"/>
      <w:ind w:firstLine="420" w:firstLineChars="200"/>
    </w:pPr>
    <w:rPr>
      <w:sz w:val="24"/>
    </w:rPr>
  </w:style>
  <w:style w:type="character" w:customStyle="1" w:styleId="132">
    <w:name w:val="List Paragraph Char"/>
    <w:link w:val="131"/>
    <w:qFormat/>
    <w:uiPriority w:val="0"/>
    <w:rPr>
      <w:rFonts w:ascii="Times New Roman" w:hAnsi="Times New Roman" w:eastAsia="宋体" w:cs="Times New Roman"/>
      <w:sz w:val="24"/>
      <w:szCs w:val="24"/>
    </w:rPr>
  </w:style>
  <w:style w:type="character" w:customStyle="1" w:styleId="133">
    <w:name w:val="textnorm_chn1"/>
    <w:qFormat/>
    <w:uiPriority w:val="0"/>
    <w:rPr>
      <w:rFonts w:hint="default" w:ascii="Arial" w:hAnsi="Arial" w:cs="Arial"/>
      <w:color w:val="21254A"/>
      <w:sz w:val="22"/>
      <w:szCs w:val="22"/>
    </w:rPr>
  </w:style>
  <w:style w:type="paragraph" w:customStyle="1" w:styleId="134">
    <w:name w:val="标准"/>
    <w:basedOn w:val="1"/>
    <w:qFormat/>
    <w:uiPriority w:val="0"/>
    <w:pPr>
      <w:adjustRightInd w:val="0"/>
      <w:spacing w:line="312" w:lineRule="atLeast"/>
      <w:textAlignment w:val="baseline"/>
    </w:pPr>
    <w:rPr>
      <w:rFonts w:ascii="宋体"/>
      <w:kern w:val="0"/>
      <w:sz w:val="32"/>
      <w:szCs w:val="20"/>
    </w:rPr>
  </w:style>
  <w:style w:type="paragraph" w:customStyle="1" w:styleId="135">
    <w:name w:val="Char Char Char Char"/>
    <w:basedOn w:val="1"/>
    <w:qFormat/>
    <w:uiPriority w:val="0"/>
    <w:pPr>
      <w:widowControl/>
      <w:spacing w:after="160" w:line="240" w:lineRule="exact"/>
      <w:jc w:val="left"/>
    </w:pPr>
    <w:rPr>
      <w:szCs w:val="20"/>
    </w:rPr>
  </w:style>
  <w:style w:type="character" w:customStyle="1" w:styleId="136">
    <w:name w:val="Char Char8"/>
    <w:qFormat/>
    <w:uiPriority w:val="0"/>
    <w:rPr>
      <w:rFonts w:ascii="Times New Roman" w:hAnsi="Times New Roman" w:eastAsia="宋体" w:cs="Times New Roman"/>
      <w:sz w:val="18"/>
      <w:szCs w:val="18"/>
    </w:rPr>
  </w:style>
  <w:style w:type="character" w:customStyle="1" w:styleId="137">
    <w:name w:val="Char Char Char"/>
    <w:qFormat/>
    <w:uiPriority w:val="0"/>
    <w:rPr>
      <w:rFonts w:eastAsia="宋体"/>
      <w:kern w:val="2"/>
      <w:sz w:val="18"/>
      <w:szCs w:val="18"/>
      <w:lang w:val="en-US" w:eastAsia="zh-CN" w:bidi="ar-SA"/>
    </w:rPr>
  </w:style>
  <w:style w:type="character" w:customStyle="1" w:styleId="138">
    <w:name w:val="附录标识 Char Char"/>
    <w:link w:val="139"/>
    <w:qFormat/>
    <w:uiPriority w:val="0"/>
    <w:rPr>
      <w:rFonts w:ascii="黑体" w:eastAsia="黑体"/>
      <w:shd w:val="clear" w:color="FFFFFF" w:fill="FFFFFF"/>
    </w:rPr>
  </w:style>
  <w:style w:type="paragraph" w:customStyle="1" w:styleId="139">
    <w:name w:val="附录标识"/>
    <w:basedOn w:val="1"/>
    <w:link w:val="138"/>
    <w:qFormat/>
    <w:uiPriority w:val="0"/>
    <w:pPr>
      <w:widowControl/>
      <w:shd w:val="clear" w:color="FFFFFF" w:fill="FFFFFF"/>
      <w:tabs>
        <w:tab w:val="left" w:pos="360"/>
        <w:tab w:val="left" w:pos="6405"/>
      </w:tabs>
      <w:spacing w:before="640" w:after="200"/>
      <w:ind w:left="360" w:hanging="360" w:hangingChars="200"/>
      <w:jc w:val="center"/>
      <w:outlineLvl w:val="0"/>
    </w:pPr>
    <w:rPr>
      <w:rFonts w:ascii="黑体" w:eastAsia="黑体" w:hAnsiTheme="minorHAnsi" w:cstheme="minorBidi"/>
      <w:szCs w:val="22"/>
    </w:rPr>
  </w:style>
  <w:style w:type="character" w:customStyle="1" w:styleId="140">
    <w:name w:val="Char Char Char Char Char Char Char Char Char"/>
    <w:qFormat/>
    <w:uiPriority w:val="0"/>
    <w:rPr>
      <w:rFonts w:ascii="宋体" w:hAnsi="Courier New"/>
      <w:kern w:val="2"/>
      <w:sz w:val="28"/>
    </w:rPr>
  </w:style>
  <w:style w:type="paragraph" w:customStyle="1" w:styleId="141">
    <w:name w:val="标题1"/>
    <w:basedOn w:val="3"/>
    <w:qFormat/>
    <w:uiPriority w:val="0"/>
    <w:pPr>
      <w:spacing w:before="240" w:beforeAutospacing="1" w:afterLines="100" w:afterAutospacing="1" w:line="240" w:lineRule="auto"/>
      <w:jc w:val="center"/>
    </w:pPr>
    <w:rPr>
      <w:rFonts w:eastAsia="仿宋_GB2312" w:cs="宋体"/>
      <w:sz w:val="30"/>
      <w:szCs w:val="20"/>
    </w:rPr>
  </w:style>
  <w:style w:type="paragraph" w:customStyle="1" w:styleId="142">
    <w:name w:val="标题2"/>
    <w:basedOn w:val="36"/>
    <w:qFormat/>
    <w:uiPriority w:val="0"/>
    <w:pPr>
      <w:adjustRightInd/>
      <w:spacing w:line="240" w:lineRule="auto"/>
      <w:ind w:left="200" w:leftChars="200" w:firstLine="0"/>
      <w:jc w:val="center"/>
      <w:textAlignment w:val="auto"/>
    </w:pPr>
    <w:rPr>
      <w:rFonts w:hAnsi="宋体" w:cs="宋体"/>
      <w:b/>
      <w:sz w:val="21"/>
    </w:rPr>
  </w:style>
  <w:style w:type="paragraph" w:customStyle="1" w:styleId="143">
    <w:name w:val="正文文本缩进[858D7CFB-ED40-4347-BF05-701D383B685F][858D7CFB-ED40-4347-BF05-701D383B685F]"/>
    <w:basedOn w:val="1"/>
    <w:qFormat/>
    <w:uiPriority w:val="0"/>
    <w:pPr>
      <w:spacing w:line="540" w:lineRule="exact"/>
      <w:ind w:firstLine="480" w:firstLineChars="200"/>
    </w:pPr>
    <w:rPr>
      <w:rFonts w:hint="eastAsia"/>
      <w:sz w:val="24"/>
    </w:rPr>
  </w:style>
  <w:style w:type="paragraph" w:customStyle="1" w:styleId="144">
    <w:name w:val="样式3"/>
    <w:basedOn w:val="3"/>
    <w:qFormat/>
    <w:uiPriority w:val="0"/>
    <w:pPr>
      <w:spacing w:before="100" w:beforeAutospacing="1" w:after="100" w:afterAutospacing="1" w:line="360" w:lineRule="auto"/>
      <w:jc w:val="center"/>
    </w:pPr>
    <w:rPr>
      <w:rFonts w:ascii="仿宋_GB2312" w:hAnsi="仿宋_GB2312" w:eastAsia="仿宋_GB2312"/>
      <w:color w:val="000000"/>
      <w:sz w:val="24"/>
    </w:rPr>
  </w:style>
  <w:style w:type="paragraph" w:customStyle="1" w:styleId="145">
    <w:name w:val="样式4"/>
    <w:basedOn w:val="3"/>
    <w:qFormat/>
    <w:uiPriority w:val="0"/>
    <w:pPr>
      <w:spacing w:before="100" w:beforeAutospacing="1" w:after="100" w:afterAutospacing="1" w:line="240" w:lineRule="auto"/>
      <w:jc w:val="center"/>
    </w:pPr>
    <w:rPr>
      <w:rFonts w:ascii="仿宋_GB2312" w:hAnsi="仿宋_GB2312" w:eastAsia="仿宋_GB2312"/>
      <w:color w:val="000000"/>
      <w:sz w:val="24"/>
    </w:rPr>
  </w:style>
  <w:style w:type="paragraph" w:customStyle="1" w:styleId="146">
    <w:name w:val="样式5"/>
    <w:basedOn w:val="3"/>
    <w:qFormat/>
    <w:uiPriority w:val="0"/>
    <w:pPr>
      <w:spacing w:before="0" w:beforeAutospacing="1" w:after="0" w:afterAutospacing="1" w:line="240" w:lineRule="auto"/>
      <w:jc w:val="center"/>
    </w:pPr>
    <w:rPr>
      <w:rFonts w:ascii="仿宋_GB2312" w:hAnsi="仿宋_GB2312" w:eastAsia="仿宋_GB2312"/>
      <w:color w:val="000000"/>
      <w:sz w:val="24"/>
    </w:rPr>
  </w:style>
  <w:style w:type="paragraph" w:customStyle="1" w:styleId="147">
    <w:name w:val="样式6"/>
    <w:basedOn w:val="3"/>
    <w:qFormat/>
    <w:uiPriority w:val="0"/>
    <w:pPr>
      <w:spacing w:before="100" w:beforeAutospacing="1" w:after="100" w:afterAutospacing="1" w:line="240" w:lineRule="auto"/>
      <w:jc w:val="center"/>
    </w:pPr>
    <w:rPr>
      <w:rFonts w:ascii="仿宋_GB2312" w:hAnsi="仿宋_GB2312" w:eastAsia="仿宋_GB2312"/>
      <w:color w:val="000000"/>
      <w:sz w:val="28"/>
    </w:rPr>
  </w:style>
  <w:style w:type="paragraph" w:customStyle="1" w:styleId="148">
    <w:name w:val="样式7"/>
    <w:basedOn w:val="3"/>
    <w:qFormat/>
    <w:uiPriority w:val="0"/>
    <w:pPr>
      <w:spacing w:before="100" w:beforeAutospacing="1" w:after="100" w:afterAutospacing="1" w:line="240" w:lineRule="auto"/>
      <w:jc w:val="center"/>
    </w:pPr>
    <w:rPr>
      <w:rFonts w:ascii="仿宋_GB2312" w:hAnsi="仿宋_GB2312" w:eastAsia="仿宋_GB2312"/>
      <w:color w:val="000000"/>
      <w:sz w:val="32"/>
    </w:rPr>
  </w:style>
  <w:style w:type="paragraph" w:customStyle="1" w:styleId="149">
    <w:name w:val="样式8"/>
    <w:basedOn w:val="3"/>
    <w:qFormat/>
    <w:uiPriority w:val="0"/>
    <w:pPr>
      <w:spacing w:before="120" w:beforeAutospacing="1" w:after="120" w:afterAutospacing="1" w:line="360" w:lineRule="auto"/>
      <w:contextualSpacing/>
      <w:jc w:val="center"/>
    </w:pPr>
    <w:rPr>
      <w:rFonts w:ascii="仿宋_GB2312" w:hAnsi="仿宋_GB2312" w:eastAsia="仿宋_GB2312"/>
      <w:color w:val="000000"/>
      <w:sz w:val="32"/>
    </w:rPr>
  </w:style>
  <w:style w:type="paragraph" w:customStyle="1" w:styleId="150">
    <w:name w:val="样式9"/>
    <w:basedOn w:val="1"/>
    <w:qFormat/>
    <w:uiPriority w:val="0"/>
    <w:pPr>
      <w:spacing w:beforeLines="50" w:afterLines="50" w:line="420" w:lineRule="exact"/>
      <w:ind w:firstLine="420" w:firstLineChars="200"/>
      <w:jc w:val="center"/>
    </w:pPr>
    <w:rPr>
      <w:b/>
      <w:bCs/>
      <w:kern w:val="44"/>
      <w:sz w:val="36"/>
      <w:szCs w:val="44"/>
    </w:rPr>
  </w:style>
  <w:style w:type="paragraph" w:customStyle="1" w:styleId="151">
    <w:name w:val="样式 正文文本缩进 + 仿宋_GB2312 小四 首行缩进:  0 厘米 行距: 1.5 倍行距"/>
    <w:basedOn w:val="1"/>
    <w:qFormat/>
    <w:uiPriority w:val="0"/>
    <w:pPr>
      <w:spacing w:line="360" w:lineRule="auto"/>
    </w:pPr>
    <w:rPr>
      <w:rFonts w:ascii="仿宋_GB2312" w:eastAsia="新宋体"/>
      <w:sz w:val="24"/>
      <w:szCs w:val="20"/>
    </w:rPr>
  </w:style>
  <w:style w:type="paragraph" w:customStyle="1" w:styleId="152">
    <w:name w:val="大汉方案正文"/>
    <w:basedOn w:val="1"/>
    <w:qFormat/>
    <w:uiPriority w:val="0"/>
    <w:pPr>
      <w:spacing w:line="360" w:lineRule="auto"/>
      <w:ind w:firstLine="200" w:firstLineChars="200"/>
    </w:pPr>
    <w:rPr>
      <w:rFonts w:ascii="Arial" w:hAnsi="Arial"/>
      <w:sz w:val="24"/>
      <w:szCs w:val="20"/>
    </w:rPr>
  </w:style>
  <w:style w:type="character" w:customStyle="1" w:styleId="153">
    <w:name w:val="Char Char3"/>
    <w:qFormat/>
    <w:uiPriority w:val="0"/>
    <w:rPr>
      <w:kern w:val="2"/>
      <w:sz w:val="18"/>
      <w:szCs w:val="18"/>
    </w:rPr>
  </w:style>
  <w:style w:type="paragraph" w:customStyle="1" w:styleId="15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55">
    <w:name w:val="二级目录 Char"/>
    <w:link w:val="156"/>
    <w:qFormat/>
    <w:uiPriority w:val="0"/>
    <w:rPr>
      <w:rFonts w:eastAsia="Times New Roman"/>
      <w:b/>
      <w:sz w:val="30"/>
      <w:szCs w:val="28"/>
    </w:rPr>
  </w:style>
  <w:style w:type="paragraph" w:customStyle="1" w:styleId="156">
    <w:name w:val="二级目录"/>
    <w:next w:val="1"/>
    <w:link w:val="155"/>
    <w:qFormat/>
    <w:uiPriority w:val="0"/>
    <w:pPr>
      <w:tabs>
        <w:tab w:val="left" w:pos="720"/>
      </w:tabs>
      <w:ind w:left="720" w:hanging="720"/>
      <w:outlineLvl w:val="1"/>
    </w:pPr>
    <w:rPr>
      <w:rFonts w:eastAsia="Times New Roman" w:asciiTheme="minorHAnsi" w:hAnsiTheme="minorHAnsi" w:cstheme="minorBidi"/>
      <w:b/>
      <w:kern w:val="2"/>
      <w:sz w:val="30"/>
      <w:szCs w:val="28"/>
      <w:lang w:val="en-US" w:eastAsia="zh-CN" w:bidi="ar-SA"/>
    </w:rPr>
  </w:style>
  <w:style w:type="paragraph" w:customStyle="1" w:styleId="157">
    <w:name w:val="tabletext"/>
    <w:basedOn w:val="1"/>
    <w:qFormat/>
    <w:uiPriority w:val="0"/>
    <w:pPr>
      <w:widowControl/>
      <w:snapToGrid w:val="0"/>
      <w:spacing w:before="80" w:after="80"/>
      <w:jc w:val="left"/>
    </w:pPr>
    <w:rPr>
      <w:rFonts w:ascii="Arial" w:hAnsi="Arial" w:cs="Arial"/>
      <w:kern w:val="0"/>
      <w:sz w:val="18"/>
      <w:szCs w:val="18"/>
    </w:rPr>
  </w:style>
  <w:style w:type="paragraph" w:customStyle="1" w:styleId="158">
    <w:name w:val="xl55"/>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159">
    <w:name w:val="日期 Char Char"/>
    <w:qFormat/>
    <w:uiPriority w:val="0"/>
    <w:rPr>
      <w:rFonts w:eastAsia="宋体"/>
      <w:kern w:val="2"/>
      <w:sz w:val="21"/>
      <w:szCs w:val="24"/>
      <w:lang w:val="en-US" w:eastAsia="zh-CN" w:bidi="ar-SA"/>
    </w:rPr>
  </w:style>
  <w:style w:type="character" w:customStyle="1" w:styleId="160">
    <w:name w:val="页脚 Char Char"/>
    <w:qFormat/>
    <w:uiPriority w:val="0"/>
    <w:rPr>
      <w:rFonts w:eastAsia="宋体"/>
      <w:kern w:val="2"/>
      <w:sz w:val="18"/>
      <w:szCs w:val="18"/>
      <w:lang w:val="en-US" w:eastAsia="zh-CN" w:bidi="ar-SA"/>
    </w:rPr>
  </w:style>
  <w:style w:type="character" w:customStyle="1" w:styleId="161">
    <w:name w:val="无间隔 Char1"/>
    <w:link w:val="162"/>
    <w:qFormat/>
    <w:uiPriority w:val="0"/>
    <w:rPr>
      <w:rFonts w:eastAsia="Times New Roman"/>
      <w:sz w:val="22"/>
    </w:rPr>
  </w:style>
  <w:style w:type="paragraph" w:styleId="162">
    <w:name w:val="No Spacing"/>
    <w:link w:val="161"/>
    <w:qFormat/>
    <w:uiPriority w:val="0"/>
    <w:rPr>
      <w:rFonts w:eastAsia="Times New Roman" w:asciiTheme="minorHAnsi" w:hAnsiTheme="minorHAnsi" w:cstheme="minorBidi"/>
      <w:kern w:val="2"/>
      <w:sz w:val="22"/>
      <w:szCs w:val="22"/>
      <w:lang w:val="en-US" w:eastAsia="zh-CN" w:bidi="ar-SA"/>
    </w:rPr>
  </w:style>
  <w:style w:type="character" w:customStyle="1" w:styleId="163">
    <w:name w:val="批注主题 Char2"/>
    <w:link w:val="37"/>
    <w:qFormat/>
    <w:uiPriority w:val="0"/>
    <w:rPr>
      <w:rFonts w:eastAsia="宋体"/>
      <w:b/>
      <w:bCs/>
      <w:szCs w:val="24"/>
    </w:rPr>
  </w:style>
  <w:style w:type="character" w:customStyle="1" w:styleId="164">
    <w:name w:val="批注文字 Char2"/>
    <w:link w:val="16"/>
    <w:semiHidden/>
    <w:qFormat/>
    <w:uiPriority w:val="0"/>
    <w:rPr>
      <w:rFonts w:eastAsia="宋体"/>
      <w:szCs w:val="24"/>
    </w:rPr>
  </w:style>
  <w:style w:type="character" w:customStyle="1" w:styleId="165">
    <w:name w:val="批注文字 Char1"/>
    <w:basedOn w:val="43"/>
    <w:semiHidden/>
    <w:qFormat/>
    <w:uiPriority w:val="99"/>
    <w:rPr>
      <w:rFonts w:ascii="Times New Roman" w:hAnsi="Times New Roman" w:eastAsia="宋体" w:cs="Times New Roman"/>
      <w:szCs w:val="24"/>
    </w:rPr>
  </w:style>
  <w:style w:type="character" w:customStyle="1" w:styleId="166">
    <w:name w:val="批注主题 Char1"/>
    <w:basedOn w:val="165"/>
    <w:semiHidden/>
    <w:qFormat/>
    <w:uiPriority w:val="99"/>
    <w:rPr>
      <w:rFonts w:ascii="Times New Roman" w:hAnsi="Times New Roman" w:eastAsia="宋体" w:cs="Times New Roman"/>
      <w:b/>
      <w:bCs/>
      <w:szCs w:val="24"/>
    </w:rPr>
  </w:style>
  <w:style w:type="character" w:customStyle="1" w:styleId="167">
    <w:name w:val="批注框文本 Char Char"/>
    <w:qFormat/>
    <w:uiPriority w:val="0"/>
    <w:rPr>
      <w:rFonts w:eastAsia="宋体"/>
      <w:sz w:val="18"/>
      <w:szCs w:val="18"/>
      <w:lang w:bidi="ar-SA"/>
    </w:rPr>
  </w:style>
  <w:style w:type="paragraph" w:customStyle="1" w:styleId="168">
    <w:name w:val="Char Char Char1 Char"/>
    <w:basedOn w:val="1"/>
    <w:qFormat/>
    <w:uiPriority w:val="0"/>
    <w:pPr>
      <w:spacing w:line="360" w:lineRule="auto"/>
      <w:ind w:firstLine="200" w:firstLineChars="200"/>
    </w:pPr>
    <w:rPr>
      <w:rFonts w:ascii="宋体" w:hAnsi="宋体" w:cs="宋体"/>
      <w:sz w:val="24"/>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样式 标题 1 + 四号"/>
    <w:basedOn w:val="3"/>
    <w:link w:val="171"/>
    <w:qFormat/>
    <w:uiPriority w:val="0"/>
    <w:pPr>
      <w:spacing w:before="120" w:after="120"/>
    </w:pPr>
    <w:rPr>
      <w:rFonts w:ascii="Times New Roman" w:hAnsi="Times New Roman"/>
      <w:bCs w:val="0"/>
      <w:sz w:val="28"/>
      <w:szCs w:val="20"/>
    </w:rPr>
  </w:style>
  <w:style w:type="character" w:customStyle="1" w:styleId="171">
    <w:name w:val="样式 标题 1 + 四号 Char"/>
    <w:link w:val="170"/>
    <w:qFormat/>
    <w:uiPriority w:val="0"/>
    <w:rPr>
      <w:rFonts w:ascii="Times New Roman" w:hAnsi="Times New Roman" w:eastAsia="宋体" w:cs="Times New Roman"/>
      <w:b/>
      <w:kern w:val="44"/>
      <w:sz w:val="28"/>
      <w:szCs w:val="20"/>
    </w:rPr>
  </w:style>
  <w:style w:type="paragraph" w:customStyle="1" w:styleId="172">
    <w:name w:val="Char Char Char Char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73">
    <w:name w:val="style98"/>
    <w:basedOn w:val="1"/>
    <w:qFormat/>
    <w:uiPriority w:val="0"/>
    <w:pPr>
      <w:widowControl/>
      <w:spacing w:before="100" w:beforeAutospacing="1" w:after="100" w:afterAutospacing="1"/>
      <w:jc w:val="left"/>
    </w:pPr>
    <w:rPr>
      <w:rFonts w:ascii="Arial Unicode MS" w:hAnsi="Arial Unicode MS"/>
      <w:color w:val="000000"/>
      <w:kern w:val="0"/>
      <w:szCs w:val="21"/>
    </w:rPr>
  </w:style>
  <w:style w:type="character" w:customStyle="1" w:styleId="174">
    <w:name w:val="正文文本 3 Char1"/>
    <w:link w:val="17"/>
    <w:qFormat/>
    <w:uiPriority w:val="99"/>
    <w:rPr>
      <w:rFonts w:ascii="Times New Roman" w:hAnsi="Times New Roman" w:eastAsia="宋体" w:cs="Times New Roman"/>
      <w:sz w:val="16"/>
      <w:szCs w:val="16"/>
    </w:rPr>
  </w:style>
  <w:style w:type="character" w:customStyle="1" w:styleId="175">
    <w:name w:val="样式 仿宋"/>
    <w:qFormat/>
    <w:uiPriority w:val="0"/>
    <w:rPr>
      <w:rFonts w:ascii="仿宋" w:hAnsi="仿宋" w:eastAsia="仿宋"/>
      <w:kern w:val="1"/>
    </w:rPr>
  </w:style>
  <w:style w:type="character" w:customStyle="1" w:styleId="176">
    <w:name w:val="正文文本缩进 字符1"/>
    <w:qFormat/>
    <w:uiPriority w:val="0"/>
    <w:rPr>
      <w:rFonts w:ascii="Times New Roman" w:hAnsi="Times New Roman" w:eastAsia="宋体" w:cs="Times New Roman"/>
      <w:sz w:val="24"/>
      <w:szCs w:val="24"/>
    </w:rPr>
  </w:style>
  <w:style w:type="paragraph" w:customStyle="1" w:styleId="177">
    <w:name w:val="TOC 标题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78">
    <w:name w:val="9"/>
    <w:basedOn w:val="1"/>
    <w:next w:val="1"/>
    <w:qFormat/>
    <w:uiPriority w:val="39"/>
    <w:pPr>
      <w:tabs>
        <w:tab w:val="right" w:leader="dot" w:pos="9060"/>
      </w:tabs>
      <w:spacing w:line="360" w:lineRule="auto"/>
      <w:ind w:left="840" w:leftChars="400"/>
    </w:pPr>
  </w:style>
  <w:style w:type="character" w:customStyle="1" w:styleId="179">
    <w:name w:val="标题 1 Char"/>
    <w:qFormat/>
    <w:uiPriority w:val="0"/>
    <w:rPr>
      <w:rFonts w:ascii="宋体" w:hAnsi="Courier New" w:eastAsia="宋体"/>
      <w:b/>
      <w:bCs/>
      <w:kern w:val="44"/>
      <w:sz w:val="44"/>
      <w:szCs w:val="44"/>
      <w:lang w:val="en-US" w:eastAsia="zh-CN" w:bidi="ar-SA"/>
    </w:rPr>
  </w:style>
  <w:style w:type="character" w:customStyle="1" w:styleId="180">
    <w:name w:val="标题 2 Char"/>
    <w:qFormat/>
    <w:uiPriority w:val="0"/>
    <w:rPr>
      <w:rFonts w:ascii="黑体" w:eastAsia="黑体"/>
      <w:b/>
      <w:color w:val="000000"/>
      <w:kern w:val="2"/>
      <w:sz w:val="24"/>
      <w:lang w:val="en-US" w:eastAsia="zh-CN" w:bidi="ar-SA"/>
    </w:rPr>
  </w:style>
  <w:style w:type="character" w:customStyle="1" w:styleId="181">
    <w:name w:val="标题 3 Char"/>
    <w:qFormat/>
    <w:uiPriority w:val="0"/>
    <w:rPr>
      <w:rFonts w:eastAsia="宋体"/>
      <w:b/>
      <w:bCs/>
      <w:kern w:val="2"/>
      <w:sz w:val="32"/>
      <w:szCs w:val="32"/>
      <w:lang w:val="en-US" w:eastAsia="zh-CN" w:bidi="ar-SA"/>
    </w:rPr>
  </w:style>
  <w:style w:type="paragraph" w:customStyle="1" w:styleId="182">
    <w:name w:val="Char12"/>
    <w:basedOn w:val="1"/>
    <w:qFormat/>
    <w:uiPriority w:val="0"/>
  </w:style>
  <w:style w:type="character" w:customStyle="1" w:styleId="183">
    <w:name w:val="页眉 Char"/>
    <w:qFormat/>
    <w:uiPriority w:val="0"/>
    <w:rPr>
      <w:rFonts w:eastAsia="宋体"/>
      <w:kern w:val="2"/>
      <w:sz w:val="18"/>
      <w:szCs w:val="18"/>
      <w:lang w:val="en-US" w:eastAsia="zh-CN" w:bidi="ar-SA"/>
    </w:rPr>
  </w:style>
  <w:style w:type="character" w:customStyle="1" w:styleId="184">
    <w:name w:val="页脚 Char"/>
    <w:semiHidden/>
    <w:qFormat/>
    <w:locked/>
    <w:uiPriority w:val="0"/>
    <w:rPr>
      <w:rFonts w:eastAsia="宋体"/>
      <w:kern w:val="2"/>
      <w:sz w:val="18"/>
      <w:szCs w:val="18"/>
      <w:lang w:val="en-US" w:eastAsia="zh-CN" w:bidi="ar-SA"/>
    </w:rPr>
  </w:style>
  <w:style w:type="character" w:customStyle="1" w:styleId="185">
    <w:name w:val="正文文本缩进 Char"/>
    <w:qFormat/>
    <w:uiPriority w:val="0"/>
    <w:rPr>
      <w:rFonts w:eastAsia="宋体"/>
      <w:kern w:val="2"/>
      <w:sz w:val="24"/>
      <w:szCs w:val="24"/>
      <w:lang w:val="en-US" w:eastAsia="zh-CN" w:bidi="ar-SA"/>
    </w:rPr>
  </w:style>
  <w:style w:type="character" w:customStyle="1" w:styleId="186">
    <w:name w:val="日期 Char"/>
    <w:qFormat/>
    <w:uiPriority w:val="0"/>
    <w:rPr>
      <w:rFonts w:eastAsia="宋体"/>
      <w:kern w:val="2"/>
      <w:sz w:val="21"/>
      <w:szCs w:val="24"/>
      <w:lang w:val="en-US" w:eastAsia="zh-CN" w:bidi="ar-SA"/>
    </w:rPr>
  </w:style>
  <w:style w:type="character" w:customStyle="1" w:styleId="187">
    <w:name w:val="正文文本 Char1"/>
    <w:qFormat/>
    <w:uiPriority w:val="0"/>
    <w:rPr>
      <w:rFonts w:eastAsia="宋体"/>
      <w:kern w:val="2"/>
      <w:sz w:val="21"/>
      <w:szCs w:val="24"/>
      <w:lang w:val="en-US" w:eastAsia="zh-CN" w:bidi="ar-SA"/>
    </w:rPr>
  </w:style>
  <w:style w:type="character" w:customStyle="1" w:styleId="188">
    <w:name w:val="正文缩进 Char1"/>
    <w:qFormat/>
    <w:uiPriority w:val="0"/>
    <w:rPr>
      <w:rFonts w:eastAsia="宋体"/>
      <w:kern w:val="2"/>
      <w:sz w:val="21"/>
      <w:szCs w:val="24"/>
      <w:lang w:val="en-US" w:eastAsia="zh-CN" w:bidi="ar-SA"/>
    </w:rPr>
  </w:style>
  <w:style w:type="paragraph" w:customStyle="1" w:styleId="189">
    <w:name w:val="_Style 186"/>
    <w:basedOn w:val="1"/>
    <w:next w:val="123"/>
    <w:qFormat/>
    <w:uiPriority w:val="0"/>
    <w:pPr>
      <w:ind w:firstLine="420" w:firstLineChars="200"/>
    </w:pPr>
    <w:rPr>
      <w:rFonts w:ascii="Calibri" w:hAnsi="Calibri"/>
      <w:szCs w:val="20"/>
    </w:rPr>
  </w:style>
  <w:style w:type="character" w:customStyle="1" w:styleId="190">
    <w:name w:val="纯文本 Char1"/>
    <w:qFormat/>
    <w:uiPriority w:val="0"/>
    <w:rPr>
      <w:rFonts w:ascii="宋体" w:hAnsi="Courier New" w:eastAsia="宋体"/>
      <w:kern w:val="2"/>
      <w:sz w:val="28"/>
      <w:lang w:val="en-US" w:eastAsia="zh-CN" w:bidi="ar-SA"/>
    </w:rPr>
  </w:style>
  <w:style w:type="paragraph" w:customStyle="1" w:styleId="191">
    <w:name w:val="正文文本 22"/>
    <w:basedOn w:val="1"/>
    <w:qFormat/>
    <w:uiPriority w:val="0"/>
    <w:pPr>
      <w:adjustRightInd w:val="0"/>
      <w:ind w:left="1332"/>
      <w:jc w:val="left"/>
      <w:textAlignment w:val="baseline"/>
    </w:pPr>
    <w:rPr>
      <w:spacing w:val="-20"/>
      <w:sz w:val="28"/>
      <w:szCs w:val="20"/>
    </w:rPr>
  </w:style>
  <w:style w:type="character" w:customStyle="1" w:styleId="192">
    <w:name w:val="正文文本 2 Char"/>
    <w:qFormat/>
    <w:uiPriority w:val="0"/>
    <w:rPr>
      <w:rFonts w:eastAsia="宋体"/>
      <w:kern w:val="2"/>
      <w:sz w:val="21"/>
      <w:szCs w:val="24"/>
      <w:lang w:val="en-US" w:eastAsia="zh-CN" w:bidi="ar-SA"/>
    </w:rPr>
  </w:style>
  <w:style w:type="paragraph" w:customStyle="1" w:styleId="193">
    <w:name w:val="Char3"/>
    <w:basedOn w:val="1"/>
    <w:qFormat/>
    <w:uiPriority w:val="0"/>
  </w:style>
  <w:style w:type="paragraph" w:customStyle="1" w:styleId="194">
    <w:name w:val="Char1 Char Char Char1"/>
    <w:basedOn w:val="1"/>
    <w:qFormat/>
    <w:uiPriority w:val="0"/>
  </w:style>
  <w:style w:type="character" w:customStyle="1" w:styleId="195">
    <w:name w:val="批注框文本 Char"/>
    <w:semiHidden/>
    <w:qFormat/>
    <w:locked/>
    <w:uiPriority w:val="0"/>
    <w:rPr>
      <w:rFonts w:eastAsia="宋体"/>
      <w:kern w:val="2"/>
      <w:sz w:val="18"/>
      <w:szCs w:val="18"/>
      <w:lang w:val="en-US" w:eastAsia="zh-CN" w:bidi="ar-SA"/>
    </w:rPr>
  </w:style>
  <w:style w:type="paragraph" w:customStyle="1" w:styleId="19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197">
    <w:name w:val="Char1 Char Char Char Char Char Char1"/>
    <w:basedOn w:val="1"/>
    <w:qFormat/>
    <w:uiPriority w:val="0"/>
  </w:style>
  <w:style w:type="paragraph" w:customStyle="1" w:styleId="198">
    <w:name w:val="Char Char 字元 字元 字元 Char Char Char Char1"/>
    <w:basedOn w:val="1"/>
    <w:qFormat/>
    <w:uiPriority w:val="0"/>
    <w:pPr>
      <w:adjustRightInd w:val="0"/>
      <w:spacing w:line="360" w:lineRule="auto"/>
    </w:pPr>
    <w:rPr>
      <w:kern w:val="0"/>
      <w:sz w:val="24"/>
      <w:szCs w:val="20"/>
    </w:rPr>
  </w:style>
  <w:style w:type="paragraph" w:customStyle="1" w:styleId="19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Char Char1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1">
    <w:name w:val="正文缩进3"/>
    <w:basedOn w:val="1"/>
    <w:qFormat/>
    <w:uiPriority w:val="0"/>
    <w:pPr>
      <w:widowControl/>
      <w:spacing w:before="100" w:beforeAutospacing="1" w:after="100" w:afterAutospacing="1"/>
      <w:jc w:val="left"/>
    </w:pPr>
    <w:rPr>
      <w:rFonts w:ascii="宋体" w:hAnsi="宋体"/>
      <w:kern w:val="0"/>
      <w:sz w:val="24"/>
    </w:rPr>
  </w:style>
  <w:style w:type="paragraph" w:customStyle="1" w:styleId="202">
    <w:name w:val="纯文本2"/>
    <w:basedOn w:val="1"/>
    <w:qFormat/>
    <w:uiPriority w:val="0"/>
    <w:pPr>
      <w:widowControl/>
      <w:spacing w:before="100" w:beforeAutospacing="1" w:after="100" w:afterAutospacing="1"/>
      <w:jc w:val="left"/>
    </w:pPr>
    <w:rPr>
      <w:rFonts w:ascii="宋体" w:hAnsi="宋体"/>
      <w:sz w:val="24"/>
    </w:rPr>
  </w:style>
  <w:style w:type="paragraph" w:customStyle="1" w:styleId="203">
    <w:name w:val="列表段落2"/>
    <w:basedOn w:val="1"/>
    <w:qFormat/>
    <w:uiPriority w:val="0"/>
    <w:pPr>
      <w:spacing w:line="400" w:lineRule="exact"/>
      <w:ind w:firstLine="420" w:firstLineChars="200"/>
    </w:pPr>
    <w:rPr>
      <w:sz w:val="24"/>
    </w:rPr>
  </w:style>
  <w:style w:type="paragraph" w:customStyle="1" w:styleId="204">
    <w:name w:val="Char Char Char Char2"/>
    <w:basedOn w:val="1"/>
    <w:qFormat/>
    <w:uiPriority w:val="0"/>
    <w:pPr>
      <w:widowControl/>
      <w:spacing w:after="160" w:line="240" w:lineRule="exact"/>
      <w:jc w:val="left"/>
    </w:pPr>
    <w:rPr>
      <w:szCs w:val="20"/>
    </w:rPr>
  </w:style>
  <w:style w:type="character" w:customStyle="1" w:styleId="205">
    <w:name w:val="Char Char81"/>
    <w:qFormat/>
    <w:uiPriority w:val="0"/>
    <w:rPr>
      <w:rFonts w:ascii="Times New Roman" w:hAnsi="Times New Roman" w:eastAsia="宋体" w:cs="Times New Roman"/>
      <w:sz w:val="18"/>
      <w:szCs w:val="18"/>
    </w:rPr>
  </w:style>
  <w:style w:type="character" w:customStyle="1" w:styleId="206">
    <w:name w:val="Char Char Char1"/>
    <w:qFormat/>
    <w:uiPriority w:val="0"/>
    <w:rPr>
      <w:rFonts w:eastAsia="宋体"/>
      <w:kern w:val="2"/>
      <w:sz w:val="18"/>
      <w:szCs w:val="18"/>
      <w:lang w:val="en-US" w:eastAsia="zh-CN" w:bidi="ar-SA"/>
    </w:rPr>
  </w:style>
  <w:style w:type="character" w:customStyle="1" w:styleId="207">
    <w:name w:val="Char Char31"/>
    <w:qFormat/>
    <w:uiPriority w:val="0"/>
    <w:rPr>
      <w:kern w:val="2"/>
      <w:sz w:val="18"/>
      <w:szCs w:val="18"/>
    </w:rPr>
  </w:style>
  <w:style w:type="character" w:customStyle="1" w:styleId="208">
    <w:name w:val="无间隔 Char"/>
    <w:qFormat/>
    <w:uiPriority w:val="0"/>
    <w:rPr>
      <w:rFonts w:eastAsia="Times New Roman"/>
      <w:sz w:val="22"/>
      <w:szCs w:val="22"/>
      <w:lang w:val="en-US" w:eastAsia="zh-CN" w:bidi="ar-SA"/>
    </w:rPr>
  </w:style>
  <w:style w:type="character" w:customStyle="1" w:styleId="209">
    <w:name w:val="批注主题 Char"/>
    <w:qFormat/>
    <w:uiPriority w:val="0"/>
    <w:rPr>
      <w:rFonts w:eastAsia="宋体"/>
      <w:b/>
      <w:bCs/>
      <w:kern w:val="2"/>
      <w:sz w:val="21"/>
      <w:szCs w:val="24"/>
      <w:lang w:val="en-US" w:eastAsia="zh-CN" w:bidi="ar-SA"/>
    </w:rPr>
  </w:style>
  <w:style w:type="character" w:customStyle="1" w:styleId="210">
    <w:name w:val="批注文字 Char"/>
    <w:qFormat/>
    <w:uiPriority w:val="0"/>
    <w:rPr>
      <w:rFonts w:eastAsia="宋体"/>
      <w:kern w:val="2"/>
      <w:sz w:val="21"/>
      <w:szCs w:val="24"/>
      <w:lang w:val="en-US" w:eastAsia="zh-CN" w:bidi="ar-SA"/>
    </w:rPr>
  </w:style>
  <w:style w:type="character" w:customStyle="1" w:styleId="211">
    <w:name w:val="正文文本 3 字符1"/>
    <w:qFormat/>
    <w:uiPriority w:val="99"/>
    <w:rPr>
      <w:kern w:val="2"/>
      <w:sz w:val="16"/>
      <w:szCs w:val="16"/>
    </w:rPr>
  </w:style>
  <w:style w:type="paragraph" w:customStyle="1" w:styleId="21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22281</Words>
  <Characters>23590</Characters>
  <Lines>207</Lines>
  <Paragraphs>58</Paragraphs>
  <TotalTime>1</TotalTime>
  <ScaleCrop>false</ScaleCrop>
  <LinksUpToDate>false</LinksUpToDate>
  <CharactersWithSpaces>23619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2020-07-29T12:16:00Z</dcterms:created>
  <dc:creator>Administrator</dc:creator>
  <cp:lastModifiedBy>you</cp:lastModifiedBy>
  <cp:lastPrinted>2020-08-12T07:27:00Z</cp:lastPrinted>
  <dcterms:modified xsi:type="dcterms:W3CDTF">2025-03-26T04:50:49Z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9C60B9B81AC64ED3B2730480A260DA38_12</vt:lpwstr>
  </property>
  <property fmtid="{D5CDD505-2E9C-101B-9397-08002B2CF9AE}" pid="4" name="KSOTemplateDocerSaveRecord">
    <vt:lpwstr>eyJoZGlkIjoiYTU2YTdhZjFkMmM2OTNkZjk1OTBiNzJiODk2ZmNkOTUiLCJ1c2VySWQiOiI2NDUyODI2MDcifQ==</vt:lpwstr>
  </property>
</Properties>
</file>