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600" w:lineRule="exact"/>
        <w:jc w:val="distribute"/>
        <w:rPr>
          <w:rFonts w:hint="eastAsia" w:ascii="方正小标宋简体" w:hAnsi="文星标宋" w:eastAsia="方正小标宋简体"/>
          <w:color w:val="FF0000"/>
          <w:w w:val="42"/>
          <w:sz w:val="130"/>
          <w:szCs w:val="130"/>
        </w:rPr>
      </w:pPr>
    </w:p>
    <w:p>
      <w:pPr>
        <w:spacing w:line="1600" w:lineRule="exact"/>
        <w:jc w:val="distribute"/>
        <w:rPr>
          <w:rFonts w:hint="eastAsia" w:ascii="方正小标宋简体" w:hAnsi="文星标宋" w:eastAsia="方正小标宋简体"/>
          <w:color w:val="FF0000"/>
          <w:w w:val="45"/>
          <w:sz w:val="130"/>
          <w:szCs w:val="130"/>
        </w:rPr>
      </w:pPr>
      <w:r>
        <w:rPr>
          <w:rFonts w:hint="eastAsia" w:ascii="方正小标宋简体" w:hAnsi="文星标宋" w:eastAsia="方正小标宋简体"/>
          <w:color w:val="FF0000"/>
          <w:w w:val="45"/>
          <w:sz w:val="130"/>
          <w:szCs w:val="130"/>
        </w:rPr>
        <w:t>青岛西海岸新区教育和体育局文件</w:t>
      </w:r>
    </w:p>
    <w:p>
      <w:pPr>
        <w:spacing w:line="560" w:lineRule="exact"/>
        <w:rPr>
          <w:b/>
          <w:bCs/>
          <w:sz w:val="44"/>
          <w:u w:val="single" w:color="FF0000"/>
        </w:rPr>
      </w:pPr>
    </w:p>
    <w:p>
      <w:pPr>
        <w:spacing w:line="560" w:lineRule="exact"/>
        <w:jc w:val="center"/>
        <w:rPr>
          <w:b/>
          <w:bCs/>
          <w:sz w:val="44"/>
          <w:u w:val="single" w:color="FF0000"/>
        </w:rPr>
      </w:pPr>
      <w:r>
        <w:rPr>
          <w:rFonts w:hint="eastAsia" w:ascii="仿宋_GB2312" w:hAnsi="文星仿宋" w:eastAsia="仿宋_GB2312"/>
          <w:sz w:val="32"/>
          <w:szCs w:val="32"/>
        </w:rPr>
        <w:t>青西新教体字〔</w:t>
      </w:r>
      <w:r>
        <w:rPr>
          <w:rFonts w:ascii="仿宋_GB2312" w:hAnsi="文星仿宋" w:eastAsia="仿宋_GB2312"/>
          <w:sz w:val="32"/>
          <w:szCs w:val="32"/>
        </w:rPr>
        <w:t>2021</w:t>
      </w:r>
      <w:r>
        <w:rPr>
          <w:rFonts w:hint="eastAsia" w:ascii="仿宋_GB2312" w:hAnsi="文星仿宋" w:eastAsia="仿宋_GB2312"/>
          <w:sz w:val="32"/>
          <w:szCs w:val="32"/>
        </w:rPr>
        <w:t>〕</w:t>
      </w:r>
      <w:r>
        <w:rPr>
          <w:rFonts w:ascii="仿宋_GB2312" w:hAnsi="文星仿宋" w:eastAsia="仿宋_GB2312"/>
          <w:sz w:val="32"/>
          <w:szCs w:val="32"/>
        </w:rPr>
        <w:t>214</w:t>
      </w:r>
      <w:r>
        <w:rPr>
          <w:rFonts w:hint="eastAsia" w:ascii="仿宋_GB2312" w:hAnsi="文星仿宋" w:eastAsia="仿宋_GB2312"/>
          <w:sz w:val="32"/>
          <w:szCs w:val="32"/>
        </w:rPr>
        <w:t>号</w:t>
      </w:r>
    </w:p>
    <w:p>
      <w:pPr>
        <w:spacing w:line="560" w:lineRule="exact"/>
        <w:jc w:val="center"/>
        <w:rPr>
          <w:bCs/>
          <w:sz w:val="44"/>
        </w:rPr>
      </w:pPr>
      <w: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33020</wp:posOffset>
                </wp:positionV>
                <wp:extent cx="5615940" cy="0"/>
                <wp:effectExtent l="0" t="9525" r="3810" b="9525"/>
                <wp:wrapNone/>
                <wp:docPr id="1" name="直线 3"/>
                <wp:cNvGraphicFramePr/>
                <a:graphic xmlns:a="http://schemas.openxmlformats.org/drawingml/2006/main">
                  <a:graphicData uri="http://schemas.microsoft.com/office/word/2010/wordprocessingShape">
                    <wps:wsp>
                      <wps:cNvSpPr/>
                      <wps:spPr>
                        <a:xfrm>
                          <a:off x="0" y="0"/>
                          <a:ext cx="561594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2.6pt;height:0pt;width:442.2pt;z-index:251659264;mso-width-relative:page;mso-height-relative:page;" filled="f" stroked="t" coordsize="21600,21600" o:gfxdata="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L59KB1AAA&#10;AAQBAAAPAAAAAAAAAAEAIAAAACIAAABkcnMvZG93bnJldi54bWxQSwECFAAUAAAACACHTuJAj0Ym&#10;xekBAADcAwAADgAAAAAAAAABACAAAAAjAQAAZHJzL2Uyb0RvYy54bWxQSwUGAAAAAAYABgBZAQAA&#10;fgUAAAAA&#10;">
                <v:fill on="f" focussize="0,0"/>
                <v:stroke weight="1.5pt" color="#FF0000" joinstyle="round"/>
                <v:imagedata o:title=""/>
                <o:lock v:ext="edit" aspectratio="f"/>
              </v:line>
            </w:pict>
          </mc:Fallback>
        </mc:AlternateContent>
      </w:r>
    </w:p>
    <w:p>
      <w:pPr>
        <w:autoSpaceDE w:val="0"/>
        <w:autoSpaceDN w:val="0"/>
        <w:adjustRightInd w:val="0"/>
        <w:spacing w:line="560" w:lineRule="exact"/>
        <w:jc w:val="center"/>
        <w:rPr>
          <w:rFonts w:ascii="方正小标宋简体" w:eastAsia="方正小标宋简体" w:cs="仿宋_GB2312"/>
          <w:kern w:val="0"/>
          <w:sz w:val="44"/>
          <w:szCs w:val="44"/>
        </w:rPr>
      </w:pPr>
      <w:r>
        <w:rPr>
          <w:rFonts w:hint="eastAsia" w:ascii="方正小标宋简体" w:eastAsia="方正小标宋简体" w:cs="仿宋_GB2312"/>
          <w:kern w:val="0"/>
          <w:sz w:val="44"/>
          <w:szCs w:val="44"/>
        </w:rPr>
        <w:t>关于进一步加强学校饮用水安全</w:t>
      </w:r>
    </w:p>
    <w:p>
      <w:pPr>
        <w:autoSpaceDE w:val="0"/>
        <w:autoSpaceDN w:val="0"/>
        <w:adjustRightInd w:val="0"/>
        <w:spacing w:line="560" w:lineRule="exact"/>
        <w:jc w:val="center"/>
        <w:rPr>
          <w:rFonts w:ascii="方正小标宋简体" w:eastAsia="方正小标宋简体" w:cs="仿宋_GB2312"/>
          <w:b/>
          <w:kern w:val="0"/>
          <w:sz w:val="44"/>
          <w:szCs w:val="44"/>
        </w:rPr>
      </w:pPr>
      <w:r>
        <w:rPr>
          <w:rFonts w:hint="eastAsia" w:ascii="方正小标宋简体" w:eastAsia="方正小标宋简体" w:cs="仿宋_GB2312"/>
          <w:kern w:val="0"/>
          <w:sz w:val="44"/>
          <w:szCs w:val="44"/>
        </w:rPr>
        <w:t>管理工作的通知</w:t>
      </w:r>
    </w:p>
    <w:p>
      <w:pPr>
        <w:autoSpaceDE w:val="0"/>
        <w:autoSpaceDN w:val="0"/>
        <w:adjustRightInd w:val="0"/>
        <w:spacing w:line="560" w:lineRule="exact"/>
        <w:jc w:val="left"/>
        <w:rPr>
          <w:rFonts w:ascii="仿宋_GB2312" w:eastAsia="仿宋_GB2312" w:cs="仿宋_GB2312"/>
          <w:kern w:val="0"/>
          <w:sz w:val="32"/>
          <w:szCs w:val="32"/>
        </w:rPr>
      </w:pP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各学区教育服务中心，各学校、幼</w:t>
      </w:r>
      <w:bookmarkStart w:id="0" w:name="_GoBack"/>
      <w:bookmarkEnd w:id="0"/>
      <w:r>
        <w:rPr>
          <w:rFonts w:hint="eastAsia" w:ascii="仿宋_GB2312" w:hAnsi="仿宋_GB2312" w:eastAsia="仿宋_GB2312" w:cs="仿宋_GB2312"/>
          <w:sz w:val="32"/>
          <w:szCs w:val="32"/>
        </w:rPr>
        <w:t>儿园，局属各单位，机关各科部室：</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为贯彻落实青岛市教育局、市卫健委、市市场监管局《关于开展学校饮用水安全专项检查的通知》要求，进一步加强我区学校（含幼儿园，下同）饮用水监督管理，保障师生饮用水安全，现就有关事项通知如下：</w:t>
      </w:r>
    </w:p>
    <w:p>
      <w:pPr>
        <w:spacing w:line="560" w:lineRule="exact"/>
        <w:ind w:firstLine="640" w:firstLineChars="200"/>
        <w:rPr>
          <w:rFonts w:ascii="黑体" w:hAnsi="黑体" w:eastAsia="黑体" w:cs="仿宋_GB2312"/>
          <w:kern w:val="0"/>
          <w:sz w:val="32"/>
          <w:szCs w:val="32"/>
        </w:rPr>
      </w:pPr>
      <w:r>
        <w:rPr>
          <w:rFonts w:hint="eastAsia" w:ascii="黑体" w:hAnsi="黑体" w:eastAsia="黑体" w:cs="仿宋_GB2312"/>
          <w:kern w:val="0"/>
          <w:sz w:val="32"/>
          <w:szCs w:val="32"/>
        </w:rPr>
        <w:t>一、加强组织领导</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学校饮用水安全关系广大师生的健康和生命安全，各学校要以高度的责任感，加强学校饮用水安全管理，完善饮用水管理制度和饮用水污染突发事件应急预案（张贴在饮水机附近），严格落实校长作为学校卫生和食品安全第一责任人的责任，明确工作机制和职责分工，配备专职饮水管理人员，全力做好学校饮用水安全工作，保障师生饮用水安全。</w:t>
      </w:r>
    </w:p>
    <w:p>
      <w:pPr>
        <w:autoSpaceDE w:val="0"/>
        <w:autoSpaceDN w:val="0"/>
        <w:adjustRightInd w:val="0"/>
        <w:spacing w:line="560" w:lineRule="exact"/>
        <w:ind w:firstLine="640" w:firstLineChars="200"/>
        <w:rPr>
          <w:rFonts w:ascii="黑体" w:hAnsi="黑体" w:eastAsia="黑体" w:cs="仿宋_GB2312"/>
          <w:kern w:val="0"/>
          <w:sz w:val="32"/>
          <w:szCs w:val="32"/>
        </w:rPr>
      </w:pPr>
      <w:r>
        <w:rPr>
          <w:rFonts w:ascii="仿宋_GB2312" w:eastAsia="仿宋_GB2312" w:cs="仿宋_GB2312"/>
          <w:kern w:val="0"/>
          <w:sz w:val="32"/>
          <w:szCs w:val="32"/>
        </w:rPr>
        <w:t xml:space="preserve"> </w:t>
      </w:r>
      <w:r>
        <w:rPr>
          <w:rFonts w:hint="eastAsia" w:ascii="黑体" w:hAnsi="黑体" w:eastAsia="黑体" w:cs="仿宋_GB2312"/>
          <w:kern w:val="0"/>
          <w:sz w:val="32"/>
          <w:szCs w:val="32"/>
        </w:rPr>
        <w:t>二、加强日常管理</w:t>
      </w:r>
    </w:p>
    <w:p>
      <w:pPr>
        <w:spacing w:line="560" w:lineRule="exact"/>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（一）加强饮水设施管理。</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自备水源供水的管理。自建设施供水应取得取水许可、卫生许可证；应选择水质良好、水量充足、远离污染源（</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米内无污染源）、便于防护的水源水质符合国家生活饮用水标准，并经有资质检测公司水质检测合格后，方可作为供水水源。必须安装持续消毒设备或装置，必须保护好水源，设置固定告示牌，水井、蓄水池必须密封加盖，井口建有井台，水泵房门加锁，加强管理，责任落实到人，按照《生活饮用水集中式供水单位卫生规范》要求积极开展水质检测，确保饮用水安全卫生。凡是为师生提供饮用水的自建供水设施（如：自打井）未取得取水、卫生许可的单位，要积极与辖区镇街政府对接，利用国庆假期，完成整治工作。要制定切实有效的整治方案，明确完成时限。在生活饮用水未与市政或镇街管网水连接前，立即改用符合卫生条件的大桶水（见大桶水供水管理）供水，并进行水质检测，确保校园饮水安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二次供水的管理。使用二次供水设备要符合卫生标准，取得有效卫生许可。蓄水设施要定期清洗、消毒，水箱外环境要整洁，并加盖、加锁。每学期不少于一次水质检测，做好管道维护等工作。</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直饮水供水管理。设备要取得有效卫生许可批件，索票索证齐全，每学期不少于一次水质检测，滤芯要定期更换，设备要定期清洗、消毒，做好维护、清洗、消毒记录，建好台账。</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热水炉供水管理。使用锅炉烧水的学校，安装的锅炉必须经质监部门审批。饮用水水质必须符合卫生标准，方可烧制开水，提供的饮用开水应烧至沸腾方可供师生饮用。盛水容器要定期清洗消毒，不得露天存放，每学期不少于一次水质检测等。</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大桶水供水管理。学校订购桶装饮用水的企业必须具备下列条件：一是查验桶装饮用水企业的《食品生产许可证》和当批次检验合格报告。二是检查标签是否标注规范，厂名、厂址、生产日期、保质期限、许可证编号等内容清晰完整，包装桶是否破损，封口处是否包装完整，无渗漏现象。</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学校要设立符合卫生要求的固定场所存放大桶水，建立登记、验收制度，定期对桶装饮用水饮水机进行清洗、消毒。饮水机的清洗消毒必须由专业人员进行，并在清洗消毒后抽检饮水机龙头水，同时按清洗消毒操作规程做好相关记录。要将大桶水生产单位的有效卫生许可、检验报告复印件按程序报送教育主管部门备案。</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（二）加强人员管理。</w:t>
      </w:r>
      <w:r>
        <w:rPr>
          <w:rFonts w:hint="eastAsia" w:ascii="仿宋_GB2312" w:hAnsi="仿宋_GB2312" w:eastAsia="仿宋_GB2312" w:cs="仿宋_GB2312"/>
          <w:sz w:val="32"/>
          <w:szCs w:val="32"/>
        </w:rPr>
        <w:t>各学校配备的专职饮水管理员要持有效健康证、培训证方可上岗（在饮水机处公示）。要落实责任制，每天早晨提前到校，巡查饮水设施，对饮水机的水龙头使用酒精棉球或酒精棉片进行擦拭消毒，在学生到校前将水温调制</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℃，水烧开后打开水龙头，放水</w:t>
      </w:r>
      <w:r>
        <w:rPr>
          <w:rFonts w:ascii="仿宋_GB2312" w:hAnsi="仿宋_GB2312" w:eastAsia="仿宋_GB2312" w:cs="仿宋_GB2312"/>
          <w:sz w:val="32"/>
          <w:szCs w:val="32"/>
        </w:rPr>
        <w:t>3-5</w:t>
      </w:r>
      <w:r>
        <w:rPr>
          <w:rFonts w:hint="eastAsia" w:ascii="仿宋_GB2312" w:hAnsi="仿宋_GB2312" w:eastAsia="仿宋_GB2312" w:cs="仿宋_GB2312"/>
          <w:sz w:val="32"/>
          <w:szCs w:val="32"/>
        </w:rPr>
        <w:t>分钟后，再将水温调至温水状态，供学生饮用。</w:t>
      </w:r>
    </w:p>
    <w:p>
      <w:pPr>
        <w:autoSpaceDE w:val="0"/>
        <w:autoSpaceDN w:val="0"/>
        <w:adjustRightInd w:val="0"/>
        <w:spacing w:line="560" w:lineRule="exact"/>
        <w:ind w:firstLine="640" w:firstLineChars="200"/>
        <w:rPr>
          <w:rFonts w:ascii="黑体" w:hAnsi="黑体" w:eastAsia="黑体"/>
          <w:kern w:val="0"/>
          <w:sz w:val="32"/>
          <w:szCs w:val="32"/>
        </w:rPr>
      </w:pPr>
      <w:r>
        <w:rPr>
          <w:rFonts w:hint="eastAsia" w:ascii="黑体" w:hAnsi="黑体" w:eastAsia="黑体"/>
          <w:kern w:val="0"/>
          <w:sz w:val="32"/>
          <w:szCs w:val="32"/>
        </w:rPr>
        <w:t>三、开展自查自纠</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学校要按照通知要求，立即开展自查自纠。重点检查是否建立生活饮用水卫生管理制度、水污染事故应急预案；学校供水人员是否定期进行健康体检；供水设施是否有卫生防护设施；自建设施供水是否有卫生许可证、水质消毒记录；自备水源</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米内有无污染源；春、秋季开学前生活饮用水（含自备水源）、食堂末梢端取水是否开展检测，并留存水质检测合格报告；学校对饮水机等涉水产品是否索证及卫生许可批件，饮水机是否做到定期消毒，有无消毒记录；分散式供水学校是否定期进行末梢水质检测。对自查中发现的问题及安全隐患，要及时整改，确保学校饮用水卫生安全。详见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autoSpaceDE w:val="0"/>
        <w:autoSpaceDN w:val="0"/>
        <w:adjustRightInd w:val="0"/>
        <w:spacing w:line="560" w:lineRule="exact"/>
        <w:ind w:firstLine="640" w:firstLineChars="200"/>
        <w:rPr>
          <w:rFonts w:ascii="黑体" w:hAnsi="黑体" w:eastAsia="黑体"/>
          <w:kern w:val="0"/>
          <w:sz w:val="32"/>
          <w:szCs w:val="32"/>
        </w:rPr>
      </w:pPr>
      <w:r>
        <w:rPr>
          <w:rFonts w:hint="eastAsia" w:ascii="黑体" w:hAnsi="黑体" w:eastAsia="黑体"/>
          <w:kern w:val="0"/>
          <w:sz w:val="32"/>
          <w:szCs w:val="32"/>
        </w:rPr>
        <w:t>四、加强宣传教育</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各学校要通过微信公众号、校园网、手抄报等形式广泛宣传饮水卫生知识，在校内醒目位置设置饮用水安全知识专栏、板报，教育学生使用符合卫生及食用标准的容器盛水，做到不饮用生水、不饮用水源不明的水、不与其他人共用容器饮水，并定期清洁容器，使学生养成良好的饮水卫生习惯，增强自我保护意识和能力。</w:t>
      </w:r>
    </w:p>
    <w:p>
      <w:pPr>
        <w:spacing w:line="560" w:lineRule="exact"/>
        <w:ind w:firstLine="640" w:firstLineChars="200"/>
        <w:rPr>
          <w:rFonts w:ascii="黑体" w:hAnsi="黑体" w:eastAsia="黑体"/>
          <w:kern w:val="0"/>
          <w:sz w:val="32"/>
          <w:szCs w:val="32"/>
        </w:rPr>
      </w:pPr>
      <w:r>
        <w:rPr>
          <w:rFonts w:hint="eastAsia" w:ascii="黑体" w:hAnsi="黑体" w:eastAsia="黑体"/>
          <w:kern w:val="0"/>
          <w:sz w:val="32"/>
          <w:szCs w:val="32"/>
        </w:rPr>
        <w:t>五、做好信息上报</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12:00</w:t>
      </w:r>
      <w:r>
        <w:rPr>
          <w:rFonts w:hint="eastAsia" w:ascii="仿宋_GB2312" w:hAnsi="仿宋_GB2312" w:eastAsia="仿宋_GB2312" w:cs="仿宋_GB2312"/>
          <w:sz w:val="32"/>
          <w:szCs w:val="32"/>
        </w:rPr>
        <w:t>前完成如下上报工作：一是所有学校、幼儿园上报饮水机数量统计表（附件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）。二是自备水源的单位（学校</w:t>
      </w:r>
      <w:r>
        <w:rPr>
          <w:rFonts w:ascii="仿宋_GB2312" w:hAnsi="仿宋_GB2312" w:eastAsia="仿宋_GB2312" w:cs="仿宋_GB2312"/>
          <w:sz w:val="32"/>
          <w:szCs w:val="32"/>
        </w:rPr>
        <w:t>23</w:t>
      </w:r>
      <w:r>
        <w:rPr>
          <w:rFonts w:hint="eastAsia" w:ascii="仿宋_GB2312" w:hAnsi="仿宋_GB2312" w:eastAsia="仿宋_GB2312" w:cs="仿宋_GB2312"/>
          <w:sz w:val="32"/>
          <w:szCs w:val="32"/>
        </w:rPr>
        <w:t>所、幼儿园</w:t>
      </w:r>
      <w:r>
        <w:rPr>
          <w:rFonts w:ascii="仿宋_GB2312" w:hAnsi="仿宋_GB2312" w:eastAsia="仿宋_GB2312" w:cs="仿宋_GB2312"/>
          <w:sz w:val="32"/>
          <w:szCs w:val="32"/>
        </w:rPr>
        <w:t>27</w:t>
      </w:r>
      <w:r>
        <w:rPr>
          <w:rFonts w:hint="eastAsia" w:ascii="仿宋_GB2312" w:hAnsi="仿宋_GB2312" w:eastAsia="仿宋_GB2312" w:cs="仿宋_GB2312"/>
          <w:sz w:val="32"/>
          <w:szCs w:val="32"/>
        </w:rPr>
        <w:t>所）将整改报告（模板见附件</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）、整改前后照片和整改后的合格水质检验报告及采购的大桶水厂家的资质、检验报告等资料</w:t>
      </w:r>
      <w:r>
        <w:rPr>
          <w:rFonts w:hint="eastAsia" w:ascii="宋体" w:hAnsi="宋体" w:cs="宋体"/>
          <w:sz w:val="32"/>
          <w:szCs w:val="32"/>
        </w:rPr>
        <w:t>的</w:t>
      </w:r>
      <w:r>
        <w:rPr>
          <w:rFonts w:hint="eastAsia" w:ascii="仿宋_GB2312" w:hAnsi="仿宋_GB2312" w:eastAsia="仿宋_GB2312" w:cs="仿宋_GB2312"/>
          <w:sz w:val="32"/>
          <w:szCs w:val="32"/>
        </w:rPr>
        <w:t>原件或扫描件上报区教体局。所有上报材料（纸质和电子版），均需学校主要领导签字和单位盖章。其中，幼儿园报给各学区教育服务中心，学区汇总后报给局学前教育科赵立美；民办学校、中小学通过即时通报给局安全应急部王晋。学前教育科负责汇总、收集各学区幼儿园的相关资料报给局安全应急部，安全应急部汇总统计全区学校、幼儿园的信息，形成调研报告，为下一步制定饮水管理措施提供依据。</w:t>
      </w:r>
    </w:p>
    <w:p>
      <w:pPr>
        <w:autoSpaceDE w:val="0"/>
        <w:autoSpaceDN w:val="0"/>
        <w:adjustRightInd w:val="0"/>
        <w:spacing w:line="560" w:lineRule="exact"/>
        <w:ind w:firstLine="640" w:firstLineChars="200"/>
        <w:rPr>
          <w:rFonts w:ascii="黑体" w:hAnsi="黑体" w:eastAsia="黑体"/>
          <w:kern w:val="0"/>
          <w:sz w:val="32"/>
          <w:szCs w:val="32"/>
        </w:rPr>
      </w:pPr>
      <w:r>
        <w:rPr>
          <w:rFonts w:hint="eastAsia" w:ascii="黑体" w:hAnsi="黑体" w:eastAsia="黑体"/>
          <w:kern w:val="0"/>
          <w:sz w:val="32"/>
          <w:szCs w:val="32"/>
        </w:rPr>
        <w:t>六、做好迎检准备</w:t>
      </w:r>
      <w:r>
        <w:rPr>
          <w:rFonts w:ascii="黑体" w:hAnsi="黑体" w:eastAsia="黑体"/>
          <w:kern w:val="0"/>
          <w:sz w:val="32"/>
          <w:szCs w:val="32"/>
        </w:rPr>
        <w:t xml:space="preserve"> </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9</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30</w:t>
      </w:r>
      <w:r>
        <w:rPr>
          <w:rFonts w:hint="eastAsia" w:ascii="仿宋_GB2312" w:hAnsi="仿宋_GB2312" w:eastAsia="仿宋_GB2312" w:cs="仿宋_GB2312"/>
          <w:sz w:val="32"/>
          <w:szCs w:val="32"/>
        </w:rPr>
        <w:t>日</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15</w:t>
      </w:r>
      <w:r>
        <w:rPr>
          <w:rFonts w:hint="eastAsia" w:ascii="仿宋_GB2312" w:hAnsi="仿宋_GB2312" w:eastAsia="仿宋_GB2312" w:cs="仿宋_GB2312"/>
          <w:sz w:val="32"/>
          <w:szCs w:val="32"/>
        </w:rPr>
        <w:t>日，省、市、区将分别成立由教育、卫生健康、市场监管部门组成的联合检查组，采取“四不两直”的方式，对学校饮用水管理工作开展督查。请各单位结合自查情况，梳理问题清单，制定整改措施，杜绝安全隐患，积极做好迎检准备。自备水源单位，务必于</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4</w:t>
      </w:r>
      <w:r>
        <w:rPr>
          <w:rFonts w:hint="eastAsia" w:ascii="仿宋_GB2312" w:hAnsi="仿宋_GB2312" w:eastAsia="仿宋_GB2312" w:cs="仿宋_GB2312"/>
          <w:sz w:val="32"/>
          <w:szCs w:val="32"/>
        </w:rPr>
        <w:t>号前将采购的大桶水入库，各学区服务中心要督促落实到位，局安全应急部将加强调度。对管理不到位、存在安全隐患整改不及时的单位，区局将全区通报，并追究相关人员的责任。</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联系人及联系电话：</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联系人：杨</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倩（安全应急部）</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联系电话：</w:t>
      </w:r>
      <w:r>
        <w:rPr>
          <w:rFonts w:ascii="仿宋_GB2312" w:hAnsi="仿宋_GB2312" w:eastAsia="仿宋_GB2312" w:cs="仿宋_GB2312"/>
          <w:sz w:val="32"/>
          <w:szCs w:val="32"/>
        </w:rPr>
        <w:t xml:space="preserve">15066852767  </w:t>
      </w:r>
    </w:p>
    <w:p>
      <w:pPr>
        <w:spacing w:line="56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王</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晋（安全应急部）</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联系电话：</w:t>
      </w:r>
      <w:r>
        <w:rPr>
          <w:rFonts w:ascii="仿宋_GB2312" w:hAnsi="仿宋_GB2312" w:eastAsia="仿宋_GB2312" w:cs="仿宋_GB2312"/>
          <w:sz w:val="32"/>
          <w:szCs w:val="32"/>
        </w:rPr>
        <w:t xml:space="preserve">18363911278 </w:t>
      </w:r>
    </w:p>
    <w:p>
      <w:pPr>
        <w:spacing w:line="56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赵立美（学前教育科）</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联系电话：</w:t>
      </w:r>
      <w:r>
        <w:rPr>
          <w:rFonts w:ascii="仿宋_GB2312" w:hAnsi="仿宋_GB2312" w:eastAsia="仿宋_GB2312" w:cs="仿宋_GB2312"/>
          <w:sz w:val="32"/>
          <w:szCs w:val="32"/>
        </w:rPr>
        <w:t>15753218065</w:t>
      </w:r>
    </w:p>
    <w:p>
      <w:pPr>
        <w:spacing w:line="56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张丽慧（职业教育和继续教育科</w:t>
      </w:r>
      <w:r>
        <w:rPr>
          <w:rFonts w:ascii="仿宋_GB2312" w:hAnsi="仿宋_GB2312" w:eastAsia="仿宋_GB2312" w:cs="仿宋_GB2312"/>
          <w:sz w:val="32"/>
          <w:szCs w:val="32"/>
        </w:rPr>
        <w:t>&lt;</w:t>
      </w:r>
      <w:r>
        <w:rPr>
          <w:rFonts w:hint="eastAsia" w:ascii="仿宋_GB2312" w:hAnsi="仿宋_GB2312" w:eastAsia="仿宋_GB2312" w:cs="仿宋_GB2312"/>
          <w:sz w:val="32"/>
          <w:szCs w:val="32"/>
        </w:rPr>
        <w:t>民办</w:t>
      </w:r>
      <w:r>
        <w:rPr>
          <w:rFonts w:ascii="仿宋_GB2312" w:hAnsi="仿宋_GB2312" w:eastAsia="仿宋_GB2312" w:cs="仿宋_GB2312"/>
          <w:sz w:val="32"/>
          <w:szCs w:val="32"/>
        </w:rPr>
        <w:t>&gt;</w:t>
      </w:r>
      <w:r>
        <w:rPr>
          <w:rFonts w:hint="eastAsia" w:ascii="仿宋_GB2312" w:hAnsi="仿宋_GB2312" w:eastAsia="仿宋_GB2312" w:cs="仿宋_GB2312"/>
          <w:sz w:val="32"/>
          <w:szCs w:val="32"/>
        </w:rPr>
        <w:t>）</w:t>
      </w:r>
    </w:p>
    <w:p>
      <w:pPr>
        <w:spacing w:line="560" w:lineRule="exact"/>
        <w:ind w:firstLine="1920" w:firstLineChars="600"/>
        <w:rPr>
          <w:rFonts w:ascii="仿宋_GB2312" w:hAnsi="仿宋_GB2312" w:eastAsia="仿宋_GB2312" w:cs="仿宋_GB2312"/>
          <w:sz w:val="32"/>
          <w:szCs w:val="32"/>
        </w:rPr>
      </w:pPr>
      <w:r>
        <w:rPr>
          <w:rFonts w:hint="eastAsia" w:ascii="仿宋_GB2312" w:hAnsi="仿宋_GB2312" w:eastAsia="仿宋_GB2312" w:cs="仿宋_GB2312"/>
          <w:sz w:val="32"/>
          <w:szCs w:val="32"/>
        </w:rPr>
        <w:t>联系电话：</w:t>
      </w:r>
      <w:r>
        <w:rPr>
          <w:rFonts w:ascii="仿宋_GB2312" w:hAnsi="仿宋_GB2312" w:eastAsia="仿宋_GB2312" w:cs="仿宋_GB2312"/>
          <w:sz w:val="32"/>
          <w:szCs w:val="32"/>
        </w:rPr>
        <w:t>13553016918</w:t>
      </w:r>
    </w:p>
    <w:p>
      <w:pPr>
        <w:spacing w:line="560" w:lineRule="exact"/>
        <w:ind w:firstLine="640" w:firstLineChars="200"/>
        <w:rPr>
          <w:rFonts w:ascii="仿宋_GB2312" w:hAnsi="仿宋_GB2312" w:eastAsia="仿宋_GB2312" w:cs="仿宋_GB2312"/>
          <w:sz w:val="32"/>
          <w:szCs w:val="32"/>
        </w:rPr>
      </w:pP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学生生活饮用水卫生安全检查表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2.</w:t>
      </w:r>
      <w:r>
        <w:rPr>
          <w:rFonts w:hint="eastAsia" w:ascii="仿宋_GB2312" w:hAnsi="仿宋_GB2312" w:eastAsia="仿宋_GB2312" w:cs="仿宋_GB2312"/>
          <w:sz w:val="32"/>
          <w:szCs w:val="32"/>
        </w:rPr>
        <w:t>学校、幼儿园饮水机数量统计表</w:t>
      </w:r>
    </w:p>
    <w:p>
      <w:p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 xml:space="preserve">      3.</w:t>
      </w:r>
      <w:r>
        <w:rPr>
          <w:rFonts w:hint="eastAsia" w:ascii="仿宋_GB2312" w:hAnsi="仿宋_GB2312" w:eastAsia="仿宋_GB2312" w:cs="仿宋_GB2312"/>
          <w:sz w:val="32"/>
          <w:szCs w:val="32"/>
        </w:rPr>
        <w:t>自备水源学校、幼儿园整治方案</w:t>
      </w:r>
    </w:p>
    <w:p>
      <w:pPr>
        <w:spacing w:line="560" w:lineRule="exact"/>
        <w:rPr>
          <w:rFonts w:ascii="仿宋_GB2312" w:hAnsi="仿宋_GB2312" w:eastAsia="仿宋_GB2312" w:cs="仿宋_GB2312"/>
          <w:color w:val="000000"/>
          <w:sz w:val="32"/>
          <w:szCs w:val="32"/>
        </w:rPr>
      </w:pPr>
      <w:r>
        <w:rPr>
          <w:rFonts w:ascii="仿宋_GB2312" w:hAnsi="仿宋_GB2312" w:eastAsia="仿宋_GB2312" w:cs="仿宋_GB2312"/>
          <w:color w:val="000000"/>
          <w:sz w:val="32"/>
          <w:szCs w:val="32"/>
        </w:rPr>
        <w:t xml:space="preserve">   </w:t>
      </w:r>
    </w:p>
    <w:p>
      <w:pPr>
        <w:spacing w:line="560" w:lineRule="exact"/>
        <w:ind w:firstLine="640" w:firstLineChars="200"/>
        <w:rPr>
          <w:rFonts w:ascii="楷体_GB2312" w:hAnsi="楷体_GB2312" w:eastAsia="楷体_GB2312" w:cs="楷体_GB2312"/>
          <w:color w:val="000000"/>
          <w:sz w:val="32"/>
          <w:szCs w:val="32"/>
        </w:rPr>
      </w:pPr>
      <w:r>
        <w:rPr>
          <w:rFonts w:ascii="黑体" w:hAnsi="黑体" w:eastAsia="黑体"/>
          <w:color w:val="000000"/>
          <w:sz w:val="32"/>
          <w:szCs w:val="32"/>
        </w:rPr>
        <w:t xml:space="preserve"> </w:t>
      </w:r>
      <w:r>
        <w:rPr>
          <w:rFonts w:ascii="楷体_GB2312" w:hAnsi="楷体_GB2312" w:eastAsia="楷体_GB2312" w:cs="楷体_GB2312"/>
          <w:color w:val="000000"/>
          <w:sz w:val="32"/>
          <w:szCs w:val="32"/>
        </w:rPr>
        <w:t xml:space="preserve">             </w:t>
      </w:r>
    </w:p>
    <w:p>
      <w:pPr>
        <w:spacing w:line="560" w:lineRule="exact"/>
        <w:ind w:firstLine="3520" w:firstLineChars="1100"/>
        <w:rPr>
          <w:rFonts w:ascii="仿宋_GB2312" w:hAnsi="仿宋_GB2312" w:eastAsia="仿宋_GB2312" w:cs="仿宋_GB2312"/>
          <w:sz w:val="32"/>
          <w:szCs w:val="32"/>
        </w:rPr>
      </w:pPr>
      <w:r>
        <w:rPr>
          <w:rFonts w:hint="eastAsia" w:ascii="仿宋_GB2312" w:hAnsi="仿宋_GB2312" w:eastAsia="仿宋_GB2312" w:cs="仿宋_GB2312"/>
          <w:sz w:val="32"/>
          <w:szCs w:val="32"/>
        </w:rPr>
        <w:t>青岛西海岸新区教育和体育局</w:t>
      </w:r>
    </w:p>
    <w:p>
      <w:pPr>
        <w:spacing w:line="560" w:lineRule="exact"/>
        <w:ind w:firstLine="640" w:firstLineChars="200"/>
        <w:rPr>
          <w:rFonts w:ascii="黑体" w:hAnsi="宋体" w:eastAsia="黑体"/>
          <w:sz w:val="32"/>
          <w:szCs w:val="32"/>
        </w:rPr>
      </w:pPr>
      <w:r>
        <w:rPr>
          <w:rFonts w:ascii="仿宋_GB2312" w:hAnsi="仿宋_GB2312" w:eastAsia="仿宋_GB2312" w:cs="仿宋_GB2312"/>
          <w:sz w:val="32"/>
          <w:szCs w:val="32"/>
        </w:rPr>
        <w:t xml:space="preserve">                       2021</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10</w:t>
      </w:r>
      <w:r>
        <w:rPr>
          <w:rFonts w:hint="eastAsia" w:ascii="仿宋_GB2312" w:hAnsi="仿宋_GB2312" w:eastAsia="仿宋_GB2312" w:cs="仿宋_GB2312"/>
          <w:sz w:val="32"/>
          <w:szCs w:val="32"/>
        </w:rPr>
        <w:t>月</w:t>
      </w:r>
      <w:r>
        <w:rPr>
          <w:rFonts w:ascii="仿宋_GB2312" w:hAnsi="仿宋_GB2312" w:eastAsia="仿宋_GB2312" w:cs="仿宋_GB2312"/>
          <w:sz w:val="32"/>
          <w:szCs w:val="32"/>
        </w:rPr>
        <w:t>3</w:t>
      </w:r>
      <w:r>
        <w:rPr>
          <w:rFonts w:hint="eastAsia" w:ascii="仿宋_GB2312" w:hAnsi="仿宋_GB2312" w:eastAsia="仿宋_GB2312" w:cs="仿宋_GB2312"/>
          <w:sz w:val="32"/>
          <w:szCs w:val="32"/>
        </w:rPr>
        <w:t>日</w:t>
      </w: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Pr>
        <w:spacing w:line="400" w:lineRule="exact"/>
        <w:rPr>
          <w:rFonts w:ascii="黑体" w:hAnsi="宋体" w:eastAsia="黑体"/>
          <w:sz w:val="32"/>
          <w:szCs w:val="32"/>
        </w:rPr>
      </w:pPr>
    </w:p>
    <w:p/>
    <w:p>
      <w:pPr>
        <w:spacing w:line="400" w:lineRule="exact"/>
        <w:rPr>
          <w:rFonts w:ascii="黑体" w:eastAsia="黑体"/>
          <w:sz w:val="32"/>
          <w:szCs w:val="32"/>
        </w:rPr>
      </w:pPr>
      <w:r>
        <w:rPr>
          <w:rFonts w:hint="eastAsia" w:ascii="黑体" w:hAnsi="宋体" w:eastAsia="黑体"/>
          <w:sz w:val="32"/>
          <w:szCs w:val="32"/>
        </w:rPr>
        <w:t>附件</w:t>
      </w:r>
      <w:r>
        <w:rPr>
          <w:rFonts w:ascii="黑体" w:hAnsi="宋体" w:eastAsia="黑体"/>
          <w:sz w:val="32"/>
          <w:szCs w:val="32"/>
        </w:rPr>
        <w:t>1</w:t>
      </w:r>
      <w:r>
        <w:rPr>
          <w:rFonts w:ascii="黑体" w:eastAsia="黑体"/>
          <w:sz w:val="32"/>
          <w:szCs w:val="32"/>
        </w:rPr>
        <w:t xml:space="preserve"> </w:t>
      </w:r>
    </w:p>
    <w:p>
      <w:pPr>
        <w:spacing w:line="400" w:lineRule="exact"/>
        <w:jc w:val="center"/>
        <w:rPr>
          <w:rFonts w:ascii="宋体"/>
          <w:b/>
          <w:sz w:val="32"/>
          <w:szCs w:val="32"/>
        </w:rPr>
      </w:pPr>
      <w:r>
        <w:rPr>
          <w:rFonts w:hint="eastAsia" w:ascii="方正小标宋_GBK" w:hAnsi="方正小标宋_GBK" w:eastAsia="方正小标宋_GBK" w:cs="方正小标宋_GBK"/>
          <w:bCs/>
          <w:sz w:val="36"/>
          <w:szCs w:val="36"/>
        </w:rPr>
        <w:t>校园生活饮用水卫生安全检查表</w:t>
      </w:r>
    </w:p>
    <w:tbl>
      <w:tblPr>
        <w:tblStyle w:val="6"/>
        <w:tblW w:w="9540" w:type="dxa"/>
        <w:tblInd w:w="-2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5940"/>
        <w:gridCol w:w="900"/>
        <w:gridCol w:w="810"/>
        <w:gridCol w:w="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trPr>
        <w:tc>
          <w:tcPr>
            <w:tcW w:w="7020" w:type="dxa"/>
            <w:gridSpan w:val="2"/>
            <w:vAlign w:val="center"/>
          </w:tcPr>
          <w:p>
            <w:pPr>
              <w:spacing w:line="240" w:lineRule="exact"/>
              <w:rPr>
                <w:b/>
                <w:szCs w:val="21"/>
              </w:rPr>
            </w:pPr>
            <w:r>
              <w:rPr>
                <w:rFonts w:hint="eastAsia"/>
                <w:b/>
                <w:szCs w:val="21"/>
              </w:rPr>
              <w:t>学校名称：</w:t>
            </w:r>
          </w:p>
        </w:tc>
        <w:tc>
          <w:tcPr>
            <w:tcW w:w="2520" w:type="dxa"/>
            <w:gridSpan w:val="3"/>
            <w:vAlign w:val="center"/>
          </w:tcPr>
          <w:p>
            <w:pPr>
              <w:spacing w:line="240" w:lineRule="exact"/>
              <w:rPr>
                <w:b/>
                <w:szCs w:val="21"/>
              </w:rPr>
            </w:pPr>
            <w:r>
              <w:rPr>
                <w:rFonts w:hint="eastAsia"/>
                <w:b/>
                <w:szCs w:val="21"/>
              </w:rPr>
              <w:t>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7020" w:type="dxa"/>
            <w:gridSpan w:val="2"/>
            <w:vAlign w:val="center"/>
          </w:tcPr>
          <w:p>
            <w:pPr>
              <w:spacing w:line="240" w:lineRule="exact"/>
              <w:rPr>
                <w:b/>
                <w:szCs w:val="21"/>
              </w:rPr>
            </w:pPr>
            <w:r>
              <w:rPr>
                <w:rFonts w:hint="eastAsia"/>
                <w:b/>
                <w:szCs w:val="21"/>
              </w:rPr>
              <w:t>地址：</w:t>
            </w:r>
            <w:r>
              <w:rPr>
                <w:b/>
                <w:szCs w:val="21"/>
              </w:rPr>
              <w:t xml:space="preserve">                        </w:t>
            </w:r>
            <w:r>
              <w:rPr>
                <w:rFonts w:hint="eastAsia"/>
                <w:b/>
                <w:szCs w:val="21"/>
              </w:rPr>
              <w:t>联系电话：</w:t>
            </w:r>
          </w:p>
        </w:tc>
        <w:tc>
          <w:tcPr>
            <w:tcW w:w="2520" w:type="dxa"/>
            <w:gridSpan w:val="3"/>
            <w:vAlign w:val="center"/>
          </w:tcPr>
          <w:p>
            <w:pPr>
              <w:spacing w:line="240" w:lineRule="exact"/>
              <w:rPr>
                <w:b/>
                <w:szCs w:val="21"/>
              </w:rPr>
            </w:pPr>
            <w:r>
              <w:rPr>
                <w:rFonts w:hint="eastAsia"/>
                <w:b/>
                <w:szCs w:val="21"/>
              </w:rPr>
              <w:t>检查日期：</w:t>
            </w:r>
            <w:r>
              <w:rPr>
                <w:b/>
                <w:szCs w:val="21"/>
              </w:rPr>
              <w:t xml:space="preserve">  </w:t>
            </w:r>
            <w:r>
              <w:rPr>
                <w:rFonts w:hint="eastAsia"/>
                <w:b/>
                <w:szCs w:val="21"/>
              </w:rPr>
              <w:t>年</w:t>
            </w:r>
            <w:r>
              <w:rPr>
                <w:b/>
                <w:szCs w:val="21"/>
              </w:rPr>
              <w:t xml:space="preserve">  </w:t>
            </w:r>
            <w:r>
              <w:rPr>
                <w:rFonts w:hint="eastAsia"/>
                <w:b/>
                <w:szCs w:val="21"/>
              </w:rPr>
              <w:t>月</w:t>
            </w:r>
            <w:r>
              <w:rPr>
                <w:b/>
                <w:szCs w:val="21"/>
              </w:rPr>
              <w:t xml:space="preserve">  </w:t>
            </w:r>
            <w:r>
              <w:rPr>
                <w:rFonts w:hint="eastAsia"/>
                <w:b/>
                <w:szCs w:val="21"/>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trPr>
        <w:tc>
          <w:tcPr>
            <w:tcW w:w="1080" w:type="dxa"/>
            <w:vMerge w:val="restart"/>
            <w:vAlign w:val="center"/>
          </w:tcPr>
          <w:p>
            <w:pPr>
              <w:spacing w:line="240" w:lineRule="exact"/>
              <w:jc w:val="center"/>
              <w:rPr>
                <w:b/>
                <w:szCs w:val="21"/>
              </w:rPr>
            </w:pPr>
            <w:r>
              <w:rPr>
                <w:rFonts w:hint="eastAsia"/>
                <w:b/>
                <w:szCs w:val="21"/>
              </w:rPr>
              <w:t>项目（</w:t>
            </w:r>
            <w:r>
              <w:rPr>
                <w:b/>
                <w:szCs w:val="21"/>
              </w:rPr>
              <w:t>100</w:t>
            </w:r>
            <w:r>
              <w:rPr>
                <w:rFonts w:hint="eastAsia"/>
                <w:b/>
                <w:szCs w:val="21"/>
              </w:rPr>
              <w:t>）</w:t>
            </w:r>
          </w:p>
        </w:tc>
        <w:tc>
          <w:tcPr>
            <w:tcW w:w="5940" w:type="dxa"/>
            <w:vMerge w:val="restart"/>
            <w:vAlign w:val="center"/>
          </w:tcPr>
          <w:p>
            <w:pPr>
              <w:spacing w:line="240" w:lineRule="exact"/>
              <w:jc w:val="center"/>
              <w:rPr>
                <w:b/>
                <w:szCs w:val="21"/>
              </w:rPr>
            </w:pPr>
            <w:r>
              <w:rPr>
                <w:rFonts w:hint="eastAsia"/>
                <w:b/>
                <w:szCs w:val="21"/>
              </w:rPr>
              <w:t>检查内容</w:t>
            </w:r>
          </w:p>
        </w:tc>
        <w:tc>
          <w:tcPr>
            <w:tcW w:w="900" w:type="dxa"/>
            <w:vMerge w:val="restart"/>
            <w:vAlign w:val="center"/>
          </w:tcPr>
          <w:p>
            <w:pPr>
              <w:spacing w:line="240" w:lineRule="exact"/>
              <w:jc w:val="center"/>
              <w:rPr>
                <w:b/>
                <w:szCs w:val="21"/>
              </w:rPr>
            </w:pPr>
            <w:r>
              <w:rPr>
                <w:rFonts w:hint="eastAsia"/>
                <w:b/>
                <w:szCs w:val="21"/>
              </w:rPr>
              <w:t>满分</w:t>
            </w:r>
          </w:p>
        </w:tc>
        <w:tc>
          <w:tcPr>
            <w:tcW w:w="1620" w:type="dxa"/>
            <w:gridSpan w:val="2"/>
            <w:vAlign w:val="center"/>
          </w:tcPr>
          <w:p>
            <w:pPr>
              <w:spacing w:line="240" w:lineRule="exact"/>
              <w:jc w:val="center"/>
              <w:rPr>
                <w:b/>
                <w:szCs w:val="21"/>
              </w:rPr>
            </w:pPr>
            <w:r>
              <w:rPr>
                <w:rFonts w:hint="eastAsia"/>
                <w:b/>
                <w:szCs w:val="21"/>
              </w:rPr>
              <w:t>实际得分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1080" w:type="dxa"/>
            <w:vMerge w:val="continue"/>
            <w:vAlign w:val="center"/>
          </w:tcPr>
          <w:p>
            <w:pPr>
              <w:widowControl/>
              <w:spacing w:line="240" w:lineRule="exact"/>
              <w:jc w:val="left"/>
              <w:rPr>
                <w:b/>
                <w:szCs w:val="21"/>
              </w:rPr>
            </w:pPr>
          </w:p>
        </w:tc>
        <w:tc>
          <w:tcPr>
            <w:tcW w:w="5940" w:type="dxa"/>
            <w:vMerge w:val="continue"/>
            <w:vAlign w:val="center"/>
          </w:tcPr>
          <w:p>
            <w:pPr>
              <w:widowControl/>
              <w:spacing w:line="240" w:lineRule="exact"/>
              <w:jc w:val="left"/>
              <w:rPr>
                <w:b/>
                <w:szCs w:val="21"/>
              </w:rPr>
            </w:pPr>
          </w:p>
        </w:tc>
        <w:tc>
          <w:tcPr>
            <w:tcW w:w="900" w:type="dxa"/>
            <w:vMerge w:val="continue"/>
            <w:vAlign w:val="center"/>
          </w:tcPr>
          <w:p>
            <w:pPr>
              <w:widowControl/>
              <w:spacing w:line="240" w:lineRule="exact"/>
              <w:jc w:val="left"/>
              <w:rPr>
                <w:b/>
                <w:szCs w:val="21"/>
              </w:rPr>
            </w:pPr>
          </w:p>
        </w:tc>
        <w:tc>
          <w:tcPr>
            <w:tcW w:w="810" w:type="dxa"/>
            <w:vAlign w:val="center"/>
          </w:tcPr>
          <w:p>
            <w:pPr>
              <w:spacing w:line="240" w:lineRule="exact"/>
              <w:jc w:val="center"/>
              <w:rPr>
                <w:b/>
                <w:szCs w:val="21"/>
              </w:rPr>
            </w:pPr>
            <w:r>
              <w:rPr>
                <w:rFonts w:hint="eastAsia"/>
                <w:b/>
                <w:szCs w:val="21"/>
              </w:rPr>
              <w:t>单项</w:t>
            </w:r>
          </w:p>
        </w:tc>
        <w:tc>
          <w:tcPr>
            <w:tcW w:w="810" w:type="dxa"/>
            <w:vAlign w:val="center"/>
          </w:tcPr>
          <w:p>
            <w:pPr>
              <w:spacing w:line="240" w:lineRule="exact"/>
              <w:jc w:val="center"/>
              <w:rPr>
                <w:b/>
                <w:szCs w:val="21"/>
              </w:rPr>
            </w:pPr>
            <w:r>
              <w:rPr>
                <w:rFonts w:hint="eastAsia"/>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trPr>
        <w:tc>
          <w:tcPr>
            <w:tcW w:w="1080" w:type="dxa"/>
            <w:vMerge w:val="restart"/>
            <w:vAlign w:val="center"/>
          </w:tcPr>
          <w:p>
            <w:pPr>
              <w:jc w:val="center"/>
              <w:rPr>
                <w:b/>
                <w:sz w:val="18"/>
                <w:szCs w:val="18"/>
              </w:rPr>
            </w:pPr>
            <w:r>
              <w:rPr>
                <w:rFonts w:hint="eastAsia"/>
                <w:b/>
                <w:sz w:val="18"/>
                <w:szCs w:val="18"/>
              </w:rPr>
              <w:t>制度和管理</w:t>
            </w:r>
          </w:p>
          <w:p>
            <w:pPr>
              <w:jc w:val="center"/>
              <w:rPr>
                <w:b/>
                <w:sz w:val="18"/>
                <w:szCs w:val="18"/>
              </w:rPr>
            </w:pPr>
            <w:r>
              <w:rPr>
                <w:rFonts w:hint="eastAsia"/>
                <w:b/>
                <w:sz w:val="18"/>
                <w:szCs w:val="18"/>
              </w:rPr>
              <w:t>（</w:t>
            </w:r>
            <w:r>
              <w:rPr>
                <w:b/>
                <w:sz w:val="18"/>
                <w:szCs w:val="18"/>
              </w:rPr>
              <w:t>40</w:t>
            </w:r>
            <w:r>
              <w:rPr>
                <w:rFonts w:hint="eastAsia"/>
                <w:b/>
                <w:sz w:val="18"/>
                <w:szCs w:val="18"/>
              </w:rPr>
              <w:t>）</w:t>
            </w:r>
          </w:p>
        </w:tc>
        <w:tc>
          <w:tcPr>
            <w:tcW w:w="5940" w:type="dxa"/>
            <w:vAlign w:val="center"/>
          </w:tcPr>
          <w:p>
            <w:pPr>
              <w:spacing w:line="240" w:lineRule="exact"/>
              <w:rPr>
                <w:sz w:val="18"/>
                <w:szCs w:val="18"/>
              </w:rPr>
            </w:pPr>
            <w:r>
              <w:rPr>
                <w:rFonts w:hint="eastAsia"/>
                <w:sz w:val="18"/>
                <w:szCs w:val="18"/>
              </w:rPr>
              <w:t>新改扩建项目经过卫生行政部门审查、验收</w:t>
            </w:r>
          </w:p>
        </w:tc>
        <w:tc>
          <w:tcPr>
            <w:tcW w:w="900" w:type="dxa"/>
            <w:vAlign w:val="center"/>
          </w:tcPr>
          <w:p>
            <w:pPr>
              <w:jc w:val="center"/>
              <w:rPr>
                <w:sz w:val="18"/>
                <w:szCs w:val="18"/>
              </w:rPr>
            </w:pPr>
            <w:r>
              <w:rPr>
                <w:sz w:val="18"/>
                <w:szCs w:val="18"/>
              </w:rPr>
              <w:t>*</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集中式供水、二次供水或自建设施供水有卫生许可证</w:t>
            </w:r>
          </w:p>
        </w:tc>
        <w:tc>
          <w:tcPr>
            <w:tcW w:w="900" w:type="dxa"/>
            <w:vAlign w:val="center"/>
          </w:tcPr>
          <w:p>
            <w:pPr>
              <w:jc w:val="center"/>
              <w:rPr>
                <w:sz w:val="18"/>
                <w:szCs w:val="18"/>
              </w:rPr>
            </w:pPr>
            <w:r>
              <w:rPr>
                <w:sz w:val="18"/>
                <w:szCs w:val="18"/>
              </w:rPr>
              <w:t>*</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因校方责任发生校内生活饮用水污染事故</w:t>
            </w:r>
          </w:p>
        </w:tc>
        <w:tc>
          <w:tcPr>
            <w:tcW w:w="900" w:type="dxa"/>
            <w:vAlign w:val="center"/>
          </w:tcPr>
          <w:p>
            <w:pPr>
              <w:jc w:val="center"/>
              <w:rPr>
                <w:sz w:val="18"/>
                <w:szCs w:val="18"/>
              </w:rPr>
            </w:pPr>
            <w:r>
              <w:rPr>
                <w:sz w:val="18"/>
                <w:szCs w:val="18"/>
              </w:rPr>
              <w:t>*</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水源或蓄水池周围保持良好的卫生状况，水源周围</w:t>
            </w:r>
            <w:r>
              <w:rPr>
                <w:sz w:val="18"/>
                <w:szCs w:val="18"/>
              </w:rPr>
              <w:t>30</w:t>
            </w:r>
            <w:r>
              <w:rPr>
                <w:rFonts w:hint="eastAsia"/>
                <w:sz w:val="18"/>
                <w:szCs w:val="18"/>
              </w:rPr>
              <w:t>米内、</w:t>
            </w:r>
          </w:p>
          <w:p>
            <w:pPr>
              <w:spacing w:line="240" w:lineRule="exact"/>
              <w:rPr>
                <w:sz w:val="18"/>
                <w:szCs w:val="18"/>
              </w:rPr>
            </w:pPr>
            <w:r>
              <w:rPr>
                <w:rFonts w:hint="eastAsia"/>
                <w:sz w:val="18"/>
                <w:szCs w:val="18"/>
              </w:rPr>
              <w:t>蓄水池周围</w:t>
            </w:r>
            <w:r>
              <w:rPr>
                <w:sz w:val="18"/>
                <w:szCs w:val="18"/>
              </w:rPr>
              <w:t>10</w:t>
            </w:r>
            <w:r>
              <w:rPr>
                <w:rFonts w:hint="eastAsia"/>
                <w:sz w:val="18"/>
                <w:szCs w:val="18"/>
              </w:rPr>
              <w:t>米内无污染源</w:t>
            </w:r>
          </w:p>
        </w:tc>
        <w:tc>
          <w:tcPr>
            <w:tcW w:w="900" w:type="dxa"/>
            <w:vAlign w:val="center"/>
          </w:tcPr>
          <w:p>
            <w:pPr>
              <w:jc w:val="center"/>
              <w:rPr>
                <w:sz w:val="18"/>
                <w:szCs w:val="18"/>
              </w:rPr>
            </w:pPr>
            <w:r>
              <w:rPr>
                <w:sz w:val="18"/>
                <w:szCs w:val="18"/>
              </w:rPr>
              <w:t>5</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有专职饮用水卫生管理人员</w:t>
            </w:r>
          </w:p>
        </w:tc>
        <w:tc>
          <w:tcPr>
            <w:tcW w:w="900" w:type="dxa"/>
            <w:vAlign w:val="center"/>
          </w:tcPr>
          <w:p>
            <w:pPr>
              <w:jc w:val="center"/>
              <w:rPr>
                <w:sz w:val="18"/>
                <w:szCs w:val="18"/>
              </w:rPr>
            </w:pPr>
            <w:r>
              <w:rPr>
                <w:sz w:val="18"/>
                <w:szCs w:val="18"/>
              </w:rPr>
              <w:t>5</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建立健全饮用水卫生安全管理制度</w:t>
            </w:r>
          </w:p>
        </w:tc>
        <w:tc>
          <w:tcPr>
            <w:tcW w:w="900" w:type="dxa"/>
            <w:vAlign w:val="center"/>
          </w:tcPr>
          <w:p>
            <w:pPr>
              <w:jc w:val="center"/>
              <w:rPr>
                <w:sz w:val="18"/>
                <w:szCs w:val="18"/>
              </w:rPr>
            </w:pPr>
            <w:r>
              <w:rPr>
                <w:sz w:val="18"/>
                <w:szCs w:val="18"/>
              </w:rPr>
              <w:t>5</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7"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有预防水污染事件发生的应急预案</w:t>
            </w:r>
          </w:p>
        </w:tc>
        <w:tc>
          <w:tcPr>
            <w:tcW w:w="900" w:type="dxa"/>
            <w:vAlign w:val="center"/>
          </w:tcPr>
          <w:p>
            <w:pPr>
              <w:jc w:val="center"/>
              <w:rPr>
                <w:sz w:val="18"/>
                <w:szCs w:val="18"/>
              </w:rPr>
            </w:pPr>
            <w:r>
              <w:rPr>
                <w:sz w:val="18"/>
                <w:szCs w:val="18"/>
              </w:rPr>
              <w:t>5</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直接从事供管水人员持有效体检、培训证明</w:t>
            </w:r>
          </w:p>
        </w:tc>
        <w:tc>
          <w:tcPr>
            <w:tcW w:w="900" w:type="dxa"/>
            <w:vAlign w:val="center"/>
          </w:tcPr>
          <w:p>
            <w:pPr>
              <w:jc w:val="center"/>
              <w:rPr>
                <w:sz w:val="18"/>
                <w:szCs w:val="18"/>
              </w:rPr>
            </w:pPr>
            <w:r>
              <w:rPr>
                <w:sz w:val="18"/>
                <w:szCs w:val="18"/>
              </w:rPr>
              <w:t>4</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供水设备表面清洁，周围环境卫生整洁</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泵房、水箱间、制水间等设备间环境整洁，不堆放杂物，装修材料符合规范，有机械排风设施和防护门窗</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饮用水台账、档案齐全、规范</w:t>
            </w:r>
          </w:p>
        </w:tc>
        <w:tc>
          <w:tcPr>
            <w:tcW w:w="900" w:type="dxa"/>
            <w:vAlign w:val="center"/>
          </w:tcPr>
          <w:p>
            <w:pPr>
              <w:jc w:val="center"/>
              <w:rPr>
                <w:sz w:val="18"/>
                <w:szCs w:val="18"/>
              </w:rPr>
            </w:pPr>
            <w:r>
              <w:rPr>
                <w:sz w:val="18"/>
                <w:szCs w:val="18"/>
              </w:rPr>
              <w:t>2</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每学期至少进行一次水质检测，持有效的合格水质检验报告</w:t>
            </w:r>
          </w:p>
        </w:tc>
        <w:tc>
          <w:tcPr>
            <w:tcW w:w="900" w:type="dxa"/>
            <w:vAlign w:val="center"/>
          </w:tcPr>
          <w:p>
            <w:pPr>
              <w:jc w:val="center"/>
              <w:rPr>
                <w:sz w:val="18"/>
                <w:szCs w:val="18"/>
              </w:rPr>
            </w:pPr>
            <w:r>
              <w:rPr>
                <w:sz w:val="18"/>
                <w:szCs w:val="18"/>
              </w:rPr>
              <w:t>8</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restart"/>
            <w:vAlign w:val="center"/>
          </w:tcPr>
          <w:p>
            <w:pPr>
              <w:widowControl/>
              <w:jc w:val="center"/>
              <w:rPr>
                <w:b/>
                <w:sz w:val="18"/>
                <w:szCs w:val="18"/>
              </w:rPr>
            </w:pPr>
            <w:r>
              <w:rPr>
                <w:rFonts w:hint="eastAsia"/>
                <w:b/>
                <w:sz w:val="18"/>
                <w:szCs w:val="18"/>
              </w:rPr>
              <w:t>桶装饮用水</w:t>
            </w:r>
          </w:p>
          <w:p>
            <w:pPr>
              <w:widowControl/>
              <w:jc w:val="center"/>
              <w:rPr>
                <w:b/>
                <w:sz w:val="18"/>
                <w:szCs w:val="18"/>
              </w:rPr>
            </w:pPr>
            <w:r>
              <w:rPr>
                <w:rFonts w:hint="eastAsia"/>
                <w:b/>
                <w:sz w:val="18"/>
                <w:szCs w:val="18"/>
              </w:rPr>
              <w:t>（</w:t>
            </w:r>
            <w:r>
              <w:rPr>
                <w:b/>
                <w:sz w:val="18"/>
                <w:szCs w:val="18"/>
              </w:rPr>
              <w:t>15</w:t>
            </w:r>
            <w:r>
              <w:rPr>
                <w:rFonts w:hint="eastAsia"/>
                <w:b/>
                <w:sz w:val="18"/>
                <w:szCs w:val="18"/>
              </w:rPr>
              <w:t>）</w:t>
            </w:r>
          </w:p>
        </w:tc>
        <w:tc>
          <w:tcPr>
            <w:tcW w:w="5940" w:type="dxa"/>
            <w:vAlign w:val="center"/>
          </w:tcPr>
          <w:p>
            <w:pPr>
              <w:spacing w:line="240" w:lineRule="exact"/>
              <w:rPr>
                <w:sz w:val="18"/>
                <w:szCs w:val="18"/>
              </w:rPr>
            </w:pPr>
            <w:r>
              <w:rPr>
                <w:rFonts w:hint="eastAsia"/>
                <w:sz w:val="18"/>
                <w:szCs w:val="18"/>
              </w:rPr>
              <w:t>索取桶装水卫生许可批件和批次检验报告</w:t>
            </w:r>
          </w:p>
        </w:tc>
        <w:tc>
          <w:tcPr>
            <w:tcW w:w="900" w:type="dxa"/>
            <w:vAlign w:val="center"/>
          </w:tcPr>
          <w:p>
            <w:pPr>
              <w:jc w:val="center"/>
              <w:rPr>
                <w:sz w:val="18"/>
                <w:szCs w:val="18"/>
              </w:rPr>
            </w:pPr>
            <w:r>
              <w:rPr>
                <w:sz w:val="18"/>
                <w:szCs w:val="18"/>
              </w:rPr>
              <w:t>4</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center"/>
              <w:rPr>
                <w:b/>
                <w:sz w:val="18"/>
                <w:szCs w:val="18"/>
              </w:rPr>
            </w:pPr>
          </w:p>
        </w:tc>
        <w:tc>
          <w:tcPr>
            <w:tcW w:w="5940" w:type="dxa"/>
            <w:vAlign w:val="center"/>
          </w:tcPr>
          <w:p>
            <w:pPr>
              <w:spacing w:line="240" w:lineRule="exact"/>
              <w:rPr>
                <w:sz w:val="18"/>
                <w:szCs w:val="18"/>
              </w:rPr>
            </w:pPr>
            <w:r>
              <w:rPr>
                <w:rFonts w:hint="eastAsia"/>
                <w:sz w:val="18"/>
                <w:szCs w:val="18"/>
              </w:rPr>
              <w:t>桶装水在保质期内，瓶口密封完好，瓶身清洁</w:t>
            </w:r>
          </w:p>
        </w:tc>
        <w:tc>
          <w:tcPr>
            <w:tcW w:w="900" w:type="dxa"/>
            <w:vAlign w:val="center"/>
          </w:tcPr>
          <w:p>
            <w:pPr>
              <w:jc w:val="center"/>
              <w:rPr>
                <w:sz w:val="18"/>
                <w:szCs w:val="18"/>
              </w:rPr>
            </w:pPr>
            <w:r>
              <w:rPr>
                <w:sz w:val="18"/>
                <w:szCs w:val="18"/>
              </w:rPr>
              <w:t>4</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center"/>
              <w:rPr>
                <w:b/>
                <w:sz w:val="18"/>
                <w:szCs w:val="18"/>
              </w:rPr>
            </w:pPr>
          </w:p>
        </w:tc>
        <w:tc>
          <w:tcPr>
            <w:tcW w:w="5940" w:type="dxa"/>
            <w:vAlign w:val="center"/>
          </w:tcPr>
          <w:p>
            <w:pPr>
              <w:spacing w:line="240" w:lineRule="exact"/>
              <w:rPr>
                <w:sz w:val="18"/>
                <w:szCs w:val="18"/>
              </w:rPr>
            </w:pPr>
            <w:r>
              <w:rPr>
                <w:rFonts w:hint="eastAsia"/>
                <w:sz w:val="18"/>
                <w:szCs w:val="18"/>
              </w:rPr>
              <w:t>索取饮水机卫生许可批件</w:t>
            </w:r>
          </w:p>
        </w:tc>
        <w:tc>
          <w:tcPr>
            <w:tcW w:w="900" w:type="dxa"/>
            <w:vAlign w:val="center"/>
          </w:tcPr>
          <w:p>
            <w:pPr>
              <w:jc w:val="center"/>
              <w:rPr>
                <w:sz w:val="18"/>
                <w:szCs w:val="18"/>
              </w:rPr>
            </w:pPr>
            <w:r>
              <w:rPr>
                <w:sz w:val="18"/>
                <w:szCs w:val="18"/>
              </w:rPr>
              <w:t>4</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center"/>
              <w:rPr>
                <w:b/>
                <w:sz w:val="18"/>
                <w:szCs w:val="18"/>
              </w:rPr>
            </w:pPr>
          </w:p>
        </w:tc>
        <w:tc>
          <w:tcPr>
            <w:tcW w:w="5940" w:type="dxa"/>
            <w:vAlign w:val="center"/>
          </w:tcPr>
          <w:p>
            <w:pPr>
              <w:spacing w:line="240" w:lineRule="exact"/>
              <w:rPr>
                <w:sz w:val="18"/>
                <w:szCs w:val="18"/>
              </w:rPr>
            </w:pPr>
            <w:r>
              <w:rPr>
                <w:rFonts w:hint="eastAsia"/>
                <w:sz w:val="18"/>
                <w:szCs w:val="18"/>
              </w:rPr>
              <w:t>饮水机管道定时清洗消毒，有记录</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restart"/>
            <w:vAlign w:val="center"/>
          </w:tcPr>
          <w:p>
            <w:pPr>
              <w:widowControl/>
              <w:jc w:val="center"/>
              <w:rPr>
                <w:b/>
                <w:sz w:val="18"/>
                <w:szCs w:val="18"/>
              </w:rPr>
            </w:pPr>
            <w:r>
              <w:rPr>
                <w:rFonts w:hint="eastAsia"/>
                <w:b/>
                <w:sz w:val="18"/>
                <w:szCs w:val="18"/>
              </w:rPr>
              <w:t>直饮水机、茶炉</w:t>
            </w:r>
          </w:p>
          <w:p>
            <w:pPr>
              <w:widowControl/>
              <w:jc w:val="center"/>
              <w:rPr>
                <w:b/>
                <w:sz w:val="18"/>
                <w:szCs w:val="18"/>
              </w:rPr>
            </w:pPr>
            <w:r>
              <w:rPr>
                <w:rFonts w:hint="eastAsia"/>
                <w:b/>
                <w:sz w:val="18"/>
                <w:szCs w:val="18"/>
              </w:rPr>
              <w:t>（</w:t>
            </w:r>
            <w:r>
              <w:rPr>
                <w:b/>
                <w:sz w:val="18"/>
                <w:szCs w:val="18"/>
              </w:rPr>
              <w:t>15</w:t>
            </w:r>
            <w:r>
              <w:rPr>
                <w:rFonts w:hint="eastAsia"/>
                <w:b/>
                <w:sz w:val="18"/>
                <w:szCs w:val="18"/>
              </w:rPr>
              <w:t>）</w:t>
            </w:r>
          </w:p>
        </w:tc>
        <w:tc>
          <w:tcPr>
            <w:tcW w:w="5940" w:type="dxa"/>
            <w:vAlign w:val="center"/>
          </w:tcPr>
          <w:p>
            <w:pPr>
              <w:spacing w:line="240" w:lineRule="exact"/>
              <w:rPr>
                <w:sz w:val="18"/>
                <w:szCs w:val="18"/>
              </w:rPr>
            </w:pPr>
            <w:r>
              <w:rPr>
                <w:rFonts w:hint="eastAsia"/>
                <w:sz w:val="18"/>
                <w:szCs w:val="18"/>
              </w:rPr>
              <w:t>供水设备、滤芯、管材等涉水产品索证</w:t>
            </w:r>
          </w:p>
        </w:tc>
        <w:tc>
          <w:tcPr>
            <w:tcW w:w="900" w:type="dxa"/>
            <w:vAlign w:val="center"/>
          </w:tcPr>
          <w:p>
            <w:pPr>
              <w:jc w:val="center"/>
              <w:rPr>
                <w:sz w:val="18"/>
                <w:szCs w:val="18"/>
              </w:rPr>
            </w:pPr>
            <w:r>
              <w:rPr>
                <w:sz w:val="18"/>
                <w:szCs w:val="18"/>
              </w:rPr>
              <w:t>4</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center"/>
              <w:rPr>
                <w:b/>
                <w:sz w:val="18"/>
                <w:szCs w:val="18"/>
              </w:rPr>
            </w:pPr>
          </w:p>
        </w:tc>
        <w:tc>
          <w:tcPr>
            <w:tcW w:w="5940" w:type="dxa"/>
            <w:vAlign w:val="center"/>
          </w:tcPr>
          <w:p>
            <w:pPr>
              <w:spacing w:line="240" w:lineRule="exact"/>
              <w:rPr>
                <w:sz w:val="18"/>
                <w:szCs w:val="18"/>
              </w:rPr>
            </w:pPr>
            <w:r>
              <w:rPr>
                <w:rFonts w:hint="eastAsia"/>
                <w:sz w:val="18"/>
                <w:szCs w:val="18"/>
              </w:rPr>
              <w:t>直饮水机滤芯及时更换，有记录</w:t>
            </w:r>
          </w:p>
        </w:tc>
        <w:tc>
          <w:tcPr>
            <w:tcW w:w="900" w:type="dxa"/>
            <w:vAlign w:val="center"/>
          </w:tcPr>
          <w:p>
            <w:pPr>
              <w:jc w:val="center"/>
              <w:rPr>
                <w:sz w:val="18"/>
                <w:szCs w:val="18"/>
              </w:rPr>
            </w:pPr>
            <w:r>
              <w:rPr>
                <w:sz w:val="18"/>
                <w:szCs w:val="18"/>
              </w:rPr>
              <w:t>4</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center"/>
              <w:rPr>
                <w:b/>
                <w:sz w:val="18"/>
                <w:szCs w:val="18"/>
              </w:rPr>
            </w:pPr>
          </w:p>
        </w:tc>
        <w:tc>
          <w:tcPr>
            <w:tcW w:w="5940" w:type="dxa"/>
            <w:vAlign w:val="center"/>
          </w:tcPr>
          <w:p>
            <w:pPr>
              <w:spacing w:line="240" w:lineRule="exact"/>
              <w:rPr>
                <w:sz w:val="18"/>
                <w:szCs w:val="18"/>
              </w:rPr>
            </w:pPr>
            <w:r>
              <w:rPr>
                <w:rFonts w:hint="eastAsia"/>
                <w:sz w:val="18"/>
                <w:szCs w:val="18"/>
              </w:rPr>
              <w:t>供水设备内部定期清洗消毒，有记录</w:t>
            </w:r>
          </w:p>
        </w:tc>
        <w:tc>
          <w:tcPr>
            <w:tcW w:w="900" w:type="dxa"/>
            <w:vAlign w:val="center"/>
          </w:tcPr>
          <w:p>
            <w:pPr>
              <w:jc w:val="center"/>
              <w:rPr>
                <w:sz w:val="18"/>
                <w:szCs w:val="18"/>
              </w:rPr>
            </w:pPr>
            <w:r>
              <w:rPr>
                <w:sz w:val="18"/>
                <w:szCs w:val="18"/>
              </w:rPr>
              <w:t>4</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center"/>
              <w:rPr>
                <w:b/>
                <w:sz w:val="18"/>
                <w:szCs w:val="18"/>
              </w:rPr>
            </w:pPr>
          </w:p>
        </w:tc>
        <w:tc>
          <w:tcPr>
            <w:tcW w:w="5940" w:type="dxa"/>
            <w:vAlign w:val="center"/>
          </w:tcPr>
          <w:p>
            <w:pPr>
              <w:spacing w:line="240" w:lineRule="exact"/>
              <w:rPr>
                <w:sz w:val="18"/>
                <w:szCs w:val="18"/>
              </w:rPr>
            </w:pPr>
            <w:r>
              <w:rPr>
                <w:rFonts w:hint="eastAsia"/>
                <w:sz w:val="18"/>
                <w:szCs w:val="18"/>
              </w:rPr>
              <w:t>开水供应量充足</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restart"/>
            <w:vAlign w:val="center"/>
          </w:tcPr>
          <w:p>
            <w:pPr>
              <w:widowControl/>
              <w:jc w:val="center"/>
              <w:rPr>
                <w:b/>
                <w:sz w:val="18"/>
                <w:szCs w:val="18"/>
              </w:rPr>
            </w:pPr>
            <w:r>
              <w:rPr>
                <w:rFonts w:hint="eastAsia"/>
                <w:b/>
                <w:sz w:val="18"/>
                <w:szCs w:val="18"/>
              </w:rPr>
              <w:t>自备供水</w:t>
            </w:r>
          </w:p>
          <w:p>
            <w:pPr>
              <w:widowControl/>
              <w:jc w:val="center"/>
              <w:rPr>
                <w:b/>
                <w:sz w:val="18"/>
                <w:szCs w:val="18"/>
              </w:rPr>
            </w:pPr>
            <w:r>
              <w:rPr>
                <w:rFonts w:hint="eastAsia"/>
                <w:b/>
                <w:sz w:val="18"/>
                <w:szCs w:val="18"/>
              </w:rPr>
              <w:t>（</w:t>
            </w:r>
            <w:r>
              <w:rPr>
                <w:b/>
                <w:sz w:val="18"/>
                <w:szCs w:val="18"/>
              </w:rPr>
              <w:t>15</w:t>
            </w:r>
            <w:r>
              <w:rPr>
                <w:rFonts w:hint="eastAsia"/>
                <w:b/>
                <w:sz w:val="18"/>
                <w:szCs w:val="18"/>
              </w:rPr>
              <w:t>）</w:t>
            </w:r>
          </w:p>
        </w:tc>
        <w:tc>
          <w:tcPr>
            <w:tcW w:w="5940" w:type="dxa"/>
            <w:vAlign w:val="center"/>
          </w:tcPr>
          <w:p>
            <w:pPr>
              <w:spacing w:line="240" w:lineRule="exact"/>
              <w:rPr>
                <w:sz w:val="18"/>
                <w:szCs w:val="18"/>
              </w:rPr>
            </w:pPr>
            <w:r>
              <w:rPr>
                <w:rFonts w:hint="eastAsia"/>
                <w:sz w:val="18"/>
                <w:szCs w:val="18"/>
              </w:rPr>
              <w:t>集中式供水或自建设施供水有水质净化消毒设施，并运转正常；分散式供水应进行沉淀过滤、消毒等处理</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井口周围有防护设施，井沿高于地面</w:t>
            </w:r>
            <w:r>
              <w:rPr>
                <w:sz w:val="18"/>
                <w:szCs w:val="18"/>
              </w:rPr>
              <w:t>20cm</w:t>
            </w:r>
            <w:r>
              <w:rPr>
                <w:rFonts w:hint="eastAsia"/>
                <w:sz w:val="18"/>
                <w:szCs w:val="18"/>
              </w:rPr>
              <w:t>以上，井口加盖加锁</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蓄水设施定期清洗消毒，有记录，有日常消毒、巡视记录</w:t>
            </w:r>
          </w:p>
        </w:tc>
        <w:tc>
          <w:tcPr>
            <w:tcW w:w="900" w:type="dxa"/>
            <w:vAlign w:val="center"/>
          </w:tcPr>
          <w:p>
            <w:pPr>
              <w:jc w:val="center"/>
              <w:rPr>
                <w:sz w:val="18"/>
                <w:szCs w:val="18"/>
              </w:rPr>
            </w:pPr>
            <w:r>
              <w:rPr>
                <w:sz w:val="18"/>
                <w:szCs w:val="18"/>
              </w:rPr>
              <w:t>6</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消毒剂应索证</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restart"/>
            <w:vAlign w:val="center"/>
          </w:tcPr>
          <w:p>
            <w:pPr>
              <w:widowControl/>
              <w:jc w:val="left"/>
              <w:rPr>
                <w:b/>
                <w:sz w:val="18"/>
                <w:szCs w:val="18"/>
              </w:rPr>
            </w:pPr>
            <w:r>
              <w:rPr>
                <w:rFonts w:hint="eastAsia"/>
                <w:b/>
                <w:sz w:val="18"/>
                <w:szCs w:val="18"/>
              </w:rPr>
              <w:t>二次供水</w:t>
            </w:r>
          </w:p>
          <w:p>
            <w:pPr>
              <w:widowControl/>
              <w:jc w:val="left"/>
              <w:rPr>
                <w:b/>
                <w:sz w:val="18"/>
                <w:szCs w:val="18"/>
              </w:rPr>
            </w:pPr>
            <w:r>
              <w:rPr>
                <w:rFonts w:hint="eastAsia"/>
                <w:b/>
                <w:sz w:val="18"/>
                <w:szCs w:val="18"/>
              </w:rPr>
              <w:t>（</w:t>
            </w:r>
            <w:r>
              <w:rPr>
                <w:b/>
                <w:sz w:val="18"/>
                <w:szCs w:val="18"/>
              </w:rPr>
              <w:t>15</w:t>
            </w:r>
            <w:r>
              <w:rPr>
                <w:rFonts w:hint="eastAsia"/>
                <w:b/>
                <w:sz w:val="18"/>
                <w:szCs w:val="18"/>
              </w:rPr>
              <w:t>）</w:t>
            </w:r>
          </w:p>
        </w:tc>
        <w:tc>
          <w:tcPr>
            <w:tcW w:w="5940" w:type="dxa"/>
            <w:vAlign w:val="center"/>
          </w:tcPr>
          <w:p>
            <w:pPr>
              <w:spacing w:line="240" w:lineRule="exact"/>
              <w:rPr>
                <w:sz w:val="18"/>
                <w:szCs w:val="18"/>
              </w:rPr>
            </w:pPr>
            <w:r>
              <w:rPr>
                <w:rFonts w:hint="eastAsia"/>
                <w:sz w:val="18"/>
                <w:szCs w:val="18"/>
              </w:rPr>
              <w:t>储水设备应由有资质的人员定期清洗消毒，有日常消毒记录</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消毒剂、涂料、管材等应索证</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供水设备日常巡视，有记录</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储水设备内清洁，内设不锈钢爬梯，入孔加盖加锁</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 w:hRule="atLeast"/>
        </w:trPr>
        <w:tc>
          <w:tcPr>
            <w:tcW w:w="1080" w:type="dxa"/>
            <w:vMerge w:val="continue"/>
            <w:vAlign w:val="center"/>
          </w:tcPr>
          <w:p>
            <w:pPr>
              <w:widowControl/>
              <w:jc w:val="left"/>
              <w:rPr>
                <w:b/>
                <w:sz w:val="18"/>
                <w:szCs w:val="18"/>
              </w:rPr>
            </w:pPr>
          </w:p>
        </w:tc>
        <w:tc>
          <w:tcPr>
            <w:tcW w:w="5940" w:type="dxa"/>
            <w:vAlign w:val="center"/>
          </w:tcPr>
          <w:p>
            <w:pPr>
              <w:spacing w:line="240" w:lineRule="exact"/>
              <w:rPr>
                <w:sz w:val="18"/>
                <w:szCs w:val="18"/>
              </w:rPr>
            </w:pPr>
            <w:r>
              <w:rPr>
                <w:rFonts w:hint="eastAsia"/>
                <w:sz w:val="18"/>
                <w:szCs w:val="18"/>
              </w:rPr>
              <w:t>供水管线专用，透气管朝向正确，管口加防护网</w:t>
            </w:r>
          </w:p>
        </w:tc>
        <w:tc>
          <w:tcPr>
            <w:tcW w:w="900" w:type="dxa"/>
            <w:vAlign w:val="center"/>
          </w:tcPr>
          <w:p>
            <w:pPr>
              <w:jc w:val="center"/>
              <w:rPr>
                <w:sz w:val="18"/>
                <w:szCs w:val="18"/>
              </w:rPr>
            </w:pPr>
            <w:r>
              <w:rPr>
                <w:sz w:val="18"/>
                <w:szCs w:val="18"/>
              </w:rPr>
              <w:t>3</w:t>
            </w:r>
          </w:p>
        </w:tc>
        <w:tc>
          <w:tcPr>
            <w:tcW w:w="810" w:type="dxa"/>
            <w:vAlign w:val="center"/>
          </w:tcPr>
          <w:p>
            <w:pPr>
              <w:jc w:val="center"/>
              <w:rPr>
                <w:sz w:val="18"/>
                <w:szCs w:val="18"/>
              </w:rPr>
            </w:pPr>
          </w:p>
        </w:tc>
        <w:tc>
          <w:tcPr>
            <w:tcW w:w="810" w:type="dxa"/>
            <w:vAlign w:val="center"/>
          </w:tcPr>
          <w:p>
            <w:pPr>
              <w:jc w:val="cente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9540" w:type="dxa"/>
            <w:gridSpan w:val="5"/>
            <w:vAlign w:val="center"/>
          </w:tcPr>
          <w:p>
            <w:pPr>
              <w:rPr>
                <w:sz w:val="18"/>
                <w:szCs w:val="18"/>
              </w:rPr>
            </w:pPr>
            <w:r>
              <w:rPr>
                <w:rFonts w:hint="eastAsia"/>
                <w:sz w:val="18"/>
                <w:szCs w:val="18"/>
              </w:rPr>
              <w:t>总分</w:t>
            </w:r>
            <w:r>
              <w:rPr>
                <w:sz w:val="18"/>
                <w:szCs w:val="18"/>
              </w:rPr>
              <w:t>100</w:t>
            </w:r>
            <w:r>
              <w:rPr>
                <w:rFonts w:hint="eastAsia"/>
                <w:sz w:val="18"/>
                <w:szCs w:val="18"/>
              </w:rPr>
              <w:t>分。合理缺项</w:t>
            </w:r>
            <w:r>
              <w:rPr>
                <w:rFonts w:ascii="宋体" w:hAnsi="宋体"/>
                <w:sz w:val="18"/>
                <w:szCs w:val="18"/>
              </w:rPr>
              <w:t>_____</w:t>
            </w:r>
            <w:r>
              <w:rPr>
                <w:rFonts w:hint="eastAsia" w:ascii="宋体" w:hAnsi="宋体"/>
                <w:sz w:val="18"/>
                <w:szCs w:val="18"/>
              </w:rPr>
              <w:t>分，应得</w:t>
            </w:r>
            <w:r>
              <w:rPr>
                <w:rFonts w:ascii="宋体" w:hAnsi="宋体"/>
                <w:sz w:val="18"/>
                <w:szCs w:val="18"/>
              </w:rPr>
              <w:t>_____</w:t>
            </w:r>
            <w:r>
              <w:rPr>
                <w:rFonts w:hint="eastAsia" w:ascii="宋体" w:hAnsi="宋体"/>
                <w:sz w:val="18"/>
                <w:szCs w:val="18"/>
              </w:rPr>
              <w:t>分，实得</w:t>
            </w:r>
            <w:r>
              <w:rPr>
                <w:rFonts w:ascii="宋体" w:hAnsi="宋体"/>
                <w:sz w:val="18"/>
                <w:szCs w:val="18"/>
              </w:rPr>
              <w:t>_____</w:t>
            </w:r>
            <w:r>
              <w:rPr>
                <w:rFonts w:hint="eastAsia" w:ascii="宋体" w:hAnsi="宋体"/>
                <w:sz w:val="18"/>
                <w:szCs w:val="18"/>
              </w:rPr>
              <w:t>分。</w:t>
            </w:r>
          </w:p>
        </w:tc>
      </w:tr>
    </w:tbl>
    <w:p>
      <w:pPr>
        <w:rPr>
          <w:szCs w:val="21"/>
        </w:rPr>
        <w:sectPr>
          <w:footerReference r:id="rId3" w:type="default"/>
          <w:pgSz w:w="11906" w:h="16838"/>
          <w:pgMar w:top="2098" w:right="1474" w:bottom="1984" w:left="1587" w:header="851" w:footer="992" w:gutter="0"/>
          <w:pgNumType w:fmt="numberInDash"/>
          <w:cols w:space="425" w:num="1"/>
          <w:docGrid w:type="lines" w:linePitch="312" w:charSpace="0"/>
        </w:sectPr>
      </w:pPr>
      <w:r>
        <w:rPr>
          <w:rFonts w:hint="eastAsia"/>
          <w:szCs w:val="21"/>
        </w:rPr>
        <w:t>学校负责人（签字）：</w:t>
      </w:r>
      <w:r>
        <w:rPr>
          <w:szCs w:val="21"/>
        </w:rPr>
        <w:t xml:space="preserve">___________      </w:t>
      </w:r>
      <w:r>
        <w:rPr>
          <w:rFonts w:hint="eastAsia"/>
          <w:szCs w:val="21"/>
        </w:rPr>
        <w:t>检查人员（签字）</w:t>
      </w:r>
      <w:r>
        <w:rPr>
          <w:szCs w:val="21"/>
        </w:rPr>
        <w:t>___________</w:t>
      </w:r>
      <w:r>
        <w:rPr>
          <w:rFonts w:hint="eastAsia"/>
          <w:szCs w:val="21"/>
        </w:rPr>
        <w:t>、</w:t>
      </w:r>
      <w:r>
        <w:rPr>
          <w:szCs w:val="21"/>
        </w:rPr>
        <w:t>_______</w:t>
      </w:r>
    </w:p>
    <w:p>
      <w:pPr>
        <w:rPr>
          <w:rFonts w:ascii="黑体" w:hAnsi="宋体" w:eastAsia="黑体"/>
          <w:sz w:val="32"/>
          <w:szCs w:val="32"/>
        </w:rPr>
      </w:pPr>
      <w:r>
        <w:rPr>
          <w:rFonts w:hint="eastAsia" w:ascii="黑体" w:hAnsi="宋体" w:eastAsia="黑体"/>
          <w:sz w:val="32"/>
          <w:szCs w:val="32"/>
        </w:rPr>
        <w:t>附件</w:t>
      </w:r>
      <w:r>
        <w:rPr>
          <w:rFonts w:ascii="黑体" w:hAnsi="宋体" w:eastAsia="黑体"/>
          <w:sz w:val="32"/>
          <w:szCs w:val="32"/>
        </w:rPr>
        <w:t xml:space="preserve">2 </w:t>
      </w:r>
    </w:p>
    <w:p>
      <w:pPr>
        <w:jc w:val="center"/>
        <w:rPr>
          <w:rFonts w:ascii="黑体" w:hAnsi="黑体" w:eastAsia="黑体"/>
          <w:sz w:val="44"/>
          <w:szCs w:val="44"/>
        </w:rPr>
      </w:pPr>
      <w:r>
        <w:rPr>
          <w:rFonts w:hint="eastAsia" w:ascii="方正小标宋_GBK" w:hAnsi="方正小标宋_GBK" w:eastAsia="方正小标宋_GBK" w:cs="方正小标宋_GBK"/>
          <w:sz w:val="36"/>
          <w:szCs w:val="36"/>
        </w:rPr>
        <w:t>西海岸新区学校、幼儿园饮水机数量统计表</w:t>
      </w:r>
    </w:p>
    <w:p>
      <w:pPr>
        <w:pStyle w:val="3"/>
        <w:rPr>
          <w:rFonts w:ascii="仿宋_GB2312" w:hAnsi="Calibri" w:eastAsia="仿宋_GB2312" w:cs="仿宋_GB2312"/>
          <w:b w:val="0"/>
          <w:sz w:val="32"/>
          <w:szCs w:val="32"/>
        </w:rPr>
      </w:pPr>
      <w:r>
        <w:rPr>
          <w:rFonts w:hint="eastAsia" w:ascii="仿宋_GB2312" w:hAnsi="Calibri" w:eastAsia="仿宋_GB2312" w:cs="仿宋_GB2312"/>
          <w:b w:val="0"/>
          <w:sz w:val="32"/>
          <w:szCs w:val="32"/>
        </w:rPr>
        <w:t>单位盖章：</w:t>
      </w:r>
      <w:r>
        <w:rPr>
          <w:rFonts w:ascii="仿宋_GB2312" w:hAnsi="Calibri" w:eastAsia="仿宋_GB2312" w:cs="仿宋_GB2312"/>
          <w:b w:val="0"/>
          <w:sz w:val="32"/>
          <w:szCs w:val="32"/>
        </w:rPr>
        <w:t xml:space="preserve">                                  </w:t>
      </w:r>
      <w:r>
        <w:rPr>
          <w:rFonts w:hint="eastAsia" w:ascii="仿宋_GB2312" w:hAnsi="Calibri" w:eastAsia="仿宋_GB2312" w:cs="仿宋_GB2312"/>
          <w:b w:val="0"/>
          <w:sz w:val="32"/>
          <w:szCs w:val="32"/>
        </w:rPr>
        <w:t>主要负责人签字：</w:t>
      </w:r>
    </w:p>
    <w:tbl>
      <w:tblPr>
        <w:tblStyle w:val="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60"/>
        <w:gridCol w:w="900"/>
        <w:gridCol w:w="1440"/>
        <w:gridCol w:w="900"/>
        <w:gridCol w:w="1440"/>
        <w:gridCol w:w="1440"/>
        <w:gridCol w:w="1080"/>
        <w:gridCol w:w="1260"/>
        <w:gridCol w:w="1620"/>
        <w:gridCol w:w="1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rPr>
        <w:tc>
          <w:tcPr>
            <w:tcW w:w="2160" w:type="dxa"/>
            <w:vMerge w:val="restart"/>
          </w:tcPr>
          <w:p>
            <w:pPr>
              <w:pStyle w:val="3"/>
              <w:jc w:val="center"/>
              <w:rPr>
                <w:sz w:val="21"/>
                <w:szCs w:val="21"/>
              </w:rPr>
            </w:pPr>
            <w:r>
              <w:rPr>
                <w:rFonts w:hint="eastAsia"/>
                <w:sz w:val="21"/>
                <w:szCs w:val="21"/>
              </w:rPr>
              <w:t>单位名称</w:t>
            </w:r>
          </w:p>
        </w:tc>
        <w:tc>
          <w:tcPr>
            <w:tcW w:w="900" w:type="dxa"/>
            <w:vMerge w:val="restart"/>
          </w:tcPr>
          <w:p>
            <w:pPr>
              <w:pStyle w:val="3"/>
              <w:jc w:val="center"/>
              <w:rPr>
                <w:sz w:val="21"/>
                <w:szCs w:val="21"/>
              </w:rPr>
            </w:pPr>
            <w:r>
              <w:rPr>
                <w:rFonts w:hint="eastAsia"/>
                <w:sz w:val="21"/>
                <w:szCs w:val="21"/>
              </w:rPr>
              <w:t>饮水机数量（台）</w:t>
            </w:r>
          </w:p>
        </w:tc>
        <w:tc>
          <w:tcPr>
            <w:tcW w:w="1440" w:type="dxa"/>
            <w:vMerge w:val="restart"/>
          </w:tcPr>
          <w:p>
            <w:pPr>
              <w:pStyle w:val="3"/>
              <w:jc w:val="center"/>
              <w:rPr>
                <w:sz w:val="21"/>
                <w:szCs w:val="21"/>
              </w:rPr>
            </w:pPr>
            <w:r>
              <w:rPr>
                <w:rFonts w:hint="eastAsia"/>
                <w:sz w:val="21"/>
                <w:szCs w:val="21"/>
              </w:rPr>
              <w:t>饮水机安装时间（年、月、日）</w:t>
            </w:r>
          </w:p>
        </w:tc>
        <w:tc>
          <w:tcPr>
            <w:tcW w:w="900" w:type="dxa"/>
            <w:vMerge w:val="restart"/>
          </w:tcPr>
          <w:p>
            <w:pPr>
              <w:pStyle w:val="3"/>
              <w:jc w:val="center"/>
              <w:rPr>
                <w:sz w:val="21"/>
                <w:szCs w:val="21"/>
              </w:rPr>
            </w:pPr>
            <w:r>
              <w:rPr>
                <w:rFonts w:hint="eastAsia"/>
                <w:sz w:val="21"/>
                <w:szCs w:val="21"/>
              </w:rPr>
              <w:t>热水炉数量（台）</w:t>
            </w:r>
          </w:p>
        </w:tc>
        <w:tc>
          <w:tcPr>
            <w:tcW w:w="3960" w:type="dxa"/>
            <w:gridSpan w:val="3"/>
          </w:tcPr>
          <w:p>
            <w:pPr>
              <w:pStyle w:val="3"/>
              <w:jc w:val="center"/>
              <w:rPr>
                <w:sz w:val="21"/>
                <w:szCs w:val="21"/>
              </w:rPr>
            </w:pPr>
            <w:r>
              <w:rPr>
                <w:rFonts w:hint="eastAsia"/>
                <w:sz w:val="21"/>
                <w:szCs w:val="21"/>
              </w:rPr>
              <w:t>自备水源（自建设施）供水整治情况</w:t>
            </w:r>
          </w:p>
        </w:tc>
        <w:tc>
          <w:tcPr>
            <w:tcW w:w="2880" w:type="dxa"/>
            <w:gridSpan w:val="2"/>
          </w:tcPr>
          <w:p>
            <w:pPr>
              <w:pStyle w:val="3"/>
              <w:jc w:val="center"/>
              <w:rPr>
                <w:sz w:val="21"/>
                <w:szCs w:val="21"/>
              </w:rPr>
            </w:pPr>
            <w:r>
              <w:rPr>
                <w:rFonts w:hint="eastAsia"/>
                <w:sz w:val="21"/>
                <w:szCs w:val="21"/>
              </w:rPr>
              <w:t>饮水管理员情况</w:t>
            </w:r>
          </w:p>
        </w:tc>
        <w:tc>
          <w:tcPr>
            <w:tcW w:w="1133" w:type="dxa"/>
            <w:vMerge w:val="restart"/>
          </w:tcPr>
          <w:p>
            <w:pPr>
              <w:pStyle w:val="3"/>
              <w:jc w:val="center"/>
              <w:rPr>
                <w:sz w:val="21"/>
                <w:szCs w:val="21"/>
              </w:rPr>
            </w:pPr>
            <w:r>
              <w:rPr>
                <w:rFonts w:hint="eastAsia"/>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160" w:type="dxa"/>
            <w:vMerge w:val="continue"/>
          </w:tcPr>
          <w:p>
            <w:pPr>
              <w:pStyle w:val="3"/>
              <w:jc w:val="center"/>
              <w:rPr>
                <w:sz w:val="21"/>
                <w:szCs w:val="21"/>
              </w:rPr>
            </w:pPr>
          </w:p>
        </w:tc>
        <w:tc>
          <w:tcPr>
            <w:tcW w:w="900" w:type="dxa"/>
            <w:vMerge w:val="continue"/>
          </w:tcPr>
          <w:p>
            <w:pPr>
              <w:pStyle w:val="3"/>
              <w:jc w:val="center"/>
              <w:rPr>
                <w:sz w:val="21"/>
                <w:szCs w:val="21"/>
              </w:rPr>
            </w:pPr>
          </w:p>
        </w:tc>
        <w:tc>
          <w:tcPr>
            <w:tcW w:w="1440" w:type="dxa"/>
            <w:vMerge w:val="continue"/>
          </w:tcPr>
          <w:p>
            <w:pPr>
              <w:pStyle w:val="3"/>
              <w:jc w:val="center"/>
              <w:rPr>
                <w:sz w:val="21"/>
                <w:szCs w:val="21"/>
              </w:rPr>
            </w:pPr>
          </w:p>
        </w:tc>
        <w:tc>
          <w:tcPr>
            <w:tcW w:w="900" w:type="dxa"/>
            <w:vMerge w:val="continue"/>
          </w:tcPr>
          <w:p>
            <w:pPr>
              <w:pStyle w:val="3"/>
              <w:jc w:val="center"/>
              <w:rPr>
                <w:sz w:val="21"/>
                <w:szCs w:val="21"/>
              </w:rPr>
            </w:pPr>
          </w:p>
        </w:tc>
        <w:tc>
          <w:tcPr>
            <w:tcW w:w="1440" w:type="dxa"/>
          </w:tcPr>
          <w:p>
            <w:pPr>
              <w:pStyle w:val="3"/>
              <w:jc w:val="center"/>
              <w:rPr>
                <w:sz w:val="21"/>
                <w:szCs w:val="21"/>
              </w:rPr>
            </w:pPr>
            <w:r>
              <w:rPr>
                <w:rFonts w:hint="eastAsia"/>
                <w:sz w:val="21"/>
                <w:szCs w:val="21"/>
              </w:rPr>
              <w:t>接市政或镇村居管网水日期</w:t>
            </w:r>
          </w:p>
        </w:tc>
        <w:tc>
          <w:tcPr>
            <w:tcW w:w="1440" w:type="dxa"/>
          </w:tcPr>
          <w:p>
            <w:pPr>
              <w:pStyle w:val="3"/>
              <w:jc w:val="center"/>
              <w:rPr>
                <w:sz w:val="21"/>
                <w:szCs w:val="21"/>
              </w:rPr>
            </w:pPr>
            <w:r>
              <w:rPr>
                <w:rFonts w:hint="eastAsia"/>
                <w:sz w:val="21"/>
                <w:szCs w:val="21"/>
              </w:rPr>
              <w:t>使用大桶水日期</w:t>
            </w:r>
          </w:p>
        </w:tc>
        <w:tc>
          <w:tcPr>
            <w:tcW w:w="1080" w:type="dxa"/>
          </w:tcPr>
          <w:p>
            <w:pPr>
              <w:pStyle w:val="3"/>
              <w:jc w:val="center"/>
              <w:rPr>
                <w:sz w:val="21"/>
                <w:szCs w:val="21"/>
              </w:rPr>
            </w:pPr>
            <w:r>
              <w:rPr>
                <w:rFonts w:hint="eastAsia"/>
                <w:sz w:val="21"/>
                <w:szCs w:val="21"/>
              </w:rPr>
              <w:t>是否完成水质检测</w:t>
            </w:r>
          </w:p>
        </w:tc>
        <w:tc>
          <w:tcPr>
            <w:tcW w:w="1260" w:type="dxa"/>
          </w:tcPr>
          <w:p>
            <w:pPr>
              <w:pStyle w:val="3"/>
              <w:jc w:val="center"/>
              <w:rPr>
                <w:sz w:val="21"/>
                <w:szCs w:val="21"/>
              </w:rPr>
            </w:pPr>
            <w:r>
              <w:rPr>
                <w:rFonts w:hint="eastAsia"/>
                <w:sz w:val="21"/>
                <w:szCs w:val="21"/>
              </w:rPr>
              <w:t>姓名</w:t>
            </w:r>
          </w:p>
        </w:tc>
        <w:tc>
          <w:tcPr>
            <w:tcW w:w="1620" w:type="dxa"/>
          </w:tcPr>
          <w:p>
            <w:pPr>
              <w:pStyle w:val="3"/>
              <w:jc w:val="center"/>
              <w:rPr>
                <w:sz w:val="21"/>
                <w:szCs w:val="21"/>
              </w:rPr>
            </w:pPr>
            <w:r>
              <w:rPr>
                <w:rFonts w:hint="eastAsia"/>
                <w:sz w:val="21"/>
                <w:szCs w:val="21"/>
              </w:rPr>
              <w:t>手机号</w:t>
            </w:r>
          </w:p>
        </w:tc>
        <w:tc>
          <w:tcPr>
            <w:tcW w:w="1133" w:type="dxa"/>
            <w:vMerge w:val="continue"/>
          </w:tcPr>
          <w:p>
            <w:pPr>
              <w:pStyle w:val="3"/>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0" w:type="dxa"/>
          </w:tcPr>
          <w:p>
            <w:pPr>
              <w:pStyle w:val="3"/>
              <w:jc w:val="center"/>
              <w:rPr>
                <w:sz w:val="21"/>
                <w:szCs w:val="21"/>
              </w:rPr>
            </w:pPr>
          </w:p>
        </w:tc>
        <w:tc>
          <w:tcPr>
            <w:tcW w:w="900" w:type="dxa"/>
          </w:tcPr>
          <w:p>
            <w:pPr>
              <w:pStyle w:val="3"/>
              <w:jc w:val="center"/>
              <w:rPr>
                <w:sz w:val="21"/>
                <w:szCs w:val="21"/>
              </w:rPr>
            </w:pPr>
          </w:p>
        </w:tc>
        <w:tc>
          <w:tcPr>
            <w:tcW w:w="1440" w:type="dxa"/>
          </w:tcPr>
          <w:p>
            <w:pPr>
              <w:pStyle w:val="3"/>
              <w:jc w:val="center"/>
              <w:rPr>
                <w:sz w:val="21"/>
                <w:szCs w:val="21"/>
              </w:rPr>
            </w:pPr>
          </w:p>
        </w:tc>
        <w:tc>
          <w:tcPr>
            <w:tcW w:w="900" w:type="dxa"/>
          </w:tcPr>
          <w:p>
            <w:pPr>
              <w:pStyle w:val="3"/>
              <w:jc w:val="center"/>
              <w:rPr>
                <w:sz w:val="21"/>
                <w:szCs w:val="21"/>
              </w:rPr>
            </w:pPr>
          </w:p>
        </w:tc>
        <w:tc>
          <w:tcPr>
            <w:tcW w:w="1440" w:type="dxa"/>
          </w:tcPr>
          <w:p>
            <w:pPr>
              <w:pStyle w:val="3"/>
              <w:jc w:val="center"/>
              <w:rPr>
                <w:sz w:val="21"/>
                <w:szCs w:val="21"/>
              </w:rPr>
            </w:pPr>
          </w:p>
        </w:tc>
        <w:tc>
          <w:tcPr>
            <w:tcW w:w="1440" w:type="dxa"/>
          </w:tcPr>
          <w:p>
            <w:pPr>
              <w:pStyle w:val="3"/>
              <w:jc w:val="center"/>
              <w:rPr>
                <w:sz w:val="21"/>
                <w:szCs w:val="21"/>
              </w:rPr>
            </w:pPr>
          </w:p>
          <w:p>
            <w:pPr>
              <w:jc w:val="center"/>
            </w:pPr>
          </w:p>
        </w:tc>
        <w:tc>
          <w:tcPr>
            <w:tcW w:w="1080" w:type="dxa"/>
          </w:tcPr>
          <w:p>
            <w:pPr>
              <w:pStyle w:val="3"/>
              <w:jc w:val="center"/>
              <w:rPr>
                <w:sz w:val="21"/>
                <w:szCs w:val="21"/>
              </w:rPr>
            </w:pPr>
          </w:p>
        </w:tc>
        <w:tc>
          <w:tcPr>
            <w:tcW w:w="1260" w:type="dxa"/>
          </w:tcPr>
          <w:p>
            <w:pPr>
              <w:pStyle w:val="3"/>
              <w:jc w:val="center"/>
              <w:rPr>
                <w:sz w:val="21"/>
                <w:szCs w:val="21"/>
              </w:rPr>
            </w:pPr>
          </w:p>
        </w:tc>
        <w:tc>
          <w:tcPr>
            <w:tcW w:w="1620" w:type="dxa"/>
          </w:tcPr>
          <w:p>
            <w:pPr>
              <w:pStyle w:val="3"/>
              <w:jc w:val="center"/>
              <w:rPr>
                <w:sz w:val="21"/>
                <w:szCs w:val="21"/>
              </w:rPr>
            </w:pPr>
          </w:p>
        </w:tc>
        <w:tc>
          <w:tcPr>
            <w:tcW w:w="1133" w:type="dxa"/>
          </w:tcPr>
          <w:p>
            <w:pPr>
              <w:pStyle w:val="3"/>
              <w:jc w:val="center"/>
              <w:rPr>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0" w:type="dxa"/>
          </w:tcPr>
          <w:p>
            <w:pPr>
              <w:pStyle w:val="3"/>
            </w:pPr>
          </w:p>
        </w:tc>
        <w:tc>
          <w:tcPr>
            <w:tcW w:w="900" w:type="dxa"/>
          </w:tcPr>
          <w:p>
            <w:pPr>
              <w:pStyle w:val="3"/>
            </w:pPr>
          </w:p>
        </w:tc>
        <w:tc>
          <w:tcPr>
            <w:tcW w:w="1440" w:type="dxa"/>
          </w:tcPr>
          <w:p>
            <w:pPr>
              <w:pStyle w:val="3"/>
            </w:pPr>
          </w:p>
        </w:tc>
        <w:tc>
          <w:tcPr>
            <w:tcW w:w="900" w:type="dxa"/>
          </w:tcPr>
          <w:p>
            <w:pPr>
              <w:pStyle w:val="3"/>
            </w:pPr>
          </w:p>
        </w:tc>
        <w:tc>
          <w:tcPr>
            <w:tcW w:w="1440" w:type="dxa"/>
          </w:tcPr>
          <w:p>
            <w:pPr>
              <w:pStyle w:val="3"/>
            </w:pPr>
          </w:p>
        </w:tc>
        <w:tc>
          <w:tcPr>
            <w:tcW w:w="1440" w:type="dxa"/>
          </w:tcPr>
          <w:p>
            <w:pPr>
              <w:pStyle w:val="3"/>
            </w:pPr>
          </w:p>
        </w:tc>
        <w:tc>
          <w:tcPr>
            <w:tcW w:w="1080" w:type="dxa"/>
          </w:tcPr>
          <w:p>
            <w:pPr>
              <w:pStyle w:val="3"/>
            </w:pPr>
          </w:p>
        </w:tc>
        <w:tc>
          <w:tcPr>
            <w:tcW w:w="1260" w:type="dxa"/>
          </w:tcPr>
          <w:p>
            <w:pPr>
              <w:pStyle w:val="3"/>
            </w:pPr>
          </w:p>
        </w:tc>
        <w:tc>
          <w:tcPr>
            <w:tcW w:w="1620" w:type="dxa"/>
          </w:tcPr>
          <w:p>
            <w:pPr>
              <w:pStyle w:val="3"/>
            </w:pPr>
          </w:p>
        </w:tc>
        <w:tc>
          <w:tcPr>
            <w:tcW w:w="1133" w:type="dxa"/>
          </w:tcPr>
          <w:p>
            <w:pPr>
              <w:pStyle w:val="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0" w:type="dxa"/>
          </w:tcPr>
          <w:p>
            <w:pPr>
              <w:pStyle w:val="3"/>
            </w:pPr>
          </w:p>
        </w:tc>
        <w:tc>
          <w:tcPr>
            <w:tcW w:w="900" w:type="dxa"/>
          </w:tcPr>
          <w:p>
            <w:pPr>
              <w:pStyle w:val="3"/>
            </w:pPr>
          </w:p>
        </w:tc>
        <w:tc>
          <w:tcPr>
            <w:tcW w:w="1440" w:type="dxa"/>
          </w:tcPr>
          <w:p>
            <w:pPr>
              <w:pStyle w:val="3"/>
            </w:pPr>
          </w:p>
        </w:tc>
        <w:tc>
          <w:tcPr>
            <w:tcW w:w="900" w:type="dxa"/>
          </w:tcPr>
          <w:p>
            <w:pPr>
              <w:pStyle w:val="3"/>
            </w:pPr>
          </w:p>
        </w:tc>
        <w:tc>
          <w:tcPr>
            <w:tcW w:w="1440" w:type="dxa"/>
          </w:tcPr>
          <w:p>
            <w:pPr>
              <w:pStyle w:val="3"/>
            </w:pPr>
          </w:p>
        </w:tc>
        <w:tc>
          <w:tcPr>
            <w:tcW w:w="1440" w:type="dxa"/>
          </w:tcPr>
          <w:p>
            <w:pPr>
              <w:pStyle w:val="3"/>
            </w:pPr>
          </w:p>
        </w:tc>
        <w:tc>
          <w:tcPr>
            <w:tcW w:w="1080" w:type="dxa"/>
          </w:tcPr>
          <w:p>
            <w:pPr>
              <w:pStyle w:val="3"/>
            </w:pPr>
          </w:p>
        </w:tc>
        <w:tc>
          <w:tcPr>
            <w:tcW w:w="1260" w:type="dxa"/>
          </w:tcPr>
          <w:p>
            <w:pPr>
              <w:pStyle w:val="3"/>
            </w:pPr>
          </w:p>
        </w:tc>
        <w:tc>
          <w:tcPr>
            <w:tcW w:w="1620" w:type="dxa"/>
          </w:tcPr>
          <w:p>
            <w:pPr>
              <w:pStyle w:val="3"/>
            </w:pPr>
          </w:p>
        </w:tc>
        <w:tc>
          <w:tcPr>
            <w:tcW w:w="1133" w:type="dxa"/>
          </w:tcPr>
          <w:p>
            <w:pPr>
              <w:pStyle w:val="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60" w:type="dxa"/>
          </w:tcPr>
          <w:p>
            <w:pPr>
              <w:pStyle w:val="3"/>
            </w:pPr>
          </w:p>
        </w:tc>
        <w:tc>
          <w:tcPr>
            <w:tcW w:w="900" w:type="dxa"/>
          </w:tcPr>
          <w:p>
            <w:pPr>
              <w:pStyle w:val="3"/>
            </w:pPr>
          </w:p>
        </w:tc>
        <w:tc>
          <w:tcPr>
            <w:tcW w:w="1440" w:type="dxa"/>
          </w:tcPr>
          <w:p>
            <w:pPr>
              <w:pStyle w:val="3"/>
            </w:pPr>
          </w:p>
        </w:tc>
        <w:tc>
          <w:tcPr>
            <w:tcW w:w="900" w:type="dxa"/>
          </w:tcPr>
          <w:p>
            <w:pPr>
              <w:pStyle w:val="3"/>
            </w:pPr>
          </w:p>
        </w:tc>
        <w:tc>
          <w:tcPr>
            <w:tcW w:w="1440" w:type="dxa"/>
          </w:tcPr>
          <w:p>
            <w:pPr>
              <w:pStyle w:val="3"/>
            </w:pPr>
          </w:p>
        </w:tc>
        <w:tc>
          <w:tcPr>
            <w:tcW w:w="1440" w:type="dxa"/>
          </w:tcPr>
          <w:p>
            <w:pPr>
              <w:pStyle w:val="3"/>
            </w:pPr>
          </w:p>
        </w:tc>
        <w:tc>
          <w:tcPr>
            <w:tcW w:w="1080" w:type="dxa"/>
          </w:tcPr>
          <w:p>
            <w:pPr>
              <w:pStyle w:val="3"/>
            </w:pPr>
          </w:p>
        </w:tc>
        <w:tc>
          <w:tcPr>
            <w:tcW w:w="1260" w:type="dxa"/>
          </w:tcPr>
          <w:p>
            <w:pPr>
              <w:pStyle w:val="3"/>
            </w:pPr>
          </w:p>
        </w:tc>
        <w:tc>
          <w:tcPr>
            <w:tcW w:w="1620" w:type="dxa"/>
          </w:tcPr>
          <w:p>
            <w:pPr>
              <w:pStyle w:val="3"/>
            </w:pPr>
          </w:p>
        </w:tc>
        <w:tc>
          <w:tcPr>
            <w:tcW w:w="1133" w:type="dxa"/>
          </w:tcPr>
          <w:p>
            <w:pPr>
              <w:pStyle w:val="3"/>
            </w:pPr>
          </w:p>
        </w:tc>
      </w:tr>
    </w:tbl>
    <w:p>
      <w:pPr>
        <w:pStyle w:val="3"/>
        <w:rPr>
          <w:b w:val="0"/>
          <w:sz w:val="21"/>
          <w:szCs w:val="21"/>
        </w:rPr>
        <w:sectPr>
          <w:pgSz w:w="16838" w:h="11906" w:orient="landscape"/>
          <w:pgMar w:top="1797" w:right="1440" w:bottom="1797" w:left="1440" w:header="851" w:footer="992" w:gutter="0"/>
          <w:pgNumType w:fmt="numberInDash"/>
          <w:cols w:space="425" w:num="1"/>
          <w:docGrid w:type="linesAndChars" w:linePitch="312" w:charSpace="0"/>
        </w:sectPr>
      </w:pPr>
      <w:r>
        <w:rPr>
          <w:rFonts w:hint="eastAsia"/>
          <w:b w:val="0"/>
          <w:sz w:val="21"/>
          <w:szCs w:val="21"/>
        </w:rPr>
        <w:t>备注：</w:t>
      </w:r>
      <w:r>
        <w:rPr>
          <w:b w:val="0"/>
          <w:sz w:val="21"/>
          <w:szCs w:val="21"/>
        </w:rPr>
        <w:t>1.</w:t>
      </w:r>
      <w:r>
        <w:rPr>
          <w:rFonts w:hint="eastAsia"/>
          <w:b w:val="0"/>
          <w:sz w:val="21"/>
          <w:szCs w:val="21"/>
        </w:rPr>
        <w:t>自建设施供水：由单位或个人自行建设并主要自用（供师生饮用）的供水方式，单位浇花、冲厕用水不在此范围内。</w:t>
      </w:r>
      <w:r>
        <w:rPr>
          <w:b w:val="0"/>
          <w:sz w:val="21"/>
          <w:szCs w:val="21"/>
        </w:rPr>
        <w:t>2.</w:t>
      </w:r>
      <w:r>
        <w:rPr>
          <w:rFonts w:hint="eastAsia"/>
          <w:b w:val="0"/>
          <w:sz w:val="21"/>
          <w:szCs w:val="21"/>
        </w:rPr>
        <w:t>自备水源经整治后，师生饮用水为市政或镇街村居管网水供水或大桶水供水的，使用前须进行水质检测，合格后方可供师生饮用。</w:t>
      </w:r>
    </w:p>
    <w:p>
      <w:pPr>
        <w:rPr>
          <w:rFonts w:ascii="黑体" w:hAnsi="宋体" w:eastAsia="黑体"/>
          <w:sz w:val="32"/>
          <w:szCs w:val="32"/>
        </w:rPr>
      </w:pPr>
      <w:r>
        <w:rPr>
          <w:rFonts w:hint="eastAsia" w:ascii="黑体" w:hAnsi="宋体" w:eastAsia="黑体"/>
          <w:sz w:val="32"/>
          <w:szCs w:val="32"/>
        </w:rPr>
        <w:t>附件</w:t>
      </w:r>
      <w:r>
        <w:rPr>
          <w:rFonts w:ascii="黑体" w:hAnsi="宋体" w:eastAsia="黑体"/>
          <w:sz w:val="32"/>
          <w:szCs w:val="32"/>
        </w:rPr>
        <w:t>3</w:t>
      </w:r>
    </w:p>
    <w:p>
      <w:pPr>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学校（幼儿园）自备水源整改报告（模板）</w:t>
      </w:r>
    </w:p>
    <w:p>
      <w:r>
        <w:t xml:space="preserve"> </w:t>
      </w:r>
    </w:p>
    <w:p>
      <w:pPr>
        <w:pStyle w:val="3"/>
        <w:ind w:firstLine="640" w:firstLineChars="200"/>
        <w:rPr>
          <w:rFonts w:ascii="仿宋_GB2312" w:hAnsi="Calibri" w:eastAsia="仿宋_GB2312" w:cs="仿宋_GB2312"/>
          <w:b w:val="0"/>
          <w:sz w:val="32"/>
          <w:szCs w:val="32"/>
        </w:rPr>
      </w:pPr>
      <w:r>
        <w:rPr>
          <w:rFonts w:hint="eastAsia" w:ascii="黑体" w:hAnsi="黑体" w:eastAsia="黑体" w:cs="仿宋_GB2312"/>
          <w:b w:val="0"/>
          <w:sz w:val="32"/>
          <w:szCs w:val="32"/>
        </w:rPr>
        <w:t>一、</w:t>
      </w:r>
      <w:r>
        <w:rPr>
          <w:rFonts w:hint="eastAsia" w:ascii="黑体" w:hAnsi="黑体" w:eastAsia="黑体" w:cs="宋体"/>
          <w:b w:val="0"/>
          <w:sz w:val="32"/>
          <w:szCs w:val="32"/>
        </w:rPr>
        <w:t>整改目标</w:t>
      </w:r>
      <w:r>
        <w:rPr>
          <w:rFonts w:hint="eastAsia" w:ascii="仿宋_GB2312" w:hAnsi="Calibri" w:eastAsia="仿宋_GB2312" w:cs="仿宋_GB2312"/>
          <w:b w:val="0"/>
          <w:sz w:val="32"/>
          <w:szCs w:val="32"/>
        </w:rPr>
        <w:t>：</w:t>
      </w:r>
    </w:p>
    <w:p>
      <w:pPr>
        <w:pStyle w:val="3"/>
        <w:rPr>
          <w:rFonts w:ascii="仿宋_GB2312" w:hAnsi="Calibri" w:eastAsia="仿宋_GB2312" w:cs="仿宋_GB2312"/>
          <w:b w:val="0"/>
          <w:sz w:val="32"/>
          <w:szCs w:val="32"/>
        </w:rPr>
      </w:pPr>
      <w:r>
        <w:rPr>
          <w:rFonts w:ascii="仿宋_GB2312" w:hAnsi="Calibri" w:eastAsia="仿宋_GB2312" w:cs="仿宋_GB2312"/>
          <w:b w:val="0"/>
          <w:sz w:val="32"/>
          <w:szCs w:val="32"/>
        </w:rPr>
        <w:t xml:space="preserve">    </w:t>
      </w:r>
    </w:p>
    <w:p>
      <w:pPr>
        <w:pStyle w:val="3"/>
        <w:ind w:firstLine="640" w:firstLineChars="200"/>
        <w:rPr>
          <w:rFonts w:ascii="黑体" w:hAnsi="黑体" w:eastAsia="黑体" w:cs="仿宋_GB2312"/>
          <w:b w:val="0"/>
          <w:sz w:val="32"/>
          <w:szCs w:val="32"/>
        </w:rPr>
      </w:pPr>
      <w:r>
        <w:rPr>
          <w:rFonts w:hint="eastAsia" w:ascii="黑体" w:hAnsi="黑体" w:eastAsia="黑体" w:cs="仿宋_GB2312"/>
          <w:b w:val="0"/>
          <w:sz w:val="32"/>
          <w:szCs w:val="32"/>
        </w:rPr>
        <w:t>二、整改措施：</w:t>
      </w:r>
    </w:p>
    <w:p>
      <w:pPr>
        <w:ind w:firstLine="660"/>
        <w:rPr>
          <w:rFonts w:ascii="黑体" w:hAnsi="黑体" w:eastAsia="黑体" w:cs="仿宋_GB2312"/>
          <w:kern w:val="0"/>
          <w:sz w:val="32"/>
          <w:szCs w:val="32"/>
        </w:rPr>
      </w:pPr>
    </w:p>
    <w:p>
      <w:pPr>
        <w:ind w:firstLine="660"/>
        <w:rPr>
          <w:rFonts w:ascii="黑体" w:hAnsi="黑体" w:eastAsia="黑体" w:cs="仿宋_GB2312"/>
          <w:kern w:val="0"/>
          <w:sz w:val="32"/>
          <w:szCs w:val="32"/>
        </w:rPr>
      </w:pPr>
    </w:p>
    <w:p>
      <w:pPr>
        <w:ind w:firstLine="660"/>
        <w:rPr>
          <w:rFonts w:ascii="仿宋_GB2312" w:eastAsia="仿宋_GB2312" w:cs="仿宋_GB2312"/>
          <w:kern w:val="0"/>
          <w:sz w:val="32"/>
          <w:szCs w:val="32"/>
        </w:rPr>
      </w:pPr>
      <w:r>
        <w:rPr>
          <w:rFonts w:hint="eastAsia" w:ascii="黑体" w:hAnsi="黑体" w:eastAsia="黑体" w:cs="仿宋_GB2312"/>
          <w:kern w:val="0"/>
          <w:sz w:val="32"/>
          <w:szCs w:val="32"/>
        </w:rPr>
        <w:t>三：完成时间</w:t>
      </w:r>
      <w:r>
        <w:rPr>
          <w:rFonts w:hint="eastAsia" w:ascii="仿宋_GB2312" w:hAnsi="仿宋_GB2312" w:eastAsia="仿宋_GB2312" w:cs="仿宋_GB2312"/>
          <w:kern w:val="0"/>
          <w:sz w:val="32"/>
          <w:szCs w:val="32"/>
        </w:rPr>
        <w:t>（截止日期：</w:t>
      </w:r>
      <w:r>
        <w:rPr>
          <w:rFonts w:ascii="仿宋_GB2312" w:hAnsi="仿宋_GB2312" w:eastAsia="仿宋_GB2312" w:cs="仿宋_GB2312"/>
          <w:kern w:val="0"/>
          <w:sz w:val="32"/>
          <w:szCs w:val="32"/>
        </w:rPr>
        <w:t>2021</w:t>
      </w:r>
      <w:r>
        <w:rPr>
          <w:rFonts w:hint="eastAsia" w:ascii="仿宋_GB2312" w:hAnsi="仿宋_GB2312" w:eastAsia="仿宋_GB2312" w:cs="仿宋_GB2312"/>
          <w:kern w:val="0"/>
          <w:sz w:val="32"/>
          <w:szCs w:val="32"/>
        </w:rPr>
        <w:t>年</w:t>
      </w:r>
      <w:r>
        <w:rPr>
          <w:rFonts w:ascii="仿宋_GB2312" w:hAnsi="仿宋_GB2312" w:eastAsia="仿宋_GB2312" w:cs="仿宋_GB2312"/>
          <w:kern w:val="0"/>
          <w:sz w:val="32"/>
          <w:szCs w:val="32"/>
        </w:rPr>
        <w:t>10</w:t>
      </w:r>
      <w:r>
        <w:rPr>
          <w:rFonts w:hint="eastAsia" w:ascii="仿宋_GB2312" w:hAnsi="仿宋_GB2312" w:eastAsia="仿宋_GB2312" w:cs="仿宋_GB2312"/>
          <w:kern w:val="0"/>
          <w:sz w:val="32"/>
          <w:szCs w:val="32"/>
        </w:rPr>
        <w:t>月</w:t>
      </w:r>
      <w:r>
        <w:rPr>
          <w:rFonts w:ascii="仿宋_GB2312" w:hAnsi="仿宋_GB2312" w:eastAsia="仿宋_GB2312" w:cs="仿宋_GB2312"/>
          <w:kern w:val="0"/>
          <w:sz w:val="32"/>
          <w:szCs w:val="32"/>
        </w:rPr>
        <w:t>4</w:t>
      </w:r>
      <w:r>
        <w:rPr>
          <w:rFonts w:hint="eastAsia" w:ascii="仿宋_GB2312" w:hAnsi="仿宋_GB2312" w:eastAsia="仿宋_GB2312" w:cs="仿宋_GB2312"/>
          <w:kern w:val="0"/>
          <w:sz w:val="32"/>
          <w:szCs w:val="32"/>
        </w:rPr>
        <w:t>日前）</w:t>
      </w:r>
      <w:r>
        <w:rPr>
          <w:rFonts w:hint="eastAsia" w:ascii="仿宋_GB2312" w:eastAsia="仿宋_GB2312" w:cs="仿宋_GB2312"/>
          <w:kern w:val="0"/>
          <w:sz w:val="32"/>
          <w:szCs w:val="32"/>
        </w:rPr>
        <w:t>：</w:t>
      </w:r>
    </w:p>
    <w:p>
      <w:pPr>
        <w:pStyle w:val="3"/>
      </w:pPr>
    </w:p>
    <w:p>
      <w:pPr>
        <w:ind w:firstLine="420" w:firstLineChars="200"/>
        <w:rPr>
          <w:rFonts w:eastAsia="仿宋_GB2312"/>
        </w:rPr>
      </w:pPr>
      <w:r>
        <w:t xml:space="preserve">                                          </w:t>
      </w:r>
      <w:r>
        <w:rPr>
          <w:rFonts w:ascii="仿宋_GB2312" w:eastAsia="仿宋_GB2312" w:cs="仿宋_GB2312"/>
          <w:kern w:val="0"/>
          <w:sz w:val="32"/>
          <w:szCs w:val="32"/>
        </w:rPr>
        <w:t xml:space="preserve">  </w:t>
      </w:r>
      <w:r>
        <w:rPr>
          <w:rFonts w:hint="eastAsia" w:ascii="仿宋_GB2312" w:hAnsi="仿宋_GB2312" w:eastAsia="仿宋_GB2312" w:cs="仿宋_GB2312"/>
          <w:sz w:val="32"/>
          <w:szCs w:val="32"/>
        </w:rPr>
        <w:t>单位盖章：</w:t>
      </w:r>
    </w:p>
    <w:p>
      <w:pPr>
        <w:ind w:firstLine="4147" w:firstLineChars="1296"/>
        <w:rPr>
          <w:rFonts w:ascii="仿宋_GB2312" w:hAnsi="仿宋_GB2312" w:eastAsia="仿宋_GB2312" w:cs="仿宋_GB2312"/>
          <w:sz w:val="32"/>
          <w:szCs w:val="32"/>
        </w:rPr>
      </w:pPr>
      <w:r>
        <w:rPr>
          <w:rFonts w:hint="eastAsia" w:ascii="仿宋_GB2312" w:hAnsi="仿宋_GB2312" w:eastAsia="仿宋_GB2312" w:cs="仿宋_GB2312"/>
          <w:sz w:val="32"/>
          <w:szCs w:val="32"/>
        </w:rPr>
        <w:t>学校主要负责人签字：</w:t>
      </w:r>
    </w:p>
    <w:p/>
    <w:p>
      <w:pPr>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sz w:val="32"/>
          <w:szCs w:val="32"/>
        </w:rPr>
        <w:t>附：整改前后照片及整改后的合格水质检验报告</w:t>
      </w:r>
      <w:r>
        <w:rPr>
          <w:rFonts w:hint="eastAsia" w:ascii="仿宋_GB2312" w:hAnsi="仿宋_GB2312" w:eastAsia="仿宋_GB2312" w:cs="仿宋_GB2312"/>
          <w:b/>
          <w:sz w:val="32"/>
          <w:szCs w:val="32"/>
        </w:rPr>
        <w:t>（备注：整改报告及整改前后照片、整改后的合格水质检验报告纸质材料经学校盖章、主要负责人签字，一式两份，一份报送局安全应急部，一份学校留存）</w:t>
      </w:r>
    </w:p>
    <w:p>
      <w:pPr>
        <w:pStyle w:val="2"/>
        <w:rPr>
          <w:rFonts w:ascii="仿宋_GB2312" w:hAnsi="仿宋_GB2312" w:eastAsia="仿宋_GB2312" w:cs="仿宋_GB2312"/>
        </w:rPr>
      </w:pPr>
    </w:p>
    <w:p>
      <w:pPr>
        <w:rPr>
          <w:rFonts w:ascii="仿宋_GB2312" w:hAnsi="仿宋_GB2312" w:eastAsia="仿宋_GB2312" w:cs="仿宋_GB2312"/>
          <w:b/>
          <w:sz w:val="32"/>
          <w:szCs w:val="32"/>
        </w:rPr>
      </w:pPr>
    </w:p>
    <w:p>
      <w:r>
        <w:tab/>
      </w:r>
    </w:p>
    <w:p>
      <w:pPr>
        <w:pBdr>
          <w:top w:val="single" w:color="auto" w:sz="4" w:space="1"/>
          <w:bottom w:val="single" w:color="auto" w:sz="4" w:space="1"/>
        </w:pBdr>
        <w:spacing w:line="550" w:lineRule="exact"/>
        <w:ind w:firstLine="140" w:firstLineChars="50"/>
      </w:pPr>
      <w:r>
        <w:rPr>
          <w:rFonts w:hint="eastAsia" w:ascii="仿宋_GB2312" w:hAnsi="仿宋_GB2312" w:eastAsia="仿宋_GB2312" w:cs="仿宋_GB2312"/>
          <w:sz w:val="28"/>
          <w:szCs w:val="28"/>
        </w:rPr>
        <w:t>青岛西海岸新区教育和体育局办公室</w:t>
      </w:r>
      <w:r>
        <w:rPr>
          <w:rFonts w:ascii="仿宋_GB2312" w:hAnsi="仿宋_GB2312" w:eastAsia="仿宋_GB2312" w:cs="仿宋_GB2312"/>
          <w:sz w:val="28"/>
          <w:szCs w:val="28"/>
        </w:rPr>
        <w:t xml:space="preserve">      2021</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10</w:t>
      </w:r>
      <w:r>
        <w:rPr>
          <w:rFonts w:hint="eastAsia" w:ascii="仿宋_GB2312" w:hAnsi="仿宋_GB2312" w:eastAsia="仿宋_GB2312" w:cs="仿宋_GB2312"/>
          <w:sz w:val="28"/>
          <w:szCs w:val="28"/>
        </w:rPr>
        <w:t>月</w:t>
      </w:r>
      <w:r>
        <w:rPr>
          <w:rFonts w:ascii="仿宋_GB2312" w:hAnsi="仿宋_GB2312" w:eastAsia="仿宋_GB2312" w:cs="仿宋_GB2312"/>
          <w:sz w:val="28"/>
          <w:szCs w:val="28"/>
        </w:rPr>
        <w:t>3</w:t>
      </w:r>
      <w:r>
        <w:rPr>
          <w:rFonts w:hint="eastAsia" w:ascii="仿宋_GB2312" w:hAnsi="仿宋_GB2312" w:eastAsia="仿宋_GB2312" w:cs="仿宋_GB2312"/>
          <w:sz w:val="28"/>
          <w:szCs w:val="28"/>
        </w:rPr>
        <w:t>日印发</w:t>
      </w:r>
    </w:p>
    <w:sectPr>
      <w:pgSz w:w="11906" w:h="16838"/>
      <w:pgMar w:top="1440" w:right="1797" w:bottom="1440" w:left="1797" w:header="851" w:footer="992" w:gutter="0"/>
      <w:pgNumType w:fmt="numberInDash"/>
      <w:cols w:space="425" w:num="1"/>
      <w:rtlGutter w:val="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文星标宋">
    <w:altName w:val="微软雅黑"/>
    <w:panose1 w:val="00000000000000000000"/>
    <w:charset w:val="7A"/>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4"/>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- 6 -</w:t>
                          </w:r>
                          <w:r>
                            <w:rPr>
                              <w:rFonts w:ascii="宋体" w:hAnsi="宋体" w:cs="宋体"/>
                              <w:sz w:val="28"/>
                              <w:szCs w:val="28"/>
                            </w:rPr>
                            <w:fldChar w:fldCharType="end"/>
                          </w:r>
                        </w:p>
                      </w:txbxContent>
                    </wps:txbx>
                    <wps:bodyPr wrap="none" lIns="0" tIns="0" rIns="0" bIns="0" upright="1">
                      <a:spAutoFit/>
                    </wps:bodyPr>
                  </wps:wsp>
                </a:graphicData>
              </a:graphic>
            </wp:anchor>
          </w:drawing>
        </mc:Choice>
        <mc:Fallback>
          <w:pict>
            <v:shape id="文本框 1"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NJWO7QAAAABQEAAA8AAAAAAAAAAQAgAAAAIgAAAGRycy9k&#10;b3ducmV2LnhtbFBLAQIUABQAAAAIAIdO4kAaKjbh0QEAAKIDAAAOAAAAAAAAAAEAIAAAAB8BAABk&#10;cnMvZTJvRG9jLnhtbFBLBQYAAAAABgAGAFkBAABiBQAAAAA=&#10;">
              <v:fill on="f" focussize="0,0"/>
              <v:stroke on="f" weight="0.5pt"/>
              <v:imagedata o:title=""/>
              <o:lock v:ext="edit" aspectratio="f"/>
              <v:textbox inset="0mm,0mm,0mm,0mm" style="mso-fit-shape-to-text:t;">
                <w:txbxContent>
                  <w:p>
                    <w:pPr>
                      <w:pStyle w:val="4"/>
                      <w:rPr>
                        <w:rFonts w:ascii="宋体" w:cs="宋体"/>
                        <w:sz w:val="28"/>
                        <w:szCs w:val="28"/>
                      </w:rPr>
                    </w:pPr>
                    <w:r>
                      <w:rPr>
                        <w:rFonts w:ascii="宋体" w:hAnsi="宋体" w:cs="宋体"/>
                        <w:sz w:val="28"/>
                        <w:szCs w:val="28"/>
                      </w:rPr>
                      <w:fldChar w:fldCharType="begin"/>
                    </w:r>
                    <w:r>
                      <w:rPr>
                        <w:rFonts w:ascii="宋体" w:hAnsi="宋体" w:cs="宋体"/>
                        <w:sz w:val="28"/>
                        <w:szCs w:val="28"/>
                      </w:rPr>
                      <w:instrText xml:space="preserve"> PAGE  \* MERGEFORMAT </w:instrText>
                    </w:r>
                    <w:r>
                      <w:rPr>
                        <w:rFonts w:ascii="宋体" w:hAnsi="宋体" w:cs="宋体"/>
                        <w:sz w:val="28"/>
                        <w:szCs w:val="28"/>
                      </w:rPr>
                      <w:fldChar w:fldCharType="separate"/>
                    </w:r>
                    <w:r>
                      <w:rPr>
                        <w:rFonts w:ascii="宋体" w:hAnsi="宋体" w:cs="宋体"/>
                        <w:sz w:val="28"/>
                        <w:szCs w:val="28"/>
                      </w:rPr>
                      <w:t>- 6 -</w:t>
                    </w:r>
                    <w:r>
                      <w:rPr>
                        <w:rFonts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layout v:ext="edit">
      <o:idmap v:ext="edit" data="2"/>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237"/>
    <w:rsid w:val="001C4427"/>
    <w:rsid w:val="00213DEA"/>
    <w:rsid w:val="00463D5E"/>
    <w:rsid w:val="005754AE"/>
    <w:rsid w:val="00817CE8"/>
    <w:rsid w:val="00830D54"/>
    <w:rsid w:val="008B7A5E"/>
    <w:rsid w:val="00A520D0"/>
    <w:rsid w:val="00AE5DF2"/>
    <w:rsid w:val="00AF5066"/>
    <w:rsid w:val="00E70168"/>
    <w:rsid w:val="00EC1783"/>
    <w:rsid w:val="00EF4237"/>
    <w:rsid w:val="02A625A9"/>
    <w:rsid w:val="04D16F17"/>
    <w:rsid w:val="056A488E"/>
    <w:rsid w:val="1A6D38FE"/>
    <w:rsid w:val="1BFB0B30"/>
    <w:rsid w:val="22072031"/>
    <w:rsid w:val="27F56853"/>
    <w:rsid w:val="297D2AC0"/>
    <w:rsid w:val="2CEC32E5"/>
    <w:rsid w:val="360D1E2A"/>
    <w:rsid w:val="42122EC3"/>
    <w:rsid w:val="44935AA2"/>
    <w:rsid w:val="49A21289"/>
    <w:rsid w:val="50907A29"/>
    <w:rsid w:val="56267D0B"/>
    <w:rsid w:val="5EFA70E7"/>
    <w:rsid w:val="5F070899"/>
    <w:rsid w:val="620001AE"/>
    <w:rsid w:val="64FC0955"/>
    <w:rsid w:val="67C71813"/>
    <w:rsid w:val="6FC06A41"/>
    <w:rsid w:val="70B8639C"/>
    <w:rsid w:val="71DA44D3"/>
    <w:rsid w:val="7C1E53F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2"/>
      <w:lang w:val="en-US" w:eastAsia="zh-CN" w:bidi="ar-SA"/>
    </w:rPr>
  </w:style>
  <w:style w:type="paragraph" w:styleId="3">
    <w:name w:val="heading 2"/>
    <w:basedOn w:val="1"/>
    <w:next w:val="1"/>
    <w:link w:val="10"/>
    <w:qFormat/>
    <w:uiPriority w:val="99"/>
    <w:pPr>
      <w:spacing w:before="100" w:beforeAutospacing="1" w:after="100" w:afterAutospacing="1"/>
      <w:jc w:val="left"/>
      <w:outlineLvl w:val="1"/>
    </w:pPr>
    <w:rPr>
      <w:rFonts w:ascii="宋体" w:hAnsi="宋体"/>
      <w:b/>
      <w:kern w:val="0"/>
      <w:sz w:val="36"/>
      <w:szCs w:val="36"/>
    </w:rPr>
  </w:style>
  <w:style w:type="paragraph" w:styleId="2">
    <w:name w:val="heading 3"/>
    <w:basedOn w:val="1"/>
    <w:next w:val="1"/>
    <w:link w:val="11"/>
    <w:qFormat/>
    <w:uiPriority w:val="99"/>
    <w:pPr>
      <w:keepNext/>
      <w:keepLines/>
      <w:spacing w:line="413" w:lineRule="auto"/>
      <w:outlineLvl w:val="2"/>
    </w:pPr>
    <w:rPr>
      <w:b/>
      <w:bCs/>
      <w:sz w:val="32"/>
      <w:szCs w:val="32"/>
    </w:rPr>
  </w:style>
  <w:style w:type="character" w:default="1" w:styleId="8">
    <w:name w:val="Default Paragraph Font"/>
    <w:semiHidden/>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12"/>
    <w:uiPriority w:val="99"/>
    <w:pPr>
      <w:tabs>
        <w:tab w:val="center" w:pos="4153"/>
        <w:tab w:val="right" w:pos="8306"/>
      </w:tabs>
      <w:snapToGrid w:val="0"/>
      <w:jc w:val="left"/>
    </w:pPr>
    <w:rPr>
      <w:sz w:val="18"/>
      <w:szCs w:val="18"/>
    </w:rPr>
  </w:style>
  <w:style w:type="paragraph" w:styleId="5">
    <w:name w:val="header"/>
    <w:basedOn w:val="1"/>
    <w:link w:val="13"/>
    <w:uiPriority w:val="99"/>
    <w:pPr>
      <w:pBdr>
        <w:bottom w:val="single" w:color="auto" w:sz="6" w:space="1"/>
      </w:pBdr>
      <w:tabs>
        <w:tab w:val="center" w:pos="4153"/>
        <w:tab w:val="right" w:pos="8306"/>
      </w:tabs>
      <w:snapToGrid w:val="0"/>
      <w:jc w:val="center"/>
    </w:pPr>
    <w:rPr>
      <w:sz w:val="18"/>
      <w:szCs w:val="18"/>
    </w:rPr>
  </w:style>
  <w:style w:type="table" w:styleId="7">
    <w:name w:val="Table Grid"/>
    <w:basedOn w:val="6"/>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page number"/>
    <w:basedOn w:val="8"/>
    <w:uiPriority w:val="99"/>
    <w:rPr>
      <w:rFonts w:cs="Times New Roman"/>
    </w:rPr>
  </w:style>
  <w:style w:type="character" w:customStyle="1" w:styleId="10">
    <w:name w:val="Heading 2 Char"/>
    <w:basedOn w:val="8"/>
    <w:link w:val="3"/>
    <w:locked/>
    <w:uiPriority w:val="99"/>
    <w:rPr>
      <w:rFonts w:ascii="Cambria" w:hAnsi="Cambria" w:eastAsia="宋体" w:cs="Times New Roman"/>
      <w:b/>
      <w:bCs/>
      <w:sz w:val="32"/>
      <w:szCs w:val="32"/>
    </w:rPr>
  </w:style>
  <w:style w:type="character" w:customStyle="1" w:styleId="11">
    <w:name w:val="Heading 3 Char"/>
    <w:basedOn w:val="8"/>
    <w:link w:val="2"/>
    <w:locked/>
    <w:uiPriority w:val="99"/>
    <w:rPr>
      <w:rFonts w:cs="黑体"/>
      <w:b/>
      <w:bCs/>
      <w:sz w:val="32"/>
      <w:szCs w:val="32"/>
    </w:rPr>
  </w:style>
  <w:style w:type="character" w:customStyle="1" w:styleId="12">
    <w:name w:val="Footer Char"/>
    <w:basedOn w:val="8"/>
    <w:link w:val="4"/>
    <w:locked/>
    <w:uiPriority w:val="99"/>
    <w:rPr>
      <w:rFonts w:cs="黑体"/>
      <w:sz w:val="18"/>
      <w:szCs w:val="18"/>
    </w:rPr>
  </w:style>
  <w:style w:type="character" w:customStyle="1" w:styleId="13">
    <w:name w:val="Header Char"/>
    <w:basedOn w:val="8"/>
    <w:link w:val="5"/>
    <w:locked/>
    <w:uiPriority w:val="99"/>
    <w:rPr>
      <w:rFonts w:cs="黑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10</Pages>
  <Words>649</Words>
  <Characters>3704</Characters>
  <Lines>0</Lines>
  <Paragraphs>0</Paragraphs>
  <TotalTime>1</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2021-10-06T13:44:00Z</dcterms:created>
  <dc:creator>杨倩</dc:creator>
  <cp:lastModifiedBy>季进吉</cp:lastModifiedBy>
  <dcterms:modified xsi:type="dcterms:W3CDTF">2021-12-22T08:28:40Z</dcterms:modified>
  <dc:title>关于进一步加强学校饮用水安全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7D2DCFC35512421C8BC1CD29AD4C1D03</vt:lpwstr>
  </property>
</Properties>
</file>