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69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lang w:val="en-US" w:eastAsia="zh-CN" w:bidi="ar-SA"/>
        </w:rPr>
        <w:t>【美育评价】青岛西海岸新区致远中学2025-202</w:t>
      </w:r>
      <w:bookmarkStart w:id="0" w:name="_GoBack"/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lang w:val="en-US" w:eastAsia="zh-CN" w:bidi="ar-SA"/>
        </w:rPr>
        <w:t>6</w:t>
      </w:r>
      <w:bookmarkEnd w:id="0"/>
      <w:r>
        <w:rPr>
          <w:rFonts w:hint="default" w:ascii="方正小标宋_GBK" w:hAnsi="方正小标宋_GBK" w:eastAsia="方正小标宋_GBK" w:cs="方正小标宋_GBK"/>
          <w:color w:val="333333"/>
          <w:kern w:val="0"/>
          <w:sz w:val="44"/>
          <w:szCs w:val="44"/>
          <w:lang w:val="en-US" w:eastAsia="zh-CN" w:bidi="ar-SA"/>
        </w:rPr>
        <w:t>学年度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lang w:val="en-US" w:eastAsia="zh-CN" w:bidi="ar-SA"/>
        </w:rPr>
        <w:t>第一学期</w:t>
      </w:r>
      <w:r>
        <w:rPr>
          <w:rFonts w:hint="default" w:ascii="方正小标宋_GBK" w:hAnsi="方正小标宋_GBK" w:eastAsia="方正小标宋_GBK" w:cs="方正小标宋_GBK"/>
          <w:color w:val="333333"/>
          <w:kern w:val="0"/>
          <w:sz w:val="44"/>
          <w:szCs w:val="44"/>
          <w:lang w:val="en-US" w:eastAsia="zh-CN" w:bidi="ar-SA"/>
        </w:rPr>
        <w:t>艺术教育发展年度报告</w:t>
      </w:r>
    </w:p>
    <w:p w14:paraId="7EDD59F1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一、前言与概述</w:t>
      </w:r>
    </w:p>
    <w:p w14:paraId="43B72F24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学校严格遵循国家美育工作方针，以“面向全体学生，提升审美与人文素养”为目标，在艺术课程、师资队伍、管理机制、条件保障及活动开展等方面进行了深入探索与实践，有效促进了学生的全面发展和个性成长。</w:t>
      </w:r>
    </w:p>
    <w:p w14:paraId="362C7EBA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二、艺术课程建设：夯实基础，丰富供给</w:t>
      </w:r>
    </w:p>
    <w:p w14:paraId="4FFE4551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本学年，学校持续深化艺术课程改革，构建了多层次、可选择的艺术课程体系。</w:t>
      </w:r>
    </w:p>
    <w:p w14:paraId="36852F3E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1.国家课程高标准实施：严格按照课程标准，开足开齐音乐、美术必修课程，保证高一、高二年级每周各1课时，开课率达100%。课堂教学质量稳步提升，注重激发学生兴趣与创造性思维。</w:t>
      </w:r>
    </w:p>
    <w:p w14:paraId="0D369B73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2.校本课程特色化开发：依托本校师资与资源优势，开发并实施了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门艺术类校本选修课程，如《数字摄影与创作》、《陶艺与雕塑》等，满足了学生的多样化发展需求，选修学生人数达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人。</w:t>
      </w:r>
    </w:p>
    <w:p w14:paraId="07E380A9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3.学科融合常态化探索：积极推进艺术与语文、历史、信息技术等学科的跨学科融合教学，举办了“名画中的历史”等主题融合课例展示活动，有效提升了学生的综合人文素养。</w:t>
      </w:r>
    </w:p>
    <w:p w14:paraId="5015C3E1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三、艺术教师配备：结构优化，专业发展</w:t>
      </w:r>
    </w:p>
    <w:p w14:paraId="6B7A0092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学校高度重视艺术教师队伍的建设，为其专业成长提供有力支持。</w:t>
      </w:r>
    </w:p>
    <w:p w14:paraId="53DBF0CE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1.师资结构与配备：目前，学校拥有专职艺术教师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名，其中音乐教师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名，美术教师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名，师生比为1: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。教师学历达标率100%，其中拥有高级职称教师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名，市/区级骨干教师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名，队伍结构合理，充满活力。</w:t>
      </w:r>
    </w:p>
    <w:p w14:paraId="64839948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2.专业发展与培训：本学年，组织艺术教师参加区级以上专业培训及教研活动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人次，校内开展集体备课、听评课、教学沙龙等教研活动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名教师在市级教学基本功比赛中获奖，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篇论文在市级以上刊物发表或获奖，师资专业水平显著提升。</w:t>
      </w:r>
    </w:p>
    <w:p w14:paraId="793B2396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四、艺术教育管理：机制健全，规范有序</w:t>
      </w:r>
    </w:p>
    <w:p w14:paraId="06F50271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学校建立了高效、规范的艺术教育管理机制，确保各项工作有序推进。</w:t>
      </w:r>
    </w:p>
    <w:p w14:paraId="0808043E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1.组织领导：成立了由校长任组长，教学副校长、德育副校长、艺术教研组长等共同参与的艺术教育工作领导小组，定期召开专题会议，统筹规划、部署和评估学校艺术教育工作。</w:t>
      </w:r>
    </w:p>
    <w:p w14:paraId="406D301E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2.制度保障：建立健全了《艺术教研组工作制度》、《艺术场馆及器材管理制度》、《学生艺术社团管理办法》等一系列规章制度，实现了艺术教育管理的制度化、规范化。</w:t>
      </w:r>
    </w:p>
    <w:p w14:paraId="62A70CA7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3.督导与评价：将艺术教育纳入学校整体教学质量评估体系，定期对艺术课程教学、活动效果及教师工作进行考核评价，评价结果与教师评优、绩效挂钩。</w:t>
      </w:r>
    </w:p>
    <w:p w14:paraId="237279A2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五、艺术教育经费投入与设施设备：保障有力，条件优越</w:t>
      </w:r>
    </w:p>
    <w:p w14:paraId="40B957CE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学校持续加大投入，为艺术教育提供坚实的物质保障。</w:t>
      </w:r>
    </w:p>
    <w:p w14:paraId="35067AE4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1.经费投入：本学年，学校艺术教育专项经费总投入为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万元，同比增长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%。经费主要用于：（1）设施维护与器材更新（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万元）；（2）课外艺术活动与展演（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万元）；（3）师资培训与对外交流（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万元）；（4）校本课程开发与奖励（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万元）。</w:t>
      </w:r>
    </w:p>
    <w:p w14:paraId="28B0F1A9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2.设施设备：现拥有专用音乐教室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间、美术教室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间、舞蹈练功房1间、琴房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间、现代化多功能艺术展厅1个。所有场馆设施先进，器材充足，管理规范，使用率高，完全满足教学与活动需求。</w:t>
      </w:r>
    </w:p>
    <w:p w14:paraId="1A5D7BB6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六、课外艺术活动：丰富多彩，参与广泛</w:t>
      </w:r>
    </w:p>
    <w:p w14:paraId="0244A6B6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课外艺术活动是艺术课程的重要延伸，是学生展示才华的重要平台。</w:t>
      </w:r>
    </w:p>
    <w:p w14:paraId="7A2C5E78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社团活动常态化：学校支持成立了合唱团、书法社等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个艺术社团，每周固定时间开展活动，覆盖学生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余人。</w:t>
      </w:r>
    </w:p>
    <w:p w14:paraId="545249BC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2.艺术活动品牌化：成功举办第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届“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致远中学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校园文化艺术节”，涵盖文艺汇演、书画摄影展、艺术讲座等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大类共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项活动，学生参与率超过95%，已成为校园文化品牌。</w:t>
      </w:r>
    </w:p>
    <w:p w14:paraId="2CDC7FE8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3.对外交流多样化：组织学生赴美术馆、大剧院参观学习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次，邀请知名艺术家进校园举办工作坊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场，拓宽了学生的艺术视野。</w:t>
      </w:r>
    </w:p>
    <w:p w14:paraId="4DF28B72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七、校园文化艺术环境：氛围浓厚，育人无声</w:t>
      </w:r>
    </w:p>
    <w:p w14:paraId="7E69B5A3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学校注重发挥环境的育人功能，积极营造“向真、向善、向美、向上”的校园文化氛围。</w:t>
      </w:r>
    </w:p>
    <w:p w14:paraId="1094CDD1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1.环境布置：利用走廊、大厅等空间，精心布置学生艺术作品展示区，定期更新内容，让校园成为一座“流动的美术馆”。</w:t>
      </w:r>
    </w:p>
    <w:p w14:paraId="1690059F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2.文化浸润：利用校园广播、公众号等平台，定期推介中外经典艺术作品，播放校园艺术活动资讯，营造浓郁的艺术氛围。</w:t>
      </w:r>
    </w:p>
    <w:p w14:paraId="3F00EC01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八、重点项目推进：特色引领，成果显著</w:t>
      </w:r>
    </w:p>
    <w:p w14:paraId="7C976E93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本学年，学校重点推进了“一校一品”艺术特色项目建设。</w:t>
      </w:r>
    </w:p>
    <w:p w14:paraId="76D2CDB3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项目名称：“中国传统手工艺传承与创新”工坊项目</w:t>
      </w:r>
    </w:p>
    <w:p w14:paraId="0F032600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推进情况：该项目整合了陶艺、篆刻、编织等校本课程，建设了专用工坊，聘请了非遗传承人作为校外导师。本学年，项目学员创作作品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余件，举办了专场成果展。</w:t>
      </w:r>
    </w:p>
    <w:p w14:paraId="7F68CC66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成果影响：该项目的成功实施，不仅培养了学生的工匠精神和创新能力，更成为学校美育工作的突出亮点，吸引了多方关注，发挥了良好的辐射示范效应。</w:t>
      </w:r>
    </w:p>
    <w:p w14:paraId="06DFD59D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九、艺术教育工作自评制度：机制完善，持续改进</w:t>
      </w:r>
    </w:p>
    <w:p w14:paraId="2E283409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学校建立并有效实施了艺术教育工作自评制度。</w:t>
      </w:r>
    </w:p>
    <w:p w14:paraId="7D588383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1.制度建立：制定了《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致远中学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艺术教育工作自评办法》，明确自评指标体系、流程与方法。</w:t>
      </w:r>
    </w:p>
    <w:p w14:paraId="58DC1F69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2.组织实施：每学年末，依据指标体系，通过查阅资料、实地查看、师生访谈、问卷调查等方式进行全面自评。</w:t>
      </w:r>
    </w:p>
    <w:p w14:paraId="4EB5E21B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3.结果运用：形成详实的《年度艺术教育自评报告》，并向全体教职工公示。针对自评中发现的问题，制定下一年度的改进方案与目标，形成“评价-反馈-改进”的闭环管理，驱动艺术教育工作持续优化。</w:t>
      </w:r>
    </w:p>
    <w:p w14:paraId="5588D56F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十、存在问题与未来展望</w:t>
      </w:r>
    </w:p>
    <w:p w14:paraId="387C9797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（一）存在问题：</w:t>
      </w:r>
    </w:p>
    <w:p w14:paraId="481EC303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1.艺术教师的科研能力和课程开发能力仍有提升空间。</w:t>
      </w:r>
    </w:p>
    <w:p w14:paraId="688C9250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2.艺术教育信息化、智慧化水平有待进一步提高。</w:t>
      </w:r>
    </w:p>
    <w:p w14:paraId="33E7CB3E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3.与社会艺术资源的联动机制可进一步深化。</w:t>
      </w:r>
    </w:p>
    <w:p w14:paraId="737E84CF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（二）改进方向：</w:t>
      </w:r>
    </w:p>
    <w:p w14:paraId="3399CE14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1.设立校级艺术教育研究课题，鼓励教师开展行动研究。</w:t>
      </w:r>
    </w:p>
    <w:p w14:paraId="3944E262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2.探索建设“智慧美育”平台，整合线上艺术资源，创新教学与评价方式。</w:t>
      </w:r>
    </w:p>
    <w:p w14:paraId="6EDA1954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3.加强与本地高校、艺术院团、博物馆的深度合作，构建“社会大美育”体系。</w:t>
      </w:r>
    </w:p>
    <w:p w14:paraId="144B4EB7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2024-2025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学年度，我校艺术教育工作取得了长足进步。未来，学校将继续坚守美育初心，深化改革创新，不断提升艺术教育质量，为培养全面发展的人才奠定坚实的基础。</w:t>
      </w:r>
    </w:p>
    <w:p w14:paraId="3A0BC57F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C47752C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7EE7139"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青岛西海岸新区致远中学</w:t>
      </w:r>
    </w:p>
    <w:p w14:paraId="67D22F7A">
      <w:pPr>
        <w:spacing w:line="560" w:lineRule="exact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</w:t>
      </w:r>
    </w:p>
    <w:p w14:paraId="51E189CF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26AA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-235585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48BEB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.5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OwhHS/VAAAACAEAAA8AAAAAAAAAAQAgAAAAIgAAAGRycy9kb3du&#10;cmV2LnhtbFBLAQIUABQAAAAIAIdO4kAEb5CgyQEAAJkDAAAOAAAAAAAAAAEAIAAAACQ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548BEB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MDEzYjE5OWU3ZTcwZjY2ZjIxODkwNDlhNzBiOTEifQ=="/>
  </w:docVars>
  <w:rsids>
    <w:rsidRoot w:val="533874DA"/>
    <w:rsid w:val="004672B9"/>
    <w:rsid w:val="029C3B08"/>
    <w:rsid w:val="02A62291"/>
    <w:rsid w:val="02EF6C9C"/>
    <w:rsid w:val="03CF75C5"/>
    <w:rsid w:val="062067FE"/>
    <w:rsid w:val="066B5CCB"/>
    <w:rsid w:val="0768045D"/>
    <w:rsid w:val="07BA49ED"/>
    <w:rsid w:val="0A116B8A"/>
    <w:rsid w:val="0A23066B"/>
    <w:rsid w:val="0A285C81"/>
    <w:rsid w:val="0B325009"/>
    <w:rsid w:val="0B9F6417"/>
    <w:rsid w:val="0BC87546"/>
    <w:rsid w:val="0C6F7B97"/>
    <w:rsid w:val="0D874F96"/>
    <w:rsid w:val="0D9F26FE"/>
    <w:rsid w:val="0F8676D2"/>
    <w:rsid w:val="0FF3288D"/>
    <w:rsid w:val="10CD7582"/>
    <w:rsid w:val="119F0F1F"/>
    <w:rsid w:val="127203E1"/>
    <w:rsid w:val="12863E8D"/>
    <w:rsid w:val="13F3074D"/>
    <w:rsid w:val="13FD1F2D"/>
    <w:rsid w:val="16573B76"/>
    <w:rsid w:val="167C35DD"/>
    <w:rsid w:val="16B8213B"/>
    <w:rsid w:val="17A032FB"/>
    <w:rsid w:val="183D3240"/>
    <w:rsid w:val="18694035"/>
    <w:rsid w:val="18B76B4E"/>
    <w:rsid w:val="18E216F1"/>
    <w:rsid w:val="19465432"/>
    <w:rsid w:val="19BB5591"/>
    <w:rsid w:val="1AD41657"/>
    <w:rsid w:val="1B052777"/>
    <w:rsid w:val="1B9D20E9"/>
    <w:rsid w:val="1BE27765"/>
    <w:rsid w:val="1C8449A7"/>
    <w:rsid w:val="1CCB706C"/>
    <w:rsid w:val="1D5726AE"/>
    <w:rsid w:val="1DDE692B"/>
    <w:rsid w:val="1E004AF3"/>
    <w:rsid w:val="1E62130A"/>
    <w:rsid w:val="1EE77A61"/>
    <w:rsid w:val="212B2FBD"/>
    <w:rsid w:val="216C45A8"/>
    <w:rsid w:val="21CC0ADA"/>
    <w:rsid w:val="233C481F"/>
    <w:rsid w:val="241C63FF"/>
    <w:rsid w:val="2492221D"/>
    <w:rsid w:val="25070E5D"/>
    <w:rsid w:val="258C41DE"/>
    <w:rsid w:val="25B368EF"/>
    <w:rsid w:val="25F34F3E"/>
    <w:rsid w:val="263F461C"/>
    <w:rsid w:val="26AF355A"/>
    <w:rsid w:val="270F224B"/>
    <w:rsid w:val="275A6C53"/>
    <w:rsid w:val="29165B2D"/>
    <w:rsid w:val="295959FF"/>
    <w:rsid w:val="2B577D1D"/>
    <w:rsid w:val="2B69017C"/>
    <w:rsid w:val="2C7F39CF"/>
    <w:rsid w:val="2F081A5A"/>
    <w:rsid w:val="2FEA5603"/>
    <w:rsid w:val="31DD5420"/>
    <w:rsid w:val="32130E41"/>
    <w:rsid w:val="32427031"/>
    <w:rsid w:val="34E4666E"/>
    <w:rsid w:val="356279EA"/>
    <w:rsid w:val="35731BF7"/>
    <w:rsid w:val="37503F9E"/>
    <w:rsid w:val="37D44BCF"/>
    <w:rsid w:val="38066D52"/>
    <w:rsid w:val="38AC5B4C"/>
    <w:rsid w:val="38FD63A7"/>
    <w:rsid w:val="39736669"/>
    <w:rsid w:val="39B06F76"/>
    <w:rsid w:val="3AD924FC"/>
    <w:rsid w:val="3B334302"/>
    <w:rsid w:val="3B436B75"/>
    <w:rsid w:val="3B5D137F"/>
    <w:rsid w:val="3BC35686"/>
    <w:rsid w:val="3C8F37BA"/>
    <w:rsid w:val="3D17730C"/>
    <w:rsid w:val="3DFA2EB5"/>
    <w:rsid w:val="3F010273"/>
    <w:rsid w:val="3F47212A"/>
    <w:rsid w:val="40EF4827"/>
    <w:rsid w:val="427A45C5"/>
    <w:rsid w:val="433F1BDA"/>
    <w:rsid w:val="450C528F"/>
    <w:rsid w:val="46804174"/>
    <w:rsid w:val="472471F5"/>
    <w:rsid w:val="47FB61A8"/>
    <w:rsid w:val="4AFD2237"/>
    <w:rsid w:val="4B187071"/>
    <w:rsid w:val="4B663938"/>
    <w:rsid w:val="4C0D46FC"/>
    <w:rsid w:val="4C6205A3"/>
    <w:rsid w:val="4CA7245A"/>
    <w:rsid w:val="4CC64514"/>
    <w:rsid w:val="4DE206D7"/>
    <w:rsid w:val="4E0F475B"/>
    <w:rsid w:val="4E402B66"/>
    <w:rsid w:val="4E963F8A"/>
    <w:rsid w:val="500E27F0"/>
    <w:rsid w:val="5043693E"/>
    <w:rsid w:val="51AB6507"/>
    <w:rsid w:val="51AB7F94"/>
    <w:rsid w:val="51FD48CA"/>
    <w:rsid w:val="53034162"/>
    <w:rsid w:val="533874DA"/>
    <w:rsid w:val="53F67036"/>
    <w:rsid w:val="55057618"/>
    <w:rsid w:val="55B47B2D"/>
    <w:rsid w:val="565C6063"/>
    <w:rsid w:val="57770C7B"/>
    <w:rsid w:val="57C77E54"/>
    <w:rsid w:val="5814296E"/>
    <w:rsid w:val="58BA52C3"/>
    <w:rsid w:val="59413C36"/>
    <w:rsid w:val="5C1318BA"/>
    <w:rsid w:val="5CBF5ED7"/>
    <w:rsid w:val="5D0013F6"/>
    <w:rsid w:val="5D047455"/>
    <w:rsid w:val="5EA42C9D"/>
    <w:rsid w:val="601856F1"/>
    <w:rsid w:val="60AE7E03"/>
    <w:rsid w:val="60BF3DBF"/>
    <w:rsid w:val="60E47381"/>
    <w:rsid w:val="6186668A"/>
    <w:rsid w:val="63EB60FE"/>
    <w:rsid w:val="64117B31"/>
    <w:rsid w:val="675B4115"/>
    <w:rsid w:val="67E91721"/>
    <w:rsid w:val="6A440E91"/>
    <w:rsid w:val="6B2D401B"/>
    <w:rsid w:val="6B95409A"/>
    <w:rsid w:val="6D8E6FF3"/>
    <w:rsid w:val="6DE035C6"/>
    <w:rsid w:val="6E5374B8"/>
    <w:rsid w:val="6EE844E0"/>
    <w:rsid w:val="6F1277AF"/>
    <w:rsid w:val="70A80893"/>
    <w:rsid w:val="70DC62C7"/>
    <w:rsid w:val="71436346"/>
    <w:rsid w:val="716D6F1F"/>
    <w:rsid w:val="729A01E8"/>
    <w:rsid w:val="7443665D"/>
    <w:rsid w:val="74DA2B1D"/>
    <w:rsid w:val="753B10E2"/>
    <w:rsid w:val="77550B81"/>
    <w:rsid w:val="77DA4BE2"/>
    <w:rsid w:val="77F5542F"/>
    <w:rsid w:val="78127E98"/>
    <w:rsid w:val="787119EB"/>
    <w:rsid w:val="79DC10E6"/>
    <w:rsid w:val="7A886B78"/>
    <w:rsid w:val="7A8D08B2"/>
    <w:rsid w:val="7AC676A0"/>
    <w:rsid w:val="7C084414"/>
    <w:rsid w:val="7C7B2E38"/>
    <w:rsid w:val="7E0B3D48"/>
    <w:rsid w:val="7F3E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2303</Words>
  <Characters>2375</Characters>
  <Lines>0</Lines>
  <Paragraphs>0</Paragraphs>
  <TotalTime>0</TotalTime>
  <ScaleCrop>false</ScaleCrop>
  <LinksUpToDate>false</LinksUpToDate>
  <CharactersWithSpaces>2375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2023-06-07T01:21:00Z</dcterms:created>
  <dc:creator>Administrator</dc:creator>
  <cp:lastModifiedBy>Decade*</cp:lastModifiedBy>
  <cp:lastPrinted>2024-10-25T09:19:00Z</cp:lastPrinted>
  <dcterms:modified xsi:type="dcterms:W3CDTF">2026-04-30T02:28:08Z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8B6760C9760C428D8ADFD384BF3266E3_13</vt:lpwstr>
  </property>
  <property fmtid="{D5CDD505-2E9C-101B-9397-08002B2CF9AE}" pid="4" name="KSOTemplateDocerSaveRecord">
    <vt:lpwstr>eyJoZGlkIjoiZTQ4ODQwNThiYTg4YTBlNDhkZDRmNGNiNWM5NWE1YzAiLCJ1c2VySWQiOiI1NTkxMzk0MTkifQ==</vt:lpwstr>
  </property>
</Properties>
</file>