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kinsoku/>
        <w:wordWrap/>
        <w:overflowPunct/>
        <w:topLinePunct w:val="0"/>
        <w:bidi w:val="0"/>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2024-2025学年度第一学期</w:t>
      </w:r>
    </w:p>
    <w:p>
      <w:pPr>
        <w:pageBreakBefore w:val="0"/>
        <w:numPr>
          <w:ilvl w:val="0"/>
          <w:numId w:val="0"/>
        </w:numPr>
        <w:kinsoku/>
        <w:wordWrap/>
        <w:overflowPunct/>
        <w:topLinePunct w:val="0"/>
        <w:bidi w:val="0"/>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44"/>
          <w:szCs w:val="44"/>
          <w:lang w:val="en-US" w:eastAsia="zh-CN"/>
        </w:rPr>
        <w:t>教学工作计划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本学期，我校以</w:t>
      </w:r>
      <w:bookmarkStart w:id="1" w:name="_GoBack"/>
      <w:bookmarkEnd w:id="1"/>
      <w:r>
        <w:rPr>
          <w:rFonts w:hint="eastAsia" w:ascii="仿宋_GB2312" w:hAnsi="仿宋_GB2312" w:eastAsia="仿宋_GB2312" w:cs="仿宋_GB2312"/>
          <w:sz w:val="32"/>
          <w:szCs w:val="32"/>
          <w:lang w:val="en-US" w:eastAsia="zh-CN"/>
        </w:rPr>
        <w:t>培育核心素养为目标，以课堂教学研究为重点，积极打造“读写立人”品牌，坚持教学中心，全面提升教学质量，促进学生身心健康全面发展，做到“教师发展，学生发展，学校发展”和谐同步，提升精气神，强化执行力，努力办好人民满意的教育。</w:t>
      </w:r>
    </w:p>
    <w:p>
      <w:pPr>
        <w:pageBreakBefore w:val="0"/>
        <w:numPr>
          <w:ilvl w:val="0"/>
          <w:numId w:val="0"/>
        </w:numPr>
        <w:kinsoku/>
        <w:wordWrap/>
        <w:overflowPunct/>
        <w:topLinePunct w:val="0"/>
        <w:bidi w:val="0"/>
        <w:spacing w:line="560" w:lineRule="exac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b w:val="0"/>
          <w:bCs/>
          <w:color w:val="000000" w:themeColor="text1"/>
          <w:kern w:val="2"/>
          <w:sz w:val="32"/>
          <w:szCs w:val="32"/>
          <w:lang w:val="en-US" w:eastAsia="zh-CN" w:bidi="ar-SA"/>
          <w14:textFill>
            <w14:solidFill>
              <w14:schemeClr w14:val="tx1"/>
            </w14:solidFill>
          </w14:textFill>
        </w:rPr>
        <w:t>（一）抓实教学常规，向管理要质量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1.规范办学有行动。</w:t>
      </w:r>
      <w:r>
        <w:rPr>
          <w:rFonts w:hint="eastAsia" w:ascii="仿宋_GB2312" w:hAnsi="仿宋_GB2312" w:eastAsia="仿宋_GB2312" w:cs="仿宋_GB2312"/>
          <w:sz w:val="32"/>
          <w:szCs w:val="32"/>
          <w:lang w:val="en-US" w:eastAsia="zh-CN"/>
        </w:rPr>
        <w:t>引领教师学习教育部办公厅印发《关于开展基础教育“规范管理年”行动的通知》，学习解读《基础教育规范管理主要依据清单》及《山东省普通中小学办学基本规范》要求，进一步统一思想，形成工作合力。根据山东省教育厅《关于印发山东省义务教育课程实施办法（试行）的通知》文件要求，开齐课程，开足课时，上好每节课，提升学校办学规范化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2.集体备课有实效。</w:t>
      </w:r>
      <w:r>
        <w:rPr>
          <w:rFonts w:hint="eastAsia" w:ascii="仿宋_GB2312" w:hAnsi="仿宋_GB2312" w:eastAsia="仿宋_GB2312" w:cs="仿宋_GB2312"/>
          <w:b w:val="0"/>
          <w:bCs w:val="0"/>
          <w:sz w:val="32"/>
          <w:szCs w:val="32"/>
          <w:lang w:val="en-US" w:eastAsia="zh-CN"/>
        </w:rPr>
        <w:t>实行教研组长负责制，注重集体备课的实效。落实课程标准、教材的研读，整合课程资源；落实重难点突破设计、教与学基本方法策略设计、教学情境设计；进行学习活动设计，探究学习方案；围绕课堂教学内容，明确教学时间的分配和教学环节的衔接，落实课堂讲与练、巩固与提升，进行当堂检测题目研究。</w:t>
      </w:r>
      <w:r>
        <w:rPr>
          <w:rFonts w:hint="eastAsia" w:ascii="仿宋_GB2312" w:hAnsi="仿宋_GB2312" w:eastAsia="仿宋_GB2312" w:cs="仿宋_GB2312"/>
          <w:sz w:val="32"/>
          <w:szCs w:val="32"/>
          <w:lang w:val="en-US" w:eastAsia="zh-CN"/>
        </w:rPr>
        <w:t>突出集中研讨和单元先行课两环节，学科干部要通过全面巡查和重点参与相结合的办法抓好落实。教务处将通过平时检查与随堂抽查相结合的办法，加大对教研组集体备课的督查，结果及时反馈给教研组并限时整改。</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sz w:val="32"/>
          <w:szCs w:val="32"/>
          <w:shd w:val="clear" w:color="auto" w:fill="FFFFFF"/>
          <w:lang w:val="en-US"/>
        </w:rPr>
      </w:pPr>
      <w:r>
        <w:rPr>
          <w:rFonts w:hint="eastAsia" w:ascii="仿宋" w:hAnsi="仿宋" w:eastAsia="仿宋" w:cs="仿宋"/>
          <w:b/>
          <w:bCs/>
          <w:sz w:val="32"/>
          <w:szCs w:val="32"/>
          <w:shd w:val="clear" w:color="auto" w:fill="FFFFFF"/>
          <w:lang w:val="en-US" w:eastAsia="zh-CN"/>
        </w:rPr>
        <w:t>3.实施诊断指导机制。</w:t>
      </w:r>
      <w:r>
        <w:rPr>
          <w:rFonts w:hint="eastAsia" w:ascii="仿宋_GB2312" w:hAnsi="仿宋_GB2312" w:eastAsia="仿宋_GB2312" w:cs="仿宋_GB2312"/>
          <w:b w:val="0"/>
          <w:bCs w:val="0"/>
          <w:kern w:val="2"/>
          <w:sz w:val="32"/>
          <w:szCs w:val="32"/>
          <w:lang w:val="en-US" w:eastAsia="zh-CN" w:bidi="ar-SA"/>
        </w:rPr>
        <w:t>大力实行诊断指导机制，各学科干部主动提前介入，从常规和课堂两个方面高效起步。一是加强常规项目的立标，人人明确各项目标准；紧盯过程的指导与改进、检查与比较，助推常规质效提升。二是加强课堂的诊断指导，重点关注新教师课堂教学情况，听课发现问题，评课指出问题，指导改进问题，一对一跟踪、诊断、指导。学科干部、学科师傅、教研组长齐抓共管，形成合力，帮助教师迅速改进教学，提升课堂品质。</w:t>
      </w:r>
    </w:p>
    <w:p>
      <w:pPr>
        <w:numPr>
          <w:ilvl w:val="0"/>
          <w:numId w:val="0"/>
        </w:numPr>
        <w:ind w:firstLine="643" w:firstLineChars="200"/>
        <w:rPr>
          <w:rFonts w:hint="eastAsia" w:ascii="仿宋" w:hAnsi="仿宋" w:eastAsia="仿宋" w:cs="仿宋"/>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4.抓实“三个过关”。</w:t>
      </w:r>
      <w:r>
        <w:rPr>
          <w:rFonts w:hint="eastAsia" w:ascii="仿宋_GB2312" w:hAnsi="仿宋_GB2312" w:eastAsia="仿宋_GB2312" w:cs="仿宋_GB2312"/>
          <w:b w:val="0"/>
          <w:bCs w:val="0"/>
          <w:sz w:val="32"/>
          <w:szCs w:val="32"/>
          <w:lang w:val="en-US" w:eastAsia="zh-CN"/>
        </w:rPr>
        <w:t>实行业务干部负责制，</w:t>
      </w:r>
      <w:r>
        <w:rPr>
          <w:rFonts w:hint="eastAsia" w:ascii="仿宋_GB2312" w:hAnsi="仿宋_GB2312" w:eastAsia="仿宋_GB2312" w:cs="仿宋_GB2312"/>
          <w:sz w:val="32"/>
          <w:szCs w:val="32"/>
          <w:lang w:val="en-US" w:eastAsia="zh-CN"/>
        </w:rPr>
        <w:t>加强学科能力素养点的序列研究，深化新课标背景下基于核心素养考查的命题研究，抓实当堂过关、重难点专项过关、单元过关。各教研</w:t>
      </w:r>
      <w:r>
        <w:rPr>
          <w:rFonts w:hint="eastAsia" w:ascii="仿宋_GB2312" w:hAnsi="仿宋_GB2312" w:eastAsia="仿宋_GB2312" w:cs="仿宋_GB2312"/>
          <w:sz w:val="32"/>
          <w:szCs w:val="32"/>
        </w:rPr>
        <w:t>组要从单元整体教学角度，把握单元教学重难点，梳理每课知识点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易错点，</w:t>
      </w:r>
      <w:r>
        <w:rPr>
          <w:rFonts w:hint="eastAsia" w:ascii="仿宋_GB2312" w:hAnsi="仿宋_GB2312" w:eastAsia="仿宋_GB2312" w:cs="仿宋_GB2312"/>
          <w:sz w:val="32"/>
          <w:szCs w:val="32"/>
        </w:rPr>
        <w:t>精心编写当堂过关题、</w:t>
      </w:r>
      <w:r>
        <w:rPr>
          <w:rFonts w:hint="eastAsia" w:ascii="仿宋_GB2312" w:hAnsi="仿宋_GB2312" w:eastAsia="仿宋_GB2312" w:cs="仿宋_GB2312"/>
          <w:sz w:val="32"/>
          <w:szCs w:val="32"/>
          <w:lang w:val="en-US" w:eastAsia="zh-CN"/>
        </w:rPr>
        <w:t>重难点</w:t>
      </w:r>
      <w:r>
        <w:rPr>
          <w:rFonts w:hint="eastAsia" w:ascii="仿宋_GB2312" w:hAnsi="仿宋_GB2312" w:eastAsia="仿宋_GB2312" w:cs="仿宋_GB2312"/>
          <w:sz w:val="32"/>
          <w:szCs w:val="32"/>
        </w:rPr>
        <w:t>专项过关题，</w:t>
      </w:r>
      <w:r>
        <w:rPr>
          <w:rFonts w:hint="eastAsia" w:ascii="仿宋_GB2312" w:hAnsi="仿宋_GB2312" w:eastAsia="仿宋_GB2312" w:cs="仿宋_GB2312"/>
          <w:sz w:val="32"/>
          <w:szCs w:val="32"/>
          <w:lang w:val="en-US" w:eastAsia="zh-CN"/>
        </w:rPr>
        <w:t>当堂过关每日一测，</w:t>
      </w:r>
      <w:bookmarkStart w:id="0" w:name="OLE_LINK1"/>
      <w:r>
        <w:rPr>
          <w:rFonts w:hint="eastAsia" w:ascii="仿宋_GB2312" w:hAnsi="仿宋_GB2312" w:eastAsia="仿宋_GB2312" w:cs="仿宋_GB2312"/>
          <w:sz w:val="32"/>
          <w:szCs w:val="32"/>
          <w:lang w:val="en-US" w:eastAsia="zh-CN"/>
        </w:rPr>
        <w:t>重难点</w:t>
      </w:r>
      <w:r>
        <w:rPr>
          <w:rFonts w:hint="eastAsia" w:ascii="仿宋_GB2312" w:hAnsi="仿宋_GB2312" w:eastAsia="仿宋_GB2312" w:cs="仿宋_GB2312"/>
          <w:sz w:val="32"/>
          <w:szCs w:val="32"/>
        </w:rPr>
        <w:t>专项过</w:t>
      </w:r>
      <w:bookmarkEnd w:id="0"/>
      <w:r>
        <w:rPr>
          <w:rFonts w:hint="eastAsia" w:ascii="仿宋_GB2312" w:hAnsi="仿宋_GB2312" w:eastAsia="仿宋_GB2312" w:cs="仿宋_GB2312"/>
          <w:sz w:val="32"/>
          <w:szCs w:val="32"/>
          <w:lang w:val="en-US" w:eastAsia="zh-CN"/>
        </w:rPr>
        <w:t>关每周次一次。</w:t>
      </w:r>
      <w:r>
        <w:rPr>
          <w:rFonts w:hint="eastAsia" w:ascii="仿宋_GB2312" w:hAnsi="仿宋_GB2312" w:eastAsia="仿宋_GB2312" w:cs="仿宋_GB2312"/>
          <w:sz w:val="32"/>
          <w:szCs w:val="32"/>
        </w:rPr>
        <w:t>各教研组在每个单元教学内容完成后，必须进行单元</w:t>
      </w:r>
      <w:r>
        <w:rPr>
          <w:rFonts w:hint="eastAsia" w:ascii="仿宋_GB2312" w:hAnsi="仿宋_GB2312" w:eastAsia="仿宋_GB2312" w:cs="仿宋_GB2312"/>
          <w:sz w:val="32"/>
          <w:szCs w:val="32"/>
          <w:lang w:val="en-US" w:eastAsia="zh-CN"/>
        </w:rPr>
        <w:t>过关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并抓实薄弱学生的二次过关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各学科要加强资源建设，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三过关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题目要不断完善修改</w:t>
      </w:r>
      <w:r>
        <w:rPr>
          <w:rFonts w:hint="eastAsia" w:ascii="仿宋_GB2312" w:hAnsi="仿宋_GB2312" w:eastAsia="仿宋_GB2312" w:cs="仿宋_GB2312"/>
          <w:sz w:val="32"/>
          <w:szCs w:val="32"/>
        </w:rPr>
        <w:t>形成题库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全校共享</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shd w:val="clear" w:color="auto" w:fill="FFFFFF"/>
          <w:lang w:val="en-US" w:eastAsia="zh-CN"/>
        </w:rPr>
        <w:t>5.培优提弱有目标。</w:t>
      </w:r>
      <w:r>
        <w:rPr>
          <w:rFonts w:hint="eastAsia" w:ascii="仿宋_GB2312" w:hAnsi="仿宋_GB2312" w:eastAsia="仿宋_GB2312" w:cs="仿宋_GB2312"/>
          <w:kern w:val="0"/>
          <w:sz w:val="32"/>
          <w:szCs w:val="32"/>
          <w:shd w:val="clear" w:color="auto" w:fill="FFFFFF"/>
          <w:lang w:val="en-US" w:eastAsia="zh-CN"/>
        </w:rPr>
        <w:t>各学科教师</w:t>
      </w:r>
      <w:r>
        <w:rPr>
          <w:rFonts w:hint="eastAsia" w:ascii="仿宋_GB2312" w:hAnsi="仿宋_GB2312" w:eastAsia="仿宋_GB2312" w:cs="仿宋_GB2312"/>
          <w:kern w:val="0"/>
          <w:sz w:val="32"/>
          <w:szCs w:val="32"/>
          <w:shd w:val="clear" w:color="auto" w:fill="FFFFFF"/>
        </w:rPr>
        <w:t>既要为学困生提供发展的机会，也要为优秀生提供上升的空间。</w:t>
      </w:r>
      <w:r>
        <w:rPr>
          <w:rFonts w:hint="eastAsia" w:ascii="仿宋_GB2312" w:hAnsi="仿宋_GB2312" w:eastAsia="仿宋_GB2312" w:cs="仿宋_GB2312"/>
          <w:kern w:val="0"/>
          <w:sz w:val="32"/>
          <w:szCs w:val="32"/>
          <w:shd w:val="clear" w:color="auto" w:fill="FFFFFF"/>
          <w:lang w:val="en-US" w:eastAsia="zh-CN"/>
        </w:rPr>
        <w:t>对学困生课堂是多表扬勤提问，课后针对性帮扶，建立成长记录表，不断增强其学习的信心和兴趣。同时要研究优秀学生的薄弱点，从而落实教学针对性，提高教学质量。</w:t>
      </w:r>
      <w:r>
        <w:rPr>
          <w:rFonts w:hint="eastAsia" w:ascii="仿宋_GB2312" w:hAnsi="仿宋_GB2312" w:eastAsia="仿宋_GB2312" w:cs="仿宋_GB2312"/>
          <w:b w:val="0"/>
          <w:bCs w:val="0"/>
          <w:sz w:val="32"/>
          <w:szCs w:val="32"/>
          <w:lang w:val="en-US" w:eastAsia="zh-CN"/>
        </w:rPr>
        <w:t>加强创新人才培养，</w:t>
      </w:r>
      <w:r>
        <w:rPr>
          <w:rFonts w:hint="eastAsia" w:ascii="仿宋_GB2312" w:hAnsi="仿宋_GB2312" w:eastAsia="仿宋_GB2312" w:cs="仿宋_GB2312"/>
          <w:b w:val="0"/>
          <w:bCs/>
          <w:color w:val="000000"/>
          <w:spacing w:val="0"/>
          <w:sz w:val="32"/>
          <w:szCs w:val="32"/>
          <w:u w:val="none"/>
          <w:lang w:val="en-US" w:eastAsia="zh-CN"/>
        </w:rPr>
        <w:t>加强培训师资培养，完善培训机制，提升培训实效。</w:t>
      </w:r>
      <w:r>
        <w:rPr>
          <w:rFonts w:hint="eastAsia" w:ascii="仿宋_GB2312" w:hAnsi="仿宋_GB2312" w:eastAsia="仿宋_GB2312" w:cs="仿宋_GB2312"/>
          <w:sz w:val="32"/>
          <w:szCs w:val="32"/>
          <w:lang w:val="en-US" w:eastAsia="zh-CN"/>
        </w:rPr>
        <w:t>五六年级开学第一周着手素养培训，制订好培训计划，选好培训教师，精选培训内容，各学科干部做好过程持续跟进，力争在上级比赛中取得好成绩。</w:t>
      </w:r>
    </w:p>
    <w:p>
      <w:pPr>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（二）优化课程建设，深化教学改革</w:t>
      </w:r>
    </w:p>
    <w:p>
      <w:pPr>
        <w:pageBreakBefore w:val="0"/>
        <w:numPr>
          <w:ilvl w:val="0"/>
          <w:numId w:val="0"/>
        </w:numPr>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课程标准为导向，持续优化学校课程建设。构建目标导向自上而下的课程体系整体架构，推进大单元教学、跨学科教学、项目式教学，探索形成具有学校特色的教学新样态，提升教师的课程设计能力和实践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FF"/>
          <w:kern w:val="0"/>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1.加强新课标学习。</w:t>
      </w:r>
      <w:r>
        <w:rPr>
          <w:rFonts w:hint="eastAsia" w:ascii="仿宋_GB2312" w:hAnsi="仿宋_GB2312" w:eastAsia="仿宋_GB2312" w:cs="仿宋_GB2312"/>
          <w:sz w:val="32"/>
          <w:szCs w:val="32"/>
          <w:lang w:val="en-US" w:eastAsia="zh-CN"/>
        </w:rPr>
        <w:t>继续深入学习新课标，</w:t>
      </w:r>
      <w:r>
        <w:rPr>
          <w:rFonts w:hint="eastAsia" w:ascii="仿宋_GB2312" w:hAnsi="仿宋_GB2312" w:eastAsia="仿宋_GB2312" w:cs="仿宋_GB2312"/>
          <w:sz w:val="32"/>
          <w:szCs w:val="32"/>
        </w:rPr>
        <w:t>科学制定本学期学科培训计划，通过专家讲座、专题培训、团队研讨、个体自学等多种形式，线上线下双途径相结合，开展</w:t>
      </w:r>
      <w:r>
        <w:rPr>
          <w:rFonts w:hint="eastAsia" w:ascii="仿宋_GB2312" w:hAnsi="仿宋_GB2312" w:eastAsia="仿宋_GB2312" w:cs="仿宋_GB2312"/>
          <w:sz w:val="32"/>
          <w:szCs w:val="32"/>
          <w:lang w:val="en-US" w:eastAsia="zh-CN"/>
        </w:rPr>
        <w:t>学习培训，</w:t>
      </w:r>
      <w:r>
        <w:rPr>
          <w:rFonts w:hint="eastAsia" w:ascii="仿宋_GB2312" w:hAnsi="仿宋_GB2312" w:eastAsia="仿宋_GB2312" w:cs="仿宋_GB2312"/>
          <w:sz w:val="32"/>
          <w:szCs w:val="32"/>
        </w:rPr>
        <w:t>研究各学科核心素养落地的路径和策略</w:t>
      </w:r>
      <w:r>
        <w:rPr>
          <w:rFonts w:hint="eastAsia" w:ascii="仿宋_GB2312" w:hAnsi="仿宋_GB2312" w:eastAsia="仿宋_GB2312" w:cs="仿宋_GB2312"/>
          <w:sz w:val="32"/>
          <w:szCs w:val="32"/>
          <w:lang w:val="en-US" w:eastAsia="zh-CN"/>
        </w:rPr>
        <w:t>。</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加强新课标</w:t>
      </w:r>
      <w:r>
        <w:rPr>
          <w:rFonts w:hint="eastAsia" w:ascii="仿宋_GB2312" w:hAnsi="仿宋_GB2312" w:eastAsia="仿宋_GB2312" w:cs="仿宋_GB2312"/>
          <w:b/>
          <w:bCs/>
          <w:sz w:val="32"/>
          <w:szCs w:val="32"/>
          <w:lang w:val="en-US" w:eastAsia="zh-CN"/>
        </w:rPr>
        <w:t>理念下的教学研究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进行“大单元教学”实践研究。</w:t>
      </w:r>
      <w:r>
        <w:rPr>
          <w:rFonts w:hint="eastAsia" w:ascii="仿宋_GB2312" w:hAnsi="仿宋_GB2312" w:eastAsia="仿宋_GB2312" w:cs="仿宋_GB2312"/>
          <w:sz w:val="32"/>
          <w:szCs w:val="32"/>
          <w:lang w:val="en-US" w:eastAsia="zh-CN"/>
        </w:rPr>
        <w:t>各学科聚焦核心素养根本，大力推动“大单元教学”研究，从选择单元主题、设置情景任务、确定单元目标、设计评价量表、设计学习活动五个方面引导学生经历学习过程，学会学习，真正做到由关注教师的教转向关注学生的学，从学生中心走向以学习为中心，推动教学方式变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 w:afterAutospacing="0" w:line="560" w:lineRule="exact"/>
        <w:ind w:left="0" w:right="0"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lang w:val="en-US" w:eastAsia="zh-CN"/>
        </w:rPr>
        <w:t>开展跨学科学习、项目式学习。</w:t>
      </w:r>
      <w:r>
        <w:rPr>
          <w:rFonts w:hint="eastAsia" w:ascii="仿宋_GB2312" w:hAnsi="仿宋_GB2312" w:eastAsia="仿宋_GB2312" w:cs="仿宋_GB2312"/>
          <w:b w:val="0"/>
          <w:bCs w:val="0"/>
          <w:sz w:val="32"/>
          <w:szCs w:val="32"/>
          <w:lang w:val="en-US" w:eastAsia="zh-CN"/>
        </w:rPr>
        <w:t>积极开展跨学科学习，</w:t>
      </w:r>
      <w:r>
        <w:rPr>
          <w:rFonts w:hint="eastAsia" w:ascii="仿宋_GB2312" w:hAnsi="仿宋_GB2312" w:eastAsia="仿宋_GB2312" w:cs="仿宋_GB2312"/>
          <w:b w:val="0"/>
          <w:bCs w:val="0"/>
          <w:kern w:val="2"/>
          <w:sz w:val="32"/>
          <w:szCs w:val="32"/>
          <w:lang w:val="en-US" w:eastAsia="zh-CN" w:bidi="ar-SA"/>
        </w:rPr>
        <w:t>围绕某一主题，以学生为中心、以问题为导向、以真实情境为基础、打通学科界限，开展具有实践属性和跨学科属性的教学研究。开展项目式学习，引导学生</w:t>
      </w:r>
      <w:r>
        <w:rPr>
          <w:rFonts w:hint="default" w:ascii="仿宋_GB2312" w:hAnsi="仿宋_GB2312" w:eastAsia="仿宋_GB2312" w:cs="仿宋_GB2312"/>
          <w:b w:val="0"/>
          <w:bCs w:val="0"/>
          <w:kern w:val="2"/>
          <w:sz w:val="32"/>
          <w:szCs w:val="32"/>
          <w:lang w:val="en-US" w:eastAsia="zh-CN" w:bidi="ar-SA"/>
        </w:rPr>
        <w:t>对真实的、复杂的问题进行探究</w:t>
      </w:r>
      <w:r>
        <w:rPr>
          <w:rFonts w:hint="eastAsia" w:ascii="仿宋_GB2312" w:hAnsi="仿宋_GB2312" w:eastAsia="仿宋_GB2312" w:cs="仿宋_GB2312"/>
          <w:b w:val="0"/>
          <w:bCs w:val="0"/>
          <w:kern w:val="2"/>
          <w:sz w:val="32"/>
          <w:szCs w:val="32"/>
          <w:lang w:val="en-US" w:eastAsia="zh-CN" w:bidi="ar-SA"/>
        </w:rPr>
        <w:t>，通过主动参与、实践创新、团队合作等方式，提高学生的综合素质和创新能力。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继续推</w:t>
      </w:r>
      <w:r>
        <w:rPr>
          <w:rFonts w:hint="eastAsia" w:ascii="仿宋_GB2312" w:hAnsi="仿宋_GB2312" w:eastAsia="仿宋_GB2312" w:cs="仿宋_GB2312"/>
          <w:b/>
          <w:bCs/>
          <w:sz w:val="32"/>
          <w:szCs w:val="32"/>
          <w:lang w:val="en-US" w:eastAsia="zh-CN"/>
        </w:rPr>
        <w:t>进课堂教学展示。</w:t>
      </w:r>
      <w:r>
        <w:rPr>
          <w:rFonts w:hint="eastAsia" w:ascii="仿宋_GB2312" w:hAnsi="仿宋_GB2312" w:eastAsia="仿宋_GB2312" w:cs="仿宋_GB2312"/>
          <w:b w:val="0"/>
          <w:bCs w:val="0"/>
          <w:kern w:val="2"/>
          <w:sz w:val="32"/>
          <w:szCs w:val="32"/>
          <w:lang w:val="en-US" w:eastAsia="zh-CN" w:bidi="ar-SA"/>
        </w:rPr>
        <w:t>以“达标课”“骨干教师示范课”“经典课”等为抓手，聚焦“目标意识，学为中心”这一重点，加强任务单引领下的学生活动研究力度，落实“板块设计，活动推进、任务驱动、当堂检测”课堂教学模式，让学生站在课堂中央，发挥学生学习主体性和主动性，践行新课标精神，提升课堂教学效率，推进学生核心素养提升。</w:t>
      </w:r>
    </w:p>
    <w:p>
      <w:pPr>
        <w:pageBreakBefore w:val="0"/>
        <w:kinsoku/>
        <w:wordWrap/>
        <w:overflowPunct/>
        <w:topLinePunct w:val="0"/>
        <w:bidi w:val="0"/>
        <w:spacing w:line="560" w:lineRule="exact"/>
        <w:ind w:firstLine="643" w:firstLineChars="200"/>
        <w:textAlignment w:val="auto"/>
        <w:rPr>
          <w:rFonts w:hint="eastAsia" w:ascii="楷体" w:hAnsi="楷体" w:eastAsia="楷体"/>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.重视</w:t>
      </w:r>
      <w:r>
        <w:rPr>
          <w:rFonts w:hint="eastAsia" w:ascii="仿宋_GB2312" w:hAnsi="仿宋_GB2312" w:eastAsia="仿宋_GB2312" w:cs="仿宋_GB2312"/>
          <w:b/>
          <w:bCs/>
          <w:color w:val="auto"/>
          <w:sz w:val="32"/>
          <w:szCs w:val="32"/>
          <w:lang w:val="en-US" w:eastAsia="zh-CN"/>
        </w:rPr>
        <w:t>科学</w:t>
      </w:r>
      <w:r>
        <w:rPr>
          <w:rFonts w:hint="eastAsia" w:ascii="仿宋_GB2312" w:hAnsi="仿宋_GB2312" w:eastAsia="仿宋_GB2312" w:cs="仿宋_GB2312"/>
          <w:b/>
          <w:bCs/>
          <w:color w:val="auto"/>
          <w:sz w:val="32"/>
          <w:szCs w:val="32"/>
        </w:rPr>
        <w:t>实验教学</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sz w:val="32"/>
          <w:szCs w:val="32"/>
          <w:lang w:val="en-US" w:eastAsia="zh-CN"/>
        </w:rPr>
        <w:t>进一步研究课程标准和教材，聚焦科学重点领域和关键环节，深入研究科学课堂教学的有效性，研究新时期下的实验教学管理，落实科学质量监控，坚持每堂课预留5分钟过关测试，及时掌握不过关学生具体情况，采取有针对性的跟进帮扶措施，借助畅言平台每周进行实验操作巩固。组织学生积极参加第六届校园科技节系列活动，激发学生对科学的热爱，提升科学素养。</w:t>
      </w:r>
    </w:p>
    <w:p>
      <w:pPr>
        <w:pageBreakBefore w:val="0"/>
        <w:kinsoku/>
        <w:wordWrap/>
        <w:overflowPunct/>
        <w:topLinePunct w:val="0"/>
        <w:bidi w:val="0"/>
        <w:spacing w:line="560" w:lineRule="exact"/>
        <w:ind w:firstLine="643" w:firstLineChars="200"/>
        <w:textAlignment w:val="auto"/>
        <w:rPr>
          <w:rFonts w:hint="eastAsia" w:ascii="仿宋" w:hAnsi="仿宋" w:eastAsia="仿宋"/>
          <w:sz w:val="32"/>
          <w:szCs w:val="32"/>
        </w:rPr>
      </w:pPr>
      <w:r>
        <w:rPr>
          <w:rFonts w:hint="eastAsia" w:ascii="仿宋_GB2312" w:hAnsi="仿宋_GB2312" w:eastAsia="仿宋_GB2312" w:cs="仿宋_GB2312"/>
          <w:b/>
          <w:bCs/>
          <w:sz w:val="32"/>
          <w:szCs w:val="32"/>
          <w:lang w:val="en-US" w:eastAsia="zh-CN"/>
        </w:rPr>
        <w:t>5.拓展劳动实践途径。</w:t>
      </w:r>
      <w:r>
        <w:rPr>
          <w:rFonts w:hint="eastAsia" w:ascii="仿宋_GB2312" w:hAnsi="仿宋_GB2312" w:eastAsia="仿宋_GB2312" w:cs="仿宋_GB2312"/>
          <w:sz w:val="32"/>
          <w:szCs w:val="32"/>
          <w:lang w:val="en-US" w:eastAsia="zh-CN"/>
        </w:rPr>
        <w:t>劳动课每周不少于1课时，除劳动课程外，积极探索劳动课程实施途径，结合实际，因地制宜开发课程资源和建设实践基地。协调家长、社区，开展家务劳动和志愿服务劳动。每学期组织开展劳动技能和劳动成果展示、劳动竞赛等活动，夯实劳动教育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6.加强艺术体育工作。</w:t>
      </w:r>
      <w:r>
        <w:rPr>
          <w:rFonts w:hint="eastAsia" w:ascii="仿宋_GB2312" w:hAnsi="仿宋_GB2312" w:eastAsia="仿宋_GB2312" w:cs="仿宋_GB2312"/>
          <w:b w:val="0"/>
          <w:bCs w:val="0"/>
          <w:sz w:val="32"/>
          <w:szCs w:val="32"/>
          <w:lang w:val="en-US" w:eastAsia="zh-CN"/>
        </w:rPr>
        <w:t>上</w:t>
      </w:r>
      <w:r>
        <w:rPr>
          <w:rFonts w:hint="eastAsia" w:ascii="仿宋_GB2312" w:hAnsi="仿宋_GB2312" w:eastAsia="仿宋_GB2312" w:cs="仿宋_GB2312"/>
          <w:sz w:val="32"/>
          <w:szCs w:val="32"/>
          <w:lang w:val="en-US" w:eastAsia="zh-CN"/>
        </w:rPr>
        <w:t>好开足体育艺术课程，充分发挥艺术课程在学校美育中的主渠道作用。艺术学科逐步完善“艺术基础知识基本技能+艺术审美体验+艺术专项特长”的教学模式，音乐课继续开展“器乐进课堂”活动。美术课聚焦艺术课程“审美感知、艺术表现、创意实践、文化理解”，引导学生参与文化的传承和交流。体育学科完善“健康知识+基本运动技能+专项运动技能”的学校体育教学模式，扎实落实上级关于“一天一节体育课”和“每天体育锻炼一小时”的要求，充分利用体育课、大课间、体育课外活动加强学生体质健康项目的训练，夯实学生体育技能训练，各年级学生体质达标率达95%以上，逐渐提高优良率，全面提升学生体质健康水平。加强艺体社团建设，常态化开展体育竞赛活动和艺术展演,提升艺体后备人才培养水平。</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_GB2312" w:hAnsi="仿宋_GB2312" w:eastAsia="仿宋_GB2312" w:cs="仿宋_GB2312"/>
          <w:b/>
          <w:bCs/>
          <w:sz w:val="32"/>
          <w:szCs w:val="32"/>
          <w:lang w:val="en-US" w:eastAsia="zh-CN"/>
        </w:rPr>
        <w:t>7.加强心理健康教育。</w:t>
      </w:r>
      <w:r>
        <w:rPr>
          <w:rFonts w:hint="eastAsia" w:ascii="仿宋_GB2312" w:hAnsi="仿宋_GB2312" w:eastAsia="仿宋_GB2312" w:cs="仿宋_GB2312"/>
          <w:sz w:val="32"/>
          <w:szCs w:val="32"/>
          <w:lang w:val="en-US" w:eastAsia="zh-CN"/>
        </w:rPr>
        <w:t>实施学生心理健康促进行动，强化专兼职心理健康教育教师专业培训和班主任心理专题培训；创新心理健康教育课程，开足开好心理健康教育课；常态化开展“校长听评一节心理健康教育课”，把心理健康课上成兴趣课、解压课。进一步做好学生心理健康筛查，构建全面预防、有效预警、及时干预、转介畅通、全程管控的心理健康教育工作体系。通过专家讲座、团体辅导、个体干预等，帮助学生形成健全的人格。</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8.积极探索评价改革。</w:t>
      </w:r>
      <w:r>
        <w:rPr>
          <w:rFonts w:hint="eastAsia" w:ascii="仿宋_GB2312" w:hAnsi="仿宋_GB2312" w:eastAsia="仿宋_GB2312" w:cs="仿宋_GB2312"/>
          <w:sz w:val="32"/>
          <w:szCs w:val="32"/>
          <w:lang w:val="en-US" w:eastAsia="zh-CN"/>
        </w:rPr>
        <w:t>利用山东省综合素质评价平台，完善学生评价机制，根据学科内容及学生年龄段特点分阶段有梯度有针对性的制定测评方式和评价机制。开展好低段“乐考”和中高段的阶段性总结评级，让测评内容和评价方式能有效检测教学效果，从而推动课堂教学的改革。</w:t>
      </w:r>
    </w:p>
    <w:p>
      <w:pPr>
        <w:pStyle w:val="3"/>
        <w:keepNext w:val="0"/>
        <w:keepLines w:val="0"/>
        <w:pageBreakBefore w:val="0"/>
        <w:kinsoku w:val="0"/>
        <w:wordWrap/>
        <w:overflowPunct w:val="0"/>
        <w:topLinePunct w:val="0"/>
        <w:bidi w:val="0"/>
        <w:snapToGrid/>
        <w:spacing w:beforeLines="0" w:afterLines="0" w:line="560" w:lineRule="exact"/>
        <w:ind w:right="0" w:firstLine="640" w:firstLineChars="200"/>
        <w:jc w:val="both"/>
        <w:textAlignment w:val="auto"/>
        <w:rPr>
          <w:rFonts w:hint="eastAsia" w:ascii="楷体" w:hAnsi="楷体" w:eastAsia="楷体"/>
          <w:lang w:val="en-US"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w:t>
      </w:r>
      <w:r>
        <w:rPr>
          <w:rFonts w:hint="eastAsia" w:ascii="楷体_GB2312" w:hAnsi="楷体_GB2312" w:eastAsia="楷体_GB2312" w:cs="楷体_GB2312"/>
          <w:sz w:val="32"/>
          <w:szCs w:val="32"/>
          <w:lang w:val="en-US" w:eastAsia="zh-CN"/>
        </w:rPr>
        <w:t>以人为本，</w:t>
      </w:r>
      <w:r>
        <w:rPr>
          <w:rFonts w:hint="eastAsia" w:ascii="楷体" w:hAnsi="楷体" w:eastAsia="楷体"/>
          <w:lang w:val="en-US" w:eastAsia="zh-CN"/>
        </w:rPr>
        <w:t>提升教师专业素养</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lang w:val="en-US" w:eastAsia="zh-CN"/>
        </w:rPr>
      </w:pPr>
      <w:r>
        <w:rPr>
          <w:rFonts w:hint="eastAsia" w:ascii="楷体_GB2312" w:hAnsi="楷体_GB2312" w:eastAsia="楷体_GB2312" w:cs="楷体_GB2312"/>
          <w:sz w:val="32"/>
          <w:szCs w:val="32"/>
          <w:lang w:val="en-US" w:eastAsia="zh-CN"/>
        </w:rPr>
        <w:t>1.加强三支队伍建设，提升教师专业水平</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加强干部队伍</w:t>
      </w:r>
      <w:r>
        <w:rPr>
          <w:rFonts w:hint="eastAsia" w:ascii="仿宋_GB2312" w:hAnsi="仿宋_GB2312" w:eastAsia="仿宋_GB2312" w:cs="仿宋_GB2312"/>
          <w:b/>
          <w:bCs/>
          <w:sz w:val="32"/>
          <w:szCs w:val="32"/>
          <w:lang w:val="en-US" w:eastAsia="zh-CN"/>
        </w:rPr>
        <w:t>培养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切实加强中层干部培养，通过专家讲座、读书论坛、岗位实践等加强</w:t>
      </w:r>
      <w:r>
        <w:rPr>
          <w:rFonts w:hint="eastAsia" w:ascii="仿宋_GB2312" w:hAnsi="仿宋_GB2312" w:eastAsia="仿宋_GB2312" w:cs="仿宋_GB2312"/>
          <w:sz w:val="32"/>
          <w:szCs w:val="32"/>
        </w:rPr>
        <w:t>干部培训，提高干部学习力、执行力、思考力、落实力，锤炼</w:t>
      </w:r>
      <w:r>
        <w:rPr>
          <w:rFonts w:hint="eastAsia" w:ascii="仿宋_GB2312" w:hAnsi="仿宋_GB2312" w:eastAsia="仿宋_GB2312" w:cs="仿宋_GB2312"/>
          <w:sz w:val="32"/>
          <w:szCs w:val="32"/>
          <w:lang w:val="en-US" w:eastAsia="zh-CN"/>
        </w:rPr>
        <w:t>成长型</w:t>
      </w:r>
      <w:r>
        <w:rPr>
          <w:rFonts w:hint="eastAsia" w:ascii="仿宋_GB2312" w:hAnsi="仿宋_GB2312" w:eastAsia="仿宋_GB2312" w:cs="仿宋_GB2312"/>
          <w:sz w:val="32"/>
          <w:szCs w:val="32"/>
        </w:rPr>
        <w:t>思维</w:t>
      </w:r>
      <w:r>
        <w:rPr>
          <w:rFonts w:hint="eastAsia" w:ascii="仿宋_GB2312" w:hAnsi="仿宋_GB2312" w:eastAsia="仿宋_GB2312" w:cs="仿宋_GB2312"/>
          <w:sz w:val="32"/>
          <w:szCs w:val="32"/>
          <w:lang w:val="en-US" w:eastAsia="zh-CN"/>
        </w:rPr>
        <w:t>模式</w:t>
      </w:r>
      <w:r>
        <w:rPr>
          <w:rFonts w:hint="eastAsia" w:ascii="仿宋_GB2312" w:hAnsi="仿宋_GB2312" w:eastAsia="仿宋_GB2312" w:cs="仿宋_GB2312"/>
          <w:sz w:val="32"/>
          <w:szCs w:val="32"/>
        </w:rPr>
        <w:t>，激发担当作为，</w:t>
      </w:r>
      <w:r>
        <w:rPr>
          <w:rFonts w:hint="eastAsia" w:ascii="仿宋_GB2312" w:hAnsi="仿宋_GB2312" w:eastAsia="仿宋_GB2312" w:cs="仿宋_GB2312"/>
          <w:sz w:val="32"/>
          <w:szCs w:val="32"/>
          <w:lang w:val="en-US" w:eastAsia="zh-CN"/>
        </w:rPr>
        <w:t>履职尽责的使命感</w:t>
      </w:r>
      <w:r>
        <w:rPr>
          <w:rFonts w:hint="eastAsia" w:ascii="仿宋_GB2312" w:hAnsi="仿宋_GB2312" w:eastAsia="仿宋_GB2312" w:cs="仿宋_GB2312"/>
          <w:sz w:val="32"/>
          <w:szCs w:val="32"/>
        </w:rPr>
        <w:t>。继续完善干部双线管理工作机制，推动重点工作攻坚突破，打造一支既有人格魅力又有专业能力的干部队伍。</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（2）强化教研组长</w:t>
      </w:r>
      <w:r>
        <w:rPr>
          <w:rFonts w:hint="eastAsia" w:ascii="仿宋_GB2312" w:hAnsi="仿宋_GB2312" w:eastAsia="仿宋_GB2312" w:cs="仿宋_GB2312"/>
          <w:b/>
          <w:bCs/>
          <w:sz w:val="32"/>
          <w:szCs w:val="32"/>
        </w:rPr>
        <w:t>队伍建设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加强培训，在个人业务能力、教研组建设、增强教研实效等方面加强指导和引领。完善教研组长例会制度，教研经验分享制度。在课堂教学、教学质量等方面实行教研组捆绑评价，团队创优。</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（3）推进骨干教师</w:t>
      </w:r>
      <w:r>
        <w:rPr>
          <w:rFonts w:hint="eastAsia" w:ascii="仿宋_GB2312" w:hAnsi="仿宋_GB2312" w:eastAsia="仿宋_GB2312" w:cs="仿宋_GB2312"/>
          <w:b/>
          <w:bCs/>
          <w:sz w:val="32"/>
          <w:szCs w:val="32"/>
        </w:rPr>
        <w:t>队伍</w:t>
      </w:r>
      <w:r>
        <w:rPr>
          <w:rFonts w:hint="eastAsia" w:ascii="仿宋_GB2312" w:hAnsi="仿宋_GB2312" w:eastAsia="仿宋_GB2312" w:cs="仿宋_GB2312"/>
          <w:b/>
          <w:bCs/>
          <w:sz w:val="32"/>
          <w:szCs w:val="32"/>
          <w:lang w:val="en-US" w:eastAsia="zh-CN"/>
        </w:rPr>
        <w:t>建设</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立足学校现有师资队伍基础，以优化常规管理为抓手，创新培养举措，树立典型。通过制度建设、校本研修，深化高效课堂教学、教师培养梯队建设等方面推进</w:t>
      </w:r>
      <w:r>
        <w:rPr>
          <w:rFonts w:hint="eastAsia" w:ascii="仿宋_GB2312" w:hAnsi="仿宋_GB2312" w:eastAsia="仿宋_GB2312" w:cs="仿宋_GB2312"/>
          <w:b w:val="0"/>
          <w:bCs w:val="0"/>
          <w:sz w:val="32"/>
          <w:szCs w:val="32"/>
          <w:lang w:val="en-US" w:eastAsia="zh-CN"/>
        </w:rPr>
        <w:t>骨干</w:t>
      </w:r>
      <w:r>
        <w:rPr>
          <w:rFonts w:hint="eastAsia" w:ascii="仿宋_GB2312" w:hAnsi="仿宋_GB2312" w:eastAsia="仿宋_GB2312" w:cs="仿宋_GB2312"/>
          <w:b w:val="0"/>
          <w:bCs w:val="0"/>
          <w:sz w:val="32"/>
          <w:szCs w:val="32"/>
        </w:rPr>
        <w:t>教师培养工作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充分发挥</w:t>
      </w:r>
      <w:r>
        <w:rPr>
          <w:rFonts w:hint="eastAsia" w:ascii="仿宋_GB2312" w:hAnsi="仿宋_GB2312" w:eastAsia="仿宋_GB2312" w:cs="仿宋_GB2312"/>
          <w:b w:val="0"/>
          <w:bCs w:val="0"/>
          <w:sz w:val="32"/>
          <w:szCs w:val="32"/>
        </w:rPr>
        <w:t>骨干</w:t>
      </w:r>
      <w:r>
        <w:rPr>
          <w:rFonts w:hint="eastAsia" w:ascii="仿宋_GB2312" w:hAnsi="仿宋_GB2312" w:eastAsia="仿宋_GB2312" w:cs="仿宋_GB2312"/>
          <w:b w:val="0"/>
          <w:bCs w:val="0"/>
          <w:sz w:val="32"/>
          <w:szCs w:val="32"/>
          <w:lang w:val="en-US" w:eastAsia="zh-CN"/>
        </w:rPr>
        <w:t>教师的引领作用</w:t>
      </w:r>
      <w:r>
        <w:rPr>
          <w:rFonts w:hint="eastAsia" w:ascii="仿宋_GB2312" w:hAnsi="仿宋_GB2312" w:eastAsia="仿宋_GB2312" w:cs="仿宋_GB2312"/>
          <w:b w:val="0"/>
          <w:bCs w:val="0"/>
          <w:sz w:val="32"/>
          <w:szCs w:val="32"/>
          <w:lang w:eastAsia="zh-CN"/>
        </w:rPr>
        <w:t>。</w:t>
      </w:r>
    </w:p>
    <w:p>
      <w:pPr>
        <w:pStyle w:val="3"/>
        <w:keepNext w:val="0"/>
        <w:keepLines w:val="0"/>
        <w:pageBreakBefore w:val="0"/>
        <w:kinsoku w:val="0"/>
        <w:wordWrap/>
        <w:overflowPunct w:val="0"/>
        <w:topLinePunct w:val="0"/>
        <w:bidi w:val="0"/>
        <w:snapToGrid/>
        <w:spacing w:beforeLines="0" w:afterLines="0" w:line="560" w:lineRule="exact"/>
        <w:ind w:right="0" w:firstLine="640" w:firstLineChars="200"/>
        <w:jc w:val="both"/>
        <w:textAlignment w:val="auto"/>
        <w:rPr>
          <w:rFonts w:hint="default" w:ascii="仿宋_GB2312" w:hAnsi="仿宋_GB2312" w:eastAsia="仿宋_GB2312" w:cs="仿宋_GB2312"/>
          <w:b/>
          <w:bCs/>
          <w:kern w:val="0"/>
          <w:sz w:val="32"/>
          <w:szCs w:val="32"/>
          <w:shd w:val="clear" w:color="auto" w:fill="FFFFFF"/>
          <w:lang w:val="en-US" w:eastAsia="zh-CN"/>
        </w:rPr>
      </w:pPr>
      <w:r>
        <w:rPr>
          <w:rFonts w:hint="eastAsia" w:ascii="楷体" w:hAnsi="楷体" w:eastAsia="楷体"/>
          <w:lang w:val="en-US" w:eastAsia="zh-CN"/>
        </w:rPr>
        <w:t>2.抓实校本培训，助力教师专业成长</w:t>
      </w:r>
      <w:r>
        <w:rPr>
          <w:rFonts w:hint="eastAsia" w:ascii="仿宋_GB2312" w:hAnsi="仿宋_GB2312" w:eastAsia="仿宋_GB2312" w:cs="仿宋_GB2312"/>
          <w:b/>
          <w:bCs/>
          <w:kern w:val="0"/>
          <w:sz w:val="32"/>
          <w:szCs w:val="32"/>
          <w:shd w:val="clear" w:color="auto" w:fill="FFFFFF"/>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楷体" w:hAnsi="楷体" w:eastAsia="楷体"/>
          <w:lang w:val="en-US" w:eastAsia="zh-CN"/>
        </w:rPr>
      </w:pPr>
      <w:r>
        <w:rPr>
          <w:rFonts w:hint="eastAsia" w:ascii="仿宋_GB2312" w:hAnsi="仿宋_GB2312" w:eastAsia="仿宋_GB2312" w:cs="仿宋_GB2312"/>
          <w:b/>
          <w:bCs w:val="0"/>
          <w:color w:val="000000"/>
          <w:spacing w:val="0"/>
          <w:sz w:val="32"/>
          <w:szCs w:val="32"/>
          <w:u w:val="none"/>
          <w:lang w:eastAsia="zh-CN"/>
        </w:rPr>
        <w:t>（</w:t>
      </w:r>
      <w:r>
        <w:rPr>
          <w:rFonts w:hint="eastAsia" w:ascii="仿宋_GB2312" w:hAnsi="仿宋_GB2312" w:eastAsia="仿宋_GB2312" w:cs="仿宋_GB2312"/>
          <w:b/>
          <w:bCs w:val="0"/>
          <w:color w:val="000000"/>
          <w:spacing w:val="0"/>
          <w:sz w:val="32"/>
          <w:szCs w:val="32"/>
          <w:u w:val="none"/>
          <w:lang w:val="en-US" w:eastAsia="zh-CN"/>
        </w:rPr>
        <w:t>1</w:t>
      </w:r>
      <w:r>
        <w:rPr>
          <w:rFonts w:hint="eastAsia" w:ascii="仿宋_GB2312" w:hAnsi="仿宋_GB2312" w:eastAsia="仿宋_GB2312" w:cs="仿宋_GB2312"/>
          <w:b/>
          <w:bCs w:val="0"/>
          <w:color w:val="000000"/>
          <w:spacing w:val="0"/>
          <w:sz w:val="32"/>
          <w:szCs w:val="32"/>
          <w:u w:val="none"/>
          <w:lang w:eastAsia="zh-CN"/>
        </w:rPr>
        <w:t>）</w:t>
      </w:r>
      <w:r>
        <w:rPr>
          <w:rFonts w:hint="eastAsia" w:ascii="仿宋_GB2312" w:hAnsi="仿宋_GB2312" w:eastAsia="仿宋_GB2312" w:cs="仿宋_GB2312"/>
          <w:b/>
          <w:bCs w:val="0"/>
          <w:color w:val="000000"/>
          <w:spacing w:val="0"/>
          <w:sz w:val="32"/>
          <w:szCs w:val="32"/>
          <w:u w:val="none"/>
        </w:rPr>
        <w:t>实施</w:t>
      </w:r>
      <w:r>
        <w:rPr>
          <w:rFonts w:hint="eastAsia" w:ascii="仿宋_GB2312" w:hAnsi="仿宋_GB2312" w:eastAsia="仿宋_GB2312" w:cs="仿宋_GB2312"/>
          <w:b/>
          <w:bCs w:val="0"/>
          <w:color w:val="000000"/>
          <w:spacing w:val="0"/>
          <w:sz w:val="32"/>
          <w:szCs w:val="32"/>
          <w:u w:val="none"/>
          <w:lang w:val="en-US" w:eastAsia="zh-CN"/>
        </w:rPr>
        <w:t>教师梯队</w:t>
      </w:r>
      <w:r>
        <w:rPr>
          <w:rFonts w:hint="eastAsia" w:ascii="仿宋_GB2312" w:hAnsi="仿宋_GB2312" w:eastAsia="仿宋_GB2312" w:cs="仿宋_GB2312"/>
          <w:b/>
          <w:bCs w:val="0"/>
          <w:color w:val="000000"/>
          <w:spacing w:val="0"/>
          <w:sz w:val="32"/>
          <w:szCs w:val="32"/>
          <w:u w:val="none"/>
        </w:rPr>
        <w:t>培</w:t>
      </w:r>
      <w:r>
        <w:rPr>
          <w:rFonts w:hint="eastAsia" w:ascii="仿宋_GB2312" w:hAnsi="仿宋_GB2312" w:eastAsia="仿宋_GB2312" w:cs="仿宋_GB2312"/>
          <w:b/>
          <w:bCs w:val="0"/>
          <w:color w:val="000000"/>
          <w:spacing w:val="0"/>
          <w:sz w:val="32"/>
          <w:szCs w:val="32"/>
          <w:u w:val="none"/>
          <w:lang w:val="en-US" w:eastAsia="zh-CN"/>
        </w:rPr>
        <w:t>养</w:t>
      </w:r>
      <w:r>
        <w:rPr>
          <w:rFonts w:hint="eastAsia" w:ascii="仿宋_GB2312" w:hAnsi="仿宋_GB2312" w:eastAsia="仿宋_GB2312" w:cs="仿宋_GB2312"/>
          <w:b/>
          <w:bCs w:val="0"/>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rPr>
        <w:t>建立教师梯队发展培养体系</w:t>
      </w:r>
      <w:r>
        <w:rPr>
          <w:rFonts w:hint="eastAsia" w:ascii="仿宋_GB2312" w:hAnsi="仿宋_GB2312" w:eastAsia="仿宋_GB2312" w:cs="仿宋_GB2312"/>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rPr>
        <w:t>实施新教师、骨干教师、</w:t>
      </w:r>
      <w:r>
        <w:rPr>
          <w:rFonts w:hint="eastAsia" w:ascii="仿宋_GB2312" w:hAnsi="仿宋_GB2312" w:eastAsia="仿宋_GB2312" w:cs="仿宋_GB2312"/>
          <w:color w:val="000000"/>
          <w:spacing w:val="0"/>
          <w:sz w:val="32"/>
          <w:szCs w:val="32"/>
          <w:u w:val="none"/>
          <w:lang w:val="en-US" w:eastAsia="zh-CN"/>
        </w:rPr>
        <w:t>教学能手</w:t>
      </w:r>
      <w:r>
        <w:rPr>
          <w:rFonts w:hint="eastAsia" w:ascii="仿宋_GB2312" w:hAnsi="仿宋_GB2312" w:eastAsia="仿宋_GB2312" w:cs="仿宋_GB2312"/>
          <w:color w:val="000000"/>
          <w:spacing w:val="0"/>
          <w:sz w:val="32"/>
          <w:szCs w:val="32"/>
          <w:u w:val="none"/>
        </w:rPr>
        <w:t>、</w:t>
      </w:r>
      <w:r>
        <w:rPr>
          <w:rFonts w:hint="eastAsia" w:ascii="仿宋_GB2312" w:hAnsi="仿宋_GB2312" w:eastAsia="仿宋_GB2312" w:cs="仿宋_GB2312"/>
          <w:color w:val="000000"/>
          <w:spacing w:val="0"/>
          <w:sz w:val="32"/>
          <w:szCs w:val="32"/>
          <w:u w:val="none"/>
          <w:lang w:val="en-US" w:eastAsia="zh-CN"/>
        </w:rPr>
        <w:t>首席教师</w:t>
      </w:r>
      <w:r>
        <w:rPr>
          <w:rFonts w:hint="eastAsia" w:ascii="仿宋_GB2312" w:hAnsi="仿宋_GB2312" w:eastAsia="仿宋_GB2312" w:cs="仿宋_GB2312"/>
          <w:color w:val="000000"/>
          <w:spacing w:val="0"/>
          <w:sz w:val="32"/>
          <w:szCs w:val="32"/>
          <w:u w:val="none"/>
        </w:rPr>
        <w:t>培育</w:t>
      </w:r>
      <w:r>
        <w:rPr>
          <w:rFonts w:hint="eastAsia" w:ascii="仿宋_GB2312" w:hAnsi="仿宋_GB2312" w:eastAsia="仿宋_GB2312" w:cs="仿宋_GB2312"/>
          <w:color w:val="000000"/>
          <w:spacing w:val="0"/>
          <w:sz w:val="32"/>
          <w:szCs w:val="32"/>
          <w:u w:val="none"/>
          <w:lang w:val="en-US" w:eastAsia="zh-CN"/>
        </w:rPr>
        <w:t>四</w:t>
      </w:r>
      <w:r>
        <w:rPr>
          <w:rFonts w:hint="eastAsia" w:ascii="仿宋_GB2312" w:hAnsi="仿宋_GB2312" w:eastAsia="仿宋_GB2312" w:cs="仿宋_GB2312"/>
          <w:color w:val="000000"/>
          <w:spacing w:val="0"/>
          <w:sz w:val="32"/>
          <w:szCs w:val="32"/>
          <w:u w:val="none"/>
        </w:rPr>
        <w:t>大工程</w:t>
      </w:r>
      <w:r>
        <w:rPr>
          <w:rFonts w:hint="eastAsia" w:ascii="仿宋_GB2312" w:hAnsi="仿宋_GB2312" w:eastAsia="仿宋_GB2312" w:cs="仿宋_GB2312"/>
          <w:color w:val="000000"/>
          <w:spacing w:val="0"/>
          <w:sz w:val="32"/>
          <w:szCs w:val="32"/>
          <w:u w:val="none"/>
          <w:lang w:eastAsia="zh-CN"/>
        </w:rPr>
        <w:t>。</w:t>
      </w:r>
      <w:r>
        <w:rPr>
          <w:rFonts w:hint="eastAsia" w:ascii="仿宋_GB2312" w:hAnsi="仿宋_GB2312" w:eastAsia="仿宋_GB2312" w:cs="仿宋_GB2312"/>
          <w:color w:val="000000"/>
          <w:spacing w:val="0"/>
          <w:sz w:val="32"/>
          <w:szCs w:val="32"/>
          <w:u w:val="none"/>
          <w:lang w:val="en-US" w:eastAsia="zh-CN"/>
        </w:rPr>
        <w:t>持续推进海王</w:t>
      </w:r>
      <w:r>
        <w:rPr>
          <w:rFonts w:hint="eastAsia" w:ascii="宋体" w:hAnsi="宋体" w:eastAsia="宋体" w:cs="宋体"/>
          <w:color w:val="000000"/>
          <w:spacing w:val="0"/>
          <w:sz w:val="32"/>
          <w:szCs w:val="32"/>
          <w:u w:val="none"/>
          <w:lang w:val="en-US" w:eastAsia="zh-CN"/>
        </w:rPr>
        <w:t>·</w:t>
      </w:r>
      <w:r>
        <w:rPr>
          <w:rFonts w:hint="eastAsia" w:ascii="仿宋_GB2312" w:hAnsi="仿宋_GB2312" w:eastAsia="仿宋_GB2312" w:cs="仿宋_GB2312"/>
          <w:color w:val="000000"/>
          <w:spacing w:val="0"/>
          <w:sz w:val="32"/>
          <w:szCs w:val="32"/>
          <w:u w:val="none"/>
          <w:lang w:val="en-US" w:eastAsia="zh-CN"/>
        </w:rPr>
        <w:t>星骨干教师研修班，在江苏省特级教师刘永和导师指导下，进行自助式结构化校本研修；</w:t>
      </w:r>
      <w:r>
        <w:rPr>
          <w:rFonts w:hint="eastAsia" w:ascii="仿宋" w:hAnsi="仿宋" w:eastAsia="仿宋" w:cs="仿宋"/>
          <w:sz w:val="32"/>
          <w:szCs w:val="32"/>
        </w:rPr>
        <w:t>依托“名师工作室”“项目工作室”指导骨干教师制定个人发展规划、年度成长规划，明确发展方向、成长路径，为骨干教师发展提供更高平台、更多机会，推动骨干教师向专家型、卓越型教师发展。落实“青蓝工程”，师傅加强对徒弟的班级管理、课堂教学、活动组织等方面的指导，在班级管理和课堂教学中实施捆绑评价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kern w:val="0"/>
          <w:sz w:val="32"/>
          <w:szCs w:val="32"/>
          <w:lang w:val="en-US" w:eastAsia="zh-CN"/>
        </w:rPr>
        <w:t>（2）</w:t>
      </w:r>
      <w:r>
        <w:rPr>
          <w:rFonts w:hint="eastAsia" w:ascii="仿宋" w:hAnsi="仿宋" w:eastAsia="仿宋"/>
          <w:b/>
          <w:bCs w:val="0"/>
          <w:sz w:val="32"/>
          <w:szCs w:val="32"/>
          <w:lang w:val="en-US" w:eastAsia="zh-CN"/>
        </w:rPr>
        <w:t>着力做实三级教研。</w:t>
      </w:r>
      <w:r>
        <w:rPr>
          <w:rFonts w:hint="eastAsia" w:ascii="仿宋" w:hAnsi="仿宋" w:eastAsia="仿宋"/>
          <w:sz w:val="32"/>
          <w:szCs w:val="32"/>
          <w:lang w:val="en-US" w:eastAsia="zh-CN"/>
        </w:rPr>
        <w:t>学科组大教研做好方向引领，一是做好解决理论问题的学习研究；二是做好解决关键问题的专题研讨；三是做好解决核心问题的课例研讨。</w:t>
      </w:r>
      <w:r>
        <w:rPr>
          <w:rFonts w:hint="eastAsia" w:ascii="仿宋" w:hAnsi="仿宋" w:eastAsia="仿宋" w:cstheme="minorBidi"/>
          <w:kern w:val="2"/>
          <w:sz w:val="32"/>
          <w:szCs w:val="32"/>
          <w:lang w:val="en-US" w:eastAsia="zh-CN" w:bidi="ar-SA"/>
        </w:rPr>
        <w:t>教研组教研注重扎实集体备课，开展问题解决式项目研究，着力解决教材中的重点、难点，解决教学实践中发现的易混点、易错点和盲点，解决质量检测中出现的普遍问题。</w:t>
      </w:r>
      <w:r>
        <w:rPr>
          <w:rFonts w:hint="eastAsia" w:ascii="仿宋" w:hAnsi="仿宋" w:eastAsia="仿宋"/>
          <w:sz w:val="32"/>
          <w:szCs w:val="32"/>
          <w:lang w:val="en-US" w:eastAsia="zh-CN"/>
        </w:rPr>
        <w:t>个性化小课题研究即</w:t>
      </w:r>
      <w:r>
        <w:rPr>
          <w:rFonts w:hint="eastAsia" w:ascii="仿宋_GB2312" w:hAnsi="仿宋_GB2312" w:eastAsia="仿宋_GB2312" w:cs="仿宋_GB2312"/>
          <w:b w:val="0"/>
          <w:bCs w:val="0"/>
          <w:kern w:val="2"/>
          <w:sz w:val="32"/>
          <w:szCs w:val="32"/>
          <w:lang w:val="en-US" w:eastAsia="zh-CN" w:bidi="ar-SA"/>
        </w:rPr>
        <w:t>按照“问题即课题、教学即研究、成长即成果”的指导思想，人人开展小课题研究，坚持问题导向</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加强实践研究，</w:t>
      </w:r>
      <w:r>
        <w:rPr>
          <w:rFonts w:hint="eastAsia" w:ascii="仿宋_GB2312" w:hAnsi="仿宋_GB2312" w:eastAsia="仿宋_GB2312" w:cs="仿宋_GB2312"/>
          <w:b w:val="0"/>
          <w:bCs w:val="0"/>
          <w:kern w:val="2"/>
          <w:sz w:val="32"/>
          <w:szCs w:val="32"/>
          <w:lang w:val="en-US" w:eastAsia="zh-CN" w:bidi="ar-SA"/>
        </w:rPr>
        <w:t>解决教学中的实际问题。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（3）扎实开展听评课活动。</w:t>
      </w:r>
      <w:r>
        <w:rPr>
          <w:rFonts w:hint="eastAsia" w:ascii="仿宋_GB2312" w:hAnsi="仿宋_GB2312" w:eastAsia="仿宋_GB2312" w:cs="仿宋_GB2312"/>
          <w:sz w:val="32"/>
          <w:szCs w:val="32"/>
          <w:lang w:val="en-US" w:eastAsia="zh-CN"/>
        </w:rPr>
        <w:t>强化</w:t>
      </w:r>
      <w:r>
        <w:rPr>
          <w:rFonts w:hint="eastAsia" w:ascii="仿宋" w:hAnsi="仿宋" w:eastAsia="仿宋" w:cs="仿宋_GB2312"/>
          <w:kern w:val="0"/>
          <w:sz w:val="32"/>
          <w:szCs w:val="32"/>
        </w:rPr>
        <w:t>“课堂是提升质量的主阵地”意识</w:t>
      </w:r>
      <w:r>
        <w:rPr>
          <w:rFonts w:hint="eastAsia" w:cs="仿宋_GB2312"/>
          <w:kern w:val="0"/>
          <w:sz w:val="32"/>
          <w:szCs w:val="32"/>
          <w:lang w:eastAsia="zh-CN"/>
        </w:rPr>
        <w:t>，</w:t>
      </w:r>
      <w:r>
        <w:rPr>
          <w:rFonts w:hint="eastAsia" w:ascii="仿宋" w:hAnsi="仿宋" w:eastAsia="仿宋" w:cs="仿宋_GB2312"/>
          <w:kern w:val="0"/>
          <w:sz w:val="32"/>
          <w:szCs w:val="32"/>
        </w:rPr>
        <w:t>聚焦课堂，创设校级竞赛展示平台，通过</w:t>
      </w:r>
      <w:r>
        <w:rPr>
          <w:rFonts w:hint="eastAsia" w:ascii="仿宋" w:hAnsi="仿宋" w:eastAsia="仿宋" w:cs="仿宋_GB2312"/>
          <w:kern w:val="0"/>
          <w:sz w:val="32"/>
          <w:szCs w:val="32"/>
          <w:lang w:val="en-US" w:eastAsia="zh-CN"/>
        </w:rPr>
        <w:t>名师工作室展示，</w:t>
      </w:r>
      <w:r>
        <w:rPr>
          <w:rFonts w:hint="eastAsia" w:ascii="仿宋" w:hAnsi="仿宋" w:eastAsia="仿宋" w:cs="仿宋_GB2312"/>
          <w:kern w:val="0"/>
          <w:sz w:val="32"/>
          <w:szCs w:val="32"/>
        </w:rPr>
        <w:t>骨干</w:t>
      </w:r>
      <w:r>
        <w:rPr>
          <w:rFonts w:hint="eastAsia" w:ascii="仿宋" w:hAnsi="仿宋" w:eastAsia="仿宋" w:cs="仿宋_GB2312"/>
          <w:kern w:val="0"/>
          <w:sz w:val="32"/>
          <w:szCs w:val="32"/>
          <w:lang w:val="en-US" w:eastAsia="zh-CN"/>
        </w:rPr>
        <w:t>教师</w:t>
      </w:r>
      <w:r>
        <w:rPr>
          <w:rFonts w:hint="eastAsia" w:ascii="仿宋" w:hAnsi="仿宋" w:eastAsia="仿宋" w:cs="仿宋_GB2312"/>
          <w:kern w:val="0"/>
          <w:sz w:val="32"/>
          <w:szCs w:val="32"/>
        </w:rPr>
        <w:t>示范</w:t>
      </w:r>
      <w:r>
        <w:rPr>
          <w:rFonts w:hint="eastAsia" w:ascii="仿宋" w:hAnsi="仿宋" w:eastAsia="仿宋" w:cs="仿宋_GB2312"/>
          <w:kern w:val="0"/>
          <w:sz w:val="32"/>
          <w:szCs w:val="32"/>
          <w:lang w:val="en-US" w:eastAsia="zh-CN"/>
        </w:rPr>
        <w:t>等形式</w:t>
      </w:r>
      <w:r>
        <w:rPr>
          <w:rFonts w:hint="eastAsia" w:ascii="仿宋" w:hAnsi="仿宋" w:eastAsia="仿宋" w:cs="仿宋_GB2312"/>
          <w:kern w:val="0"/>
          <w:sz w:val="32"/>
          <w:szCs w:val="32"/>
        </w:rPr>
        <w:t>，集中展示研究过程中优秀教师和团队的风采，引领全体教师向课堂要质量。</w:t>
      </w:r>
      <w:r>
        <w:rPr>
          <w:rFonts w:hint="eastAsia" w:ascii="仿宋_GB2312" w:hAnsi="仿宋_GB2312" w:eastAsia="仿宋_GB2312" w:cs="仿宋_GB2312"/>
          <w:sz w:val="32"/>
          <w:szCs w:val="32"/>
        </w:rPr>
        <w:t>本学期将继续与联合体学校、东西部协作校开展跨区域听评课活动，</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主题式教学研讨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拓宽教师的思路和眼界，在课堂教学、资源共享等方面加强交流与合作。</w:t>
      </w:r>
    </w:p>
    <w:p>
      <w:pPr>
        <w:pStyle w:val="7"/>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32"/>
          <w:szCs w:val="32"/>
          <w:shd w:val="clear" w:color="auto" w:fill="FFFFFF"/>
        </w:rPr>
      </w:pPr>
      <w:r>
        <w:rPr>
          <w:rFonts w:hint="eastAsia" w:ascii="仿宋" w:hAnsi="仿宋" w:eastAsia="仿宋" w:cs="仿宋"/>
          <w:b/>
          <w:bCs/>
          <w:color w:val="auto"/>
          <w:kern w:val="0"/>
          <w:sz w:val="32"/>
          <w:szCs w:val="32"/>
          <w:lang w:val="en-US" w:eastAsia="zh-CN" w:bidi="ar-SA"/>
        </w:rPr>
        <w:t>（4）深入推进国家课程校本化研究。</w:t>
      </w:r>
      <w:r>
        <w:rPr>
          <w:rFonts w:hint="eastAsia" w:ascii="仿宋" w:hAnsi="仿宋" w:eastAsia="仿宋" w:cs="仿宋"/>
          <w:b w:val="0"/>
          <w:bCs w:val="0"/>
          <w:color w:val="auto"/>
          <w:kern w:val="0"/>
          <w:sz w:val="32"/>
          <w:szCs w:val="32"/>
          <w:lang w:val="en-US" w:eastAsia="zh-CN" w:bidi="ar-SA"/>
        </w:rPr>
        <w:t>深化</w:t>
      </w:r>
      <w:r>
        <w:rPr>
          <w:rFonts w:hint="eastAsia" w:ascii="仿宋" w:eastAsia="仿宋" w:cs="仿宋"/>
          <w:b w:val="0"/>
          <w:bCs w:val="0"/>
          <w:color w:val="auto"/>
          <w:kern w:val="0"/>
          <w:sz w:val="32"/>
          <w:szCs w:val="32"/>
          <w:lang w:val="en-US" w:eastAsia="zh-CN" w:bidi="ar-SA"/>
        </w:rPr>
        <w:t>“</w:t>
      </w:r>
      <w:r>
        <w:rPr>
          <w:rFonts w:hint="eastAsia" w:ascii="仿宋" w:hAnsi="仿宋" w:eastAsia="仿宋" w:cs="仿宋"/>
          <w:color w:val="auto"/>
          <w:kern w:val="0"/>
          <w:sz w:val="32"/>
          <w:szCs w:val="32"/>
          <w:lang w:val="en-US" w:eastAsia="zh-CN" w:bidi="ar-SA"/>
        </w:rPr>
        <w:t>一科一品</w:t>
      </w:r>
      <w:r>
        <w:rPr>
          <w:rFonts w:hint="eastAsia" w:ascii="仿宋" w:eastAsia="仿宋" w:cs="仿宋"/>
          <w:b w:val="0"/>
          <w:bCs w:val="0"/>
          <w:color w:val="auto"/>
          <w:kern w:val="0"/>
          <w:sz w:val="32"/>
          <w:szCs w:val="32"/>
          <w:lang w:val="en-US" w:eastAsia="zh-CN" w:bidi="ar-SA"/>
        </w:rPr>
        <w:t>”</w:t>
      </w:r>
      <w:r>
        <w:rPr>
          <w:rFonts w:hint="eastAsia" w:ascii="仿宋" w:hAnsi="仿宋" w:eastAsia="仿宋" w:cs="仿宋"/>
          <w:color w:val="auto"/>
          <w:kern w:val="0"/>
          <w:sz w:val="32"/>
          <w:szCs w:val="32"/>
          <w:lang w:val="en-US" w:eastAsia="zh-CN" w:bidi="ar-SA"/>
        </w:rPr>
        <w:t>课程建设，不断完善学科拓展课程，抓好普及与相关竞赛活动，提升课程实施品质。继续完善四大节日课程：读书节、艺术节、体育节、科技节，创新节庆内容和活动形式，全员参与，促进学生全面而有个性的发展。持续打造“星光闪耀”德育品牌课程，依托文明礼仪修身教材、自主管理星耀榜、七星少年评价榜让课程落地。</w:t>
      </w:r>
    </w:p>
    <w:p>
      <w:pPr>
        <w:pageBreakBefore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color w:val="auto"/>
          <w:sz w:val="32"/>
          <w:szCs w:val="32"/>
          <w:lang w:val="en-US" w:eastAsia="zh-CN"/>
        </w:rPr>
        <w:t>（5）认真推进课题研究。</w:t>
      </w:r>
      <w:r>
        <w:rPr>
          <w:rFonts w:hint="eastAsia" w:ascii="仿宋" w:hAnsi="仿宋" w:eastAsia="仿宋" w:cs="仿宋"/>
          <w:color w:val="auto"/>
          <w:sz w:val="32"/>
          <w:szCs w:val="32"/>
          <w:lang w:val="en-US" w:eastAsia="zh-CN"/>
        </w:rPr>
        <w:t>加强重点课题的过程推进指导，做好青岛市教育规划课题《小学全环境读写立人的校本化研究与实践》实施推进工作。进行项目专题培训，完成各学科读写立人校本课程开发和数字化背景下的读写评价体系构建。进行阶段性课题研究的梳理、总结、提升，举行阶段性成果报告会。督促青岛市社会科学规划课题《表达性写作对小学生积极心理品质的提升研究》和青岛西海岸新区教育科学“十四五”规划课题《小学低年级数学主题式学习的实施路径的实践研究》《表达性写作对小学生学业情绪的影响研究》有序推进研究，梳理总结过程性成果。</w:t>
      </w:r>
    </w:p>
    <w:p>
      <w:pPr>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color w:val="auto"/>
          <w:sz w:val="32"/>
          <w:szCs w:val="32"/>
          <w:lang w:val="en-US" w:eastAsia="zh-CN"/>
        </w:rPr>
        <w:t>深入数字技术与教学融合应用研究。</w:t>
      </w:r>
      <w:r>
        <w:rPr>
          <w:rFonts w:hint="eastAsia" w:ascii="仿宋_GB2312" w:hAnsi="仿宋_GB2312" w:eastAsia="仿宋_GB2312" w:cs="仿宋_GB2312"/>
          <w:b w:val="0"/>
          <w:bCs w:val="0"/>
          <w:color w:val="auto"/>
          <w:sz w:val="32"/>
          <w:szCs w:val="32"/>
          <w:lang w:val="en-US" w:eastAsia="zh-CN"/>
        </w:rPr>
        <w:t>深入研究数字技术在课堂教学、作业反馈、活动开展、大阅读等多场景的应用，</w:t>
      </w:r>
      <w:r>
        <w:rPr>
          <w:rFonts w:hint="eastAsia" w:ascii="仿宋_GB2312" w:hAnsi="仿宋_GB2312" w:eastAsia="仿宋_GB2312" w:cs="仿宋_GB2312"/>
          <w:bCs/>
          <w:color w:val="auto"/>
          <w:sz w:val="32"/>
          <w:szCs w:val="32"/>
          <w:lang w:val="en-US" w:eastAsia="zh-CN"/>
        </w:rPr>
        <w:t>提升师生应用数字技术实效；</w:t>
      </w:r>
      <w:r>
        <w:rPr>
          <w:rFonts w:hint="eastAsia" w:ascii="仿宋_GB2312" w:hAnsi="仿宋_GB2312" w:eastAsia="仿宋_GB2312" w:cs="仿宋_GB2312"/>
          <w:b w:val="0"/>
          <w:bCs w:val="0"/>
          <w:color w:val="auto"/>
          <w:sz w:val="32"/>
          <w:szCs w:val="32"/>
          <w:lang w:val="en-US" w:eastAsia="zh-CN"/>
        </w:rPr>
        <w:t>利用国家中小学智慧教育云平台，拓宽教育路径</w:t>
      </w:r>
      <w:r>
        <w:rPr>
          <w:rFonts w:hint="eastAsia" w:ascii="仿宋_GB2312" w:hAnsi="仿宋_GB2312" w:eastAsia="仿宋_GB2312" w:cs="仿宋_GB2312"/>
          <w:bCs/>
          <w:color w:val="auto"/>
          <w:sz w:val="32"/>
          <w:szCs w:val="32"/>
          <w:lang w:val="en-US" w:eastAsia="zh-CN"/>
        </w:rPr>
        <w:t>，提升育人水平和实效；</w:t>
      </w:r>
      <w:r>
        <w:rPr>
          <w:rFonts w:hint="eastAsia" w:ascii="仿宋_GB2312" w:hAnsi="仿宋_GB2312" w:eastAsia="仿宋_GB2312" w:cs="仿宋_GB2312"/>
          <w:color w:val="auto"/>
          <w:sz w:val="32"/>
          <w:szCs w:val="32"/>
        </w:rPr>
        <w:t>完善课堂教学模式，关注课堂教学中学科知识与</w:t>
      </w:r>
      <w:r>
        <w:rPr>
          <w:rFonts w:hint="eastAsia" w:ascii="仿宋_GB2312" w:hAnsi="仿宋_GB2312" w:eastAsia="仿宋_GB2312" w:cs="仿宋_GB2312"/>
          <w:color w:val="auto"/>
          <w:sz w:val="32"/>
          <w:szCs w:val="32"/>
          <w:lang w:val="en-US" w:eastAsia="zh-CN"/>
        </w:rPr>
        <w:t>数字</w:t>
      </w:r>
      <w:r>
        <w:rPr>
          <w:rFonts w:hint="eastAsia" w:ascii="仿宋_GB2312" w:hAnsi="仿宋_GB2312" w:eastAsia="仿宋_GB2312" w:cs="仿宋_GB2312"/>
          <w:color w:val="auto"/>
          <w:sz w:val="32"/>
          <w:szCs w:val="32"/>
        </w:rPr>
        <w:t>技术的融合，提升教师精准化教学与学生个性化学习能力，推动教育教学模式变革。组织课堂教学大比武等活动，推出一批</w:t>
      </w:r>
      <w:r>
        <w:rPr>
          <w:rFonts w:hint="eastAsia" w:ascii="仿宋_GB2312" w:hAnsi="仿宋_GB2312" w:eastAsia="仿宋_GB2312" w:cs="仿宋_GB2312"/>
          <w:color w:val="auto"/>
          <w:sz w:val="32"/>
          <w:szCs w:val="32"/>
          <w:lang w:val="en-US" w:eastAsia="zh-CN"/>
        </w:rPr>
        <w:t>融合</w:t>
      </w:r>
      <w:r>
        <w:rPr>
          <w:rFonts w:hint="eastAsia" w:ascii="仿宋_GB2312" w:hAnsi="仿宋_GB2312" w:eastAsia="仿宋_GB2312" w:cs="仿宋_GB2312"/>
          <w:color w:val="auto"/>
          <w:sz w:val="32"/>
          <w:szCs w:val="32"/>
        </w:rPr>
        <w:t>样板课例和</w:t>
      </w:r>
      <w:r>
        <w:rPr>
          <w:rFonts w:hint="eastAsia" w:ascii="仿宋_GB2312" w:hAnsi="仿宋_GB2312" w:eastAsia="仿宋_GB2312" w:cs="仿宋_GB2312"/>
          <w:color w:val="auto"/>
          <w:sz w:val="32"/>
          <w:szCs w:val="32"/>
          <w:lang w:val="en-US" w:eastAsia="zh-CN"/>
        </w:rPr>
        <w:t>模范</w:t>
      </w:r>
      <w:r>
        <w:rPr>
          <w:rFonts w:hint="eastAsia" w:ascii="仿宋_GB2312" w:hAnsi="仿宋_GB2312" w:eastAsia="仿宋_GB2312" w:cs="仿宋_GB2312"/>
          <w:color w:val="auto"/>
          <w:sz w:val="32"/>
          <w:szCs w:val="32"/>
        </w:rPr>
        <w:t>教师。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（7）继续深化“读写立人”研究。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结合学校“读写立人”品牌打造，继续抓紧抓实书香校园建设工程，</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每位教师每学期至少阅读2本与教育教学相关的书籍，并积极撰写读书感悟，每学期校内提交一篇读书心得体会，撰写4篇教育教学随笔；</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二是依托海小教师“燃梦行动”阅读群，推进读写双轮驱动机制</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，引领广大教师更新观念，</w:t>
      </w:r>
      <w:r>
        <w:rPr>
          <w:rFonts w:hint="eastAsia" w:ascii="仿宋_GB2312" w:hAnsi="仿宋_GB2312" w:eastAsia="仿宋_GB2312" w:cs="仿宋_GB2312"/>
          <w:color w:val="000000" w:themeColor="text1"/>
          <w:kern w:val="0"/>
          <w:sz w:val="32"/>
          <w:szCs w:val="32"/>
          <w:shd w:val="clear" w:color="auto" w:fill="FFFFFF"/>
          <w:lang w:val="en-US" w:eastAsia="zh-CN"/>
          <w14:textFill>
            <w14:solidFill>
              <w14:schemeClr w14:val="tx1"/>
            </w14:solidFill>
          </w14:textFill>
        </w:rPr>
        <w:t>以读书促专业成长，以反思推进优化工作。</w:t>
      </w:r>
    </w:p>
    <w:p>
      <w:pPr>
        <w:pStyle w:val="3"/>
        <w:keepNext w:val="0"/>
        <w:keepLines w:val="0"/>
        <w:pageBreakBefore w:val="0"/>
        <w:kinsoku w:val="0"/>
        <w:wordWrap/>
        <w:overflowPunct w:val="0"/>
        <w:topLinePunct w:val="0"/>
        <w:bidi w:val="0"/>
        <w:snapToGrid/>
        <w:spacing w:beforeLines="0" w:afterLines="0" w:line="560" w:lineRule="exact"/>
        <w:ind w:left="0" w:leftChars="0" w:right="0"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（四）</w:t>
      </w:r>
      <w:r>
        <w:rPr>
          <w:rFonts w:hint="eastAsia" w:ascii="楷体_GB2312" w:hAnsi="楷体_GB2312" w:eastAsia="楷体_GB2312" w:cs="楷体_GB2312"/>
          <w:sz w:val="32"/>
          <w:szCs w:val="32"/>
          <w:lang w:val="en-US" w:eastAsia="zh-CN"/>
        </w:rPr>
        <w:t>开展“十个一”活动，</w:t>
      </w:r>
      <w:r>
        <w:rPr>
          <w:rFonts w:hint="eastAsia" w:ascii="楷体" w:hAnsi="楷体" w:eastAsia="楷体"/>
          <w:lang w:val="en-US" w:eastAsia="zh-CN"/>
        </w:rPr>
        <w:t>促进学生素养发展</w:t>
      </w:r>
    </w:p>
    <w:p>
      <w:r>
        <w:rPr>
          <w:rFonts w:hint="eastAsia" w:ascii="仿宋_GB2312" w:hAnsi="仿宋_GB2312" w:eastAsia="仿宋_GB2312" w:cs="仿宋_GB2312"/>
          <w:sz w:val="32"/>
          <w:szCs w:val="32"/>
          <w:shd w:val="clear" w:color="auto" w:fill="FFFFFF"/>
          <w:lang w:val="en-US" w:eastAsia="zh-CN"/>
        </w:rPr>
        <w:t>结合青岛市“十个一”行动计划，本学期将</w:t>
      </w:r>
      <w:r>
        <w:rPr>
          <w:rFonts w:hint="eastAsia" w:ascii="仿宋_GB2312" w:hAnsi="仿宋_GB2312" w:eastAsia="仿宋_GB2312" w:cs="仿宋_GB2312"/>
          <w:sz w:val="32"/>
          <w:szCs w:val="32"/>
          <w:shd w:val="clear" w:color="auto" w:fill="FFFFFF"/>
        </w:rPr>
        <w:t>广泛开展丰富多彩的活动，在活动中锻炼学生、发展学生，在活动中促进各项目的落实，全面提高学生素养。</w:t>
      </w:r>
      <w:r>
        <w:rPr>
          <w:rFonts w:hint="eastAsia" w:ascii="仿宋_GB2312" w:hAnsi="仿宋_GB2312" w:eastAsia="仿宋_GB2312" w:cs="仿宋_GB2312"/>
          <w:b w:val="0"/>
          <w:bCs w:val="0"/>
          <w:kern w:val="2"/>
          <w:sz w:val="32"/>
          <w:szCs w:val="32"/>
          <w:shd w:val="clear" w:color="auto" w:fill="FFFFFF"/>
          <w:lang w:val="en-US" w:eastAsia="zh-CN" w:bidi="ar-SA"/>
        </w:rPr>
        <w:t>开展全员阅读活动，</w:t>
      </w:r>
      <w:r>
        <w:rPr>
          <w:rFonts w:hint="eastAsia" w:ascii="仿宋" w:hAnsi="仿宋" w:eastAsia="仿宋" w:cs="仿宋"/>
          <w:bCs/>
          <w:sz w:val="32"/>
          <w:szCs w:val="32"/>
          <w:lang w:val="en-US" w:eastAsia="zh-CN"/>
        </w:rPr>
        <w:t>依托“晨诵”、“午读”、“暮省”，串起学生一天的阅读生活</w:t>
      </w:r>
      <w:r>
        <w:rPr>
          <w:rFonts w:hint="eastAsia" w:ascii="仿宋_GB2312" w:hAnsi="仿宋_GB2312" w:eastAsia="仿宋_GB2312" w:cs="仿宋_GB2312"/>
          <w:kern w:val="2"/>
          <w:sz w:val="32"/>
          <w:szCs w:val="32"/>
          <w:shd w:val="clear" w:color="auto" w:fill="FFFFFF"/>
          <w:lang w:val="en-US" w:eastAsia="zh-CN" w:bidi="ar-SA"/>
        </w:rPr>
        <w:t>；学生的家庭作业必须有阅读时间；各班充分利用走廊墙壁、黑板报，展示学生丰富多彩的阅读成果；提高电子书柜及班级图书角的阅读功效，</w:t>
      </w:r>
      <w:r>
        <w:rPr>
          <w:rFonts w:hint="eastAsia" w:ascii="仿宋" w:hAnsi="仿宋" w:eastAsia="仿宋" w:cs="仿宋"/>
          <w:bCs/>
          <w:sz w:val="32"/>
          <w:szCs w:val="32"/>
          <w:lang w:val="en-US" w:eastAsia="zh-CN"/>
        </w:rPr>
        <w:t>用好朗读亭、超星阅读平台、留声墙等展示平台，将优秀的学生作品及时上传，定期评选读书之星、书香班级、书香家庭，激励学生自主阅读。</w:t>
      </w:r>
      <w:r>
        <w:rPr>
          <w:rFonts w:hint="eastAsia" w:ascii="仿宋_GB2312" w:hAnsi="仿宋_GB2312" w:eastAsia="仿宋_GB2312" w:cs="仿宋_GB2312"/>
          <w:sz w:val="32"/>
          <w:szCs w:val="32"/>
          <w:lang w:val="en-US" w:eastAsia="zh-CN"/>
        </w:rPr>
        <w:t>本学期将举办“庆国庆美术作品展““</w:t>
      </w:r>
      <w:r>
        <w:rPr>
          <w:rFonts w:hint="eastAsia" w:ascii="仿宋" w:hAnsi="仿宋" w:eastAsia="仿宋" w:cs="仿宋"/>
          <w:bCs/>
          <w:sz w:val="32"/>
          <w:szCs w:val="32"/>
          <w:lang w:val="en-US" w:eastAsia="zh-CN"/>
        </w:rPr>
        <w:t>第六届校园体育节”“海小杯跳绳比赛”、元旦汇演等活动，使学生在活动中享受乐趣、增强体质，夯实艺体工作成效。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jIyNmRkMjFjM2ZlNTI0MTFjZThmYjIwMjU3NTUifQ=="/>
  </w:docVars>
  <w:rsids>
    <w:rsidRoot w:val="5FB47271"/>
    <w:rsid w:val="331665B7"/>
    <w:rsid w:val="5FB4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unhideWhenUsed/>
    <w:qFormat/>
    <w:uiPriority w:val="1"/>
    <w:pPr>
      <w:spacing w:beforeLines="0" w:afterLines="0"/>
      <w:ind w:left="108"/>
    </w:pPr>
    <w:rPr>
      <w:rFonts w:hint="eastAsia"/>
      <w:sz w:val="32"/>
      <w:szCs w:val="24"/>
    </w:rPr>
  </w:style>
  <w:style w:type="paragraph" w:styleId="6">
    <w:name w:val="No Spacing"/>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TOC1"/>
    <w:basedOn w:val="1"/>
    <w:next w:val="1"/>
    <w:autoRedefine/>
    <w:unhideWhenUsed/>
    <w:qFormat/>
    <w:uiPriority w:val="0"/>
    <w:pPr>
      <w:snapToGrid w:val="0"/>
      <w:spacing w:beforeLines="0" w:afterLines="0" w:line="640" w:lineRule="exact"/>
      <w:ind w:firstLine="705"/>
    </w:pPr>
    <w:rPr>
      <w:rFonts w:hint="eastAsia" w:ascii="仿宋_GB2312" w:eastAsia="仿宋_GB2312"/>
      <w:color w:val="00000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2024-08-30T10:26:00Z</dcterms:created>
  <dc:creator>WPS_1721015138</dc:creator>
  <cp:lastModifiedBy>WPS_1721015138</cp:lastModifiedBy>
  <dcterms:modified xsi:type="dcterms:W3CDTF">2024-08-30T10:38:16Z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AE0D3536DC3341F99A029539D8D1140B_11</vt:lpwstr>
  </property>
</Properties>
</file>