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 w:line="297" w:lineRule="auto"/>
        <w:ind w:left="2237" w:right="1709" w:hanging="606"/>
        <w:jc w:val="left"/>
        <w:rPr>
          <w:rFonts w:hint="eastAsia" w:ascii="宋体" w:eastAsia="宋体"/>
          <w:sz w:val="44"/>
        </w:rPr>
      </w:pPr>
      <w:r>
        <w:rPr>
          <w:rFonts w:hint="eastAsia" w:ascii="宋体" w:eastAsia="宋体"/>
          <w:sz w:val="44"/>
        </w:rPr>
        <w:t>青岛西海岸新区青草河小学2019 年财政预算信息</w:t>
      </w:r>
    </w:p>
    <w:p>
      <w:pPr>
        <w:pStyle w:val="2"/>
        <w:spacing w:before="77"/>
        <w:ind w:left="766"/>
        <w:rPr>
          <w:rFonts w:hint="eastAsia" w:ascii="黑体" w:eastAsia="黑体"/>
        </w:rPr>
      </w:pPr>
      <w:r>
        <w:rPr>
          <w:rFonts w:hint="eastAsia" w:ascii="黑体" w:eastAsia="黑体"/>
        </w:rPr>
        <w:t>一、部门基本情况</w:t>
      </w:r>
    </w:p>
    <w:p>
      <w:pPr>
        <w:pStyle w:val="2"/>
        <w:spacing w:before="286" w:line="367" w:lineRule="auto"/>
        <w:ind w:left="120" w:right="421" w:firstLine="645"/>
      </w:pPr>
      <w:r>
        <w:rPr>
          <w:spacing w:val="-2"/>
        </w:rPr>
        <w:t>黄岛区青草河小学为全额拨款事业单位，区编办核定我</w:t>
      </w:r>
      <w:r>
        <w:rPr>
          <w:spacing w:val="-12"/>
        </w:rPr>
        <w:t xml:space="preserve">单位人员编制 </w:t>
      </w:r>
      <w:r>
        <w:t>65</w:t>
      </w:r>
      <w:r>
        <w:rPr>
          <w:spacing w:val="-18"/>
        </w:rPr>
        <w:t xml:space="preserve"> 人,实有在职人员 </w:t>
      </w:r>
      <w:r>
        <w:t>51</w:t>
      </w:r>
      <w:r>
        <w:rPr>
          <w:spacing w:val="-10"/>
        </w:rPr>
        <w:t xml:space="preserve"> 人；我单位无机关事务局核定单位公务用车编制。</w:t>
      </w:r>
    </w:p>
    <w:p>
      <w:pPr>
        <w:pStyle w:val="2"/>
        <w:spacing w:before="68"/>
        <w:ind w:left="766"/>
      </w:pPr>
      <w:r>
        <w:t>2019 年我单位主要职责和工作目标为:</w:t>
      </w:r>
    </w:p>
    <w:p>
      <w:pPr>
        <w:pStyle w:val="2"/>
        <w:spacing w:before="6"/>
        <w:rPr>
          <w:sz w:val="22"/>
        </w:rPr>
      </w:pPr>
    </w:p>
    <w:p>
      <w:pPr>
        <w:pStyle w:val="2"/>
        <w:ind w:left="766"/>
      </w:pPr>
      <w:r>
        <w:t>（一）主要职责</w:t>
      </w:r>
    </w:p>
    <w:p>
      <w:pPr>
        <w:pStyle w:val="2"/>
        <w:spacing w:before="7"/>
        <w:rPr>
          <w:sz w:val="22"/>
        </w:rPr>
      </w:pPr>
    </w:p>
    <w:p>
      <w:pPr>
        <w:pStyle w:val="2"/>
        <w:spacing w:line="367" w:lineRule="auto"/>
        <w:ind w:left="120" w:right="560" w:firstLine="645"/>
      </w:pPr>
      <w:r>
        <w:t>1、认真贯彻落实党的教育方针，积极配合教育行政部门做好教育教学指导工作；</w:t>
      </w:r>
    </w:p>
    <w:p>
      <w:pPr>
        <w:pStyle w:val="2"/>
        <w:spacing w:before="68" w:line="367" w:lineRule="auto"/>
        <w:ind w:left="120" w:right="560" w:firstLine="645"/>
      </w:pPr>
      <w:r>
        <w:t>2、主要任务是负责实施对全校小学教师和小学校长的继续教育；</w:t>
      </w:r>
    </w:p>
    <w:p>
      <w:pPr>
        <w:pStyle w:val="2"/>
        <w:spacing w:before="70"/>
        <w:ind w:left="766"/>
      </w:pPr>
      <w:r>
        <w:t>3、为全校开展教师校本培训提供指导和服务；</w:t>
      </w:r>
    </w:p>
    <w:p>
      <w:pPr>
        <w:pStyle w:val="2"/>
        <w:spacing w:before="286" w:line="367" w:lineRule="auto"/>
        <w:ind w:left="120" w:right="560" w:firstLine="645"/>
      </w:pPr>
      <w:r>
        <w:t>4、配合教育行政部门做好全校有关教师继续教育和实施教师资格制度的组织、协调、评价和服务工作。</w:t>
      </w:r>
    </w:p>
    <w:p>
      <w:pPr>
        <w:pStyle w:val="2"/>
        <w:spacing w:before="71" w:line="367" w:lineRule="auto"/>
        <w:ind w:left="120" w:right="99" w:firstLine="645"/>
      </w:pPr>
      <w:r>
        <w:t xml:space="preserve">5、指导中小学教师在教学实践中学习和研究，推动中 </w:t>
      </w:r>
      <w:r>
        <w:rPr>
          <w:spacing w:val="-3"/>
        </w:rPr>
        <w:t>小学教师开展教改实验，不断提高中小学教师的专业化水平；</w:t>
      </w:r>
    </w:p>
    <w:p>
      <w:pPr>
        <w:pStyle w:val="2"/>
        <w:spacing w:before="68" w:line="364" w:lineRule="auto"/>
        <w:ind w:left="120" w:right="374" w:firstLine="645"/>
      </w:pPr>
      <w:r>
        <w:t>6、为全校中小学开展校本培训和日常教学提供信息技术和现代教育技术服务，为通过现代远程教育手段开展教师继续教育提供帮助和支持；</w:t>
      </w:r>
    </w:p>
    <w:p>
      <w:pPr>
        <w:spacing w:after="0" w:line="364" w:lineRule="auto"/>
        <w:sectPr>
          <w:type w:val="continuous"/>
          <w:pgSz w:w="11910" w:h="16840"/>
          <w:pgMar w:top="1500" w:right="1380" w:bottom="280" w:left="1680" w:header="720" w:footer="720" w:gutter="0"/>
        </w:sectPr>
      </w:pPr>
    </w:p>
    <w:p>
      <w:pPr>
        <w:pStyle w:val="2"/>
        <w:spacing w:before="27" w:line="364" w:lineRule="auto"/>
        <w:ind w:left="120" w:right="374" w:firstLine="645"/>
      </w:pPr>
      <w:r>
        <w:t>7、为广大教师研修学习提供必要的场所、设施、设备和资源等良好环境，辅导和帮助广大中小学教师充分利用各种信息资源开展自主学习。</w:t>
      </w:r>
    </w:p>
    <w:p>
      <w:pPr>
        <w:pStyle w:val="2"/>
        <w:spacing w:before="76" w:line="364" w:lineRule="auto"/>
        <w:ind w:left="120" w:right="270" w:firstLine="645"/>
      </w:pPr>
      <w:r>
        <w:t>8、通过与高等学校、教科研等机构开展联合或合作等多种形式办学，积极探索以中小学教师继续教育为主、多元</w:t>
      </w:r>
      <w:r>
        <w:rPr>
          <w:w w:val="95"/>
        </w:rPr>
        <w:t>的、适应时代发展的办学形式，提高培训机构的综合实力。</w:t>
      </w:r>
    </w:p>
    <w:p>
      <w:pPr>
        <w:pStyle w:val="2"/>
        <w:spacing w:before="80"/>
        <w:ind w:left="766"/>
      </w:pPr>
      <w:r>
        <w:t>（二）工作目标</w:t>
      </w:r>
    </w:p>
    <w:p>
      <w:pPr>
        <w:pStyle w:val="2"/>
        <w:spacing w:before="6"/>
        <w:rPr>
          <w:sz w:val="22"/>
        </w:rPr>
      </w:pPr>
    </w:p>
    <w:p>
      <w:pPr>
        <w:pStyle w:val="2"/>
        <w:spacing w:before="1" w:line="367" w:lineRule="auto"/>
        <w:ind w:left="120" w:right="373" w:firstLine="645"/>
      </w:pPr>
      <w:r>
        <w:t>打造卓越教育文化品牌，建设一流学校文化，培养一流师生队伍，巩固一流教育质量，创造一流品牌效应。</w:t>
      </w:r>
    </w:p>
    <w:p>
      <w:pPr>
        <w:pStyle w:val="2"/>
        <w:spacing w:before="70"/>
        <w:ind w:left="766"/>
        <w:rPr>
          <w:rFonts w:hint="eastAsia" w:ascii="黑体" w:eastAsia="黑体"/>
        </w:rPr>
      </w:pPr>
      <w:r>
        <w:rPr>
          <w:rFonts w:hint="eastAsia" w:ascii="黑体" w:eastAsia="黑体"/>
        </w:rPr>
        <w:t>二、部门预算安排情况</w:t>
      </w:r>
    </w:p>
    <w:p>
      <w:pPr>
        <w:pStyle w:val="2"/>
        <w:spacing w:before="286"/>
        <w:ind w:left="766"/>
      </w:pPr>
      <w:r>
        <w:t>经区财政局“二上二下”审核，初步确定我单位 2019</w:t>
      </w:r>
    </w:p>
    <w:p>
      <w:pPr>
        <w:pStyle w:val="2"/>
        <w:spacing w:before="214"/>
        <w:ind w:left="120"/>
      </w:pPr>
      <w:r>
        <w:t>年支出预算 929.53.8 万元，其中财政专户资金 3 万元，比</w:t>
      </w:r>
    </w:p>
    <w:p>
      <w:pPr>
        <w:pStyle w:val="2"/>
        <w:spacing w:before="217"/>
        <w:ind w:left="120"/>
      </w:pPr>
      <w:r>
        <w:t>上年增加 148.54 万元，其中:基本支出安排 769.8 万元。</w:t>
      </w:r>
    </w:p>
    <w:p>
      <w:pPr>
        <w:pStyle w:val="2"/>
        <w:spacing w:before="6"/>
        <w:rPr>
          <w:sz w:val="22"/>
        </w:rPr>
      </w:pPr>
    </w:p>
    <w:p>
      <w:pPr>
        <w:pStyle w:val="2"/>
        <w:ind w:left="766"/>
        <w:rPr>
          <w:rFonts w:hint="eastAsia" w:ascii="黑体" w:hAnsi="黑体" w:eastAsia="黑体"/>
        </w:rPr>
      </w:pPr>
      <w:r>
        <w:rPr>
          <w:rFonts w:hint="eastAsia" w:ascii="黑体" w:hAnsi="黑体" w:eastAsia="黑体"/>
        </w:rPr>
        <w:t>三、“三公”经费情况</w:t>
      </w:r>
    </w:p>
    <w:p>
      <w:pPr>
        <w:pStyle w:val="2"/>
        <w:spacing w:before="9"/>
        <w:rPr>
          <w:rFonts w:ascii="黑体"/>
          <w:sz w:val="22"/>
        </w:rPr>
      </w:pPr>
    </w:p>
    <w:p>
      <w:pPr>
        <w:pStyle w:val="2"/>
        <w:ind w:left="766"/>
      </w:pPr>
      <w:r>
        <w:t>2019 年财政预算中无”三公经费“支出。</w:t>
      </w:r>
    </w:p>
    <w:p>
      <w:pPr>
        <w:pStyle w:val="2"/>
        <w:spacing w:before="6"/>
        <w:rPr>
          <w:sz w:val="22"/>
        </w:rPr>
      </w:pPr>
    </w:p>
    <w:p>
      <w:pPr>
        <w:pStyle w:val="2"/>
        <w:spacing w:before="1"/>
        <w:ind w:left="120"/>
        <w:rPr>
          <w:rFonts w:hint="eastAsia" w:ascii="黑体" w:eastAsia="黑体"/>
        </w:rPr>
      </w:pPr>
      <w:r>
        <w:rPr>
          <w:rFonts w:hint="eastAsia" w:ascii="黑体" w:eastAsia="黑体"/>
        </w:rPr>
        <w:t>四、2019 年支出预算表</w:t>
      </w: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2"/>
        </w:rPr>
      </w:pPr>
    </w:p>
    <w:p>
      <w:pPr>
        <w:pStyle w:val="2"/>
        <w:spacing w:before="54"/>
        <w:ind w:left="120"/>
        <w:rPr>
          <w:rFonts w:ascii="宋体"/>
        </w:rPr>
      </w:pPr>
      <w:r>
        <w:rPr>
          <w:rFonts w:ascii="宋体"/>
          <w:w w:val="99"/>
        </w:rPr>
        <w:t xml:space="preserve"> </w:t>
      </w:r>
    </w:p>
    <w:p>
      <w:pPr>
        <w:spacing w:after="0"/>
        <w:rPr>
          <w:rFonts w:ascii="宋体"/>
        </w:rPr>
        <w:sectPr>
          <w:pgSz w:w="11910" w:h="16840"/>
          <w:pgMar w:top="1500" w:right="1380" w:bottom="280" w:left="1680" w:header="720" w:footer="720" w:gutter="0"/>
        </w:sectPr>
      </w:pPr>
    </w:p>
    <w:p>
      <w:pPr>
        <w:pStyle w:val="2"/>
        <w:rPr>
          <w:rFonts w:ascii="宋体"/>
          <w:sz w:val="20"/>
        </w:rPr>
      </w:pPr>
    </w:p>
    <w:p>
      <w:pPr>
        <w:pStyle w:val="2"/>
        <w:spacing w:before="11"/>
        <w:rPr>
          <w:rFonts w:ascii="宋体"/>
          <w:sz w:val="29"/>
        </w:rPr>
      </w:pPr>
    </w:p>
    <w:p>
      <w:pPr>
        <w:spacing w:before="54"/>
        <w:ind w:left="5212" w:right="4870" w:firstLine="0"/>
        <w:jc w:val="center"/>
        <w:rPr>
          <w:rFonts w:hint="eastAsia" w:ascii="黑体" w:eastAsia="黑体"/>
          <w:b/>
          <w:sz w:val="32"/>
        </w:rPr>
      </w:pPr>
      <w:r>
        <w:rPr>
          <w:rFonts w:hint="eastAsia" w:ascii="黑体" w:eastAsia="黑体"/>
          <w:b/>
          <w:sz w:val="32"/>
        </w:rPr>
        <w:t>2019 年部门支出预算总表</w:t>
      </w:r>
    </w:p>
    <w:p>
      <w:pPr>
        <w:spacing w:before="80"/>
        <w:ind w:left="100" w:right="0" w:firstLine="0"/>
        <w:jc w:val="left"/>
        <w:rPr>
          <w:rFonts w:hint="eastAsia" w:ascii="黑体" w:eastAsia="黑体"/>
          <w:sz w:val="20"/>
        </w:rPr>
      </w:pPr>
      <w:r>
        <w:rPr>
          <w:rFonts w:hint="eastAsia" w:ascii="黑体" w:eastAsia="黑体"/>
          <w:sz w:val="20"/>
        </w:rPr>
        <w:t xml:space="preserve">单 位 名 称 ： </w:t>
      </w:r>
      <w:r>
        <w:rPr>
          <w:rFonts w:hint="eastAsia" w:ascii="宋体" w:eastAsia="宋体"/>
          <w:sz w:val="20"/>
        </w:rPr>
        <w:t xml:space="preserve">黄 岛 区 青 草 河 小 学 </w:t>
      </w:r>
      <w:r>
        <w:rPr>
          <w:rFonts w:hint="eastAsia" w:ascii="宋体" w:eastAsia="宋体"/>
          <w:sz w:val="20"/>
          <w:lang w:val="en-US" w:eastAsia="zh-CN"/>
        </w:rPr>
        <w:t xml:space="preserve">                                                                            </w:t>
      </w:r>
      <w:r>
        <w:rPr>
          <w:rFonts w:hint="eastAsia" w:ascii="黑体" w:eastAsia="黑体"/>
          <w:sz w:val="20"/>
        </w:rPr>
        <w:t>单 位 ： 万 元</w:t>
      </w:r>
    </w:p>
    <w:p>
      <w:pPr>
        <w:pStyle w:val="2"/>
        <w:spacing w:before="7"/>
        <w:rPr>
          <w:rFonts w:ascii="黑体"/>
          <w:sz w:val="21"/>
        </w:rPr>
      </w:pPr>
      <w:bookmarkStart w:id="0" w:name="_GoBack"/>
      <w:bookmarkEnd w:id="0"/>
      <w:r>
        <w:drawing>
          <wp:anchor distT="0" distB="0" distL="0" distR="0" simplePos="0" relativeHeight="0" behindDoc="0" locked="0" layoutInCell="1" allowOverlap="1">
            <wp:simplePos x="0" y="0"/>
            <wp:positionH relativeFrom="page">
              <wp:posOffset>1666875</wp:posOffset>
            </wp:positionH>
            <wp:positionV relativeFrom="paragraph">
              <wp:posOffset>200025</wp:posOffset>
            </wp:positionV>
            <wp:extent cx="7597140" cy="24796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7596831" cy="2479833"/>
                    </a:xfrm>
                    <a:prstGeom prst="rect">
                      <a:avLst/>
                    </a:prstGeom>
                  </pic:spPr>
                </pic:pic>
              </a:graphicData>
            </a:graphic>
          </wp:anchor>
        </w:drawing>
      </w:r>
    </w:p>
    <w:sectPr>
      <w:pgSz w:w="16840" w:h="11910" w:orient="landscape"/>
      <w:pgMar w:top="1100" w:right="1680" w:bottom="280" w:left="13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E026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2021-01-05T10:27:00Z</dcterms:created>
  <dc:creator>user</dc:creator>
  <cp:lastModifiedBy>可乐。</cp:lastModifiedBy>
  <dcterms:modified xsi:type="dcterms:W3CDTF">2021-01-05T10:28:04Z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2010</vt:lpwstr>
  </property>
  <property fmtid="{D5CDD505-2E9C-101B-9397-08002B2CF9AE}" pid="4" name="LastSaved">
    <vt:filetime>2021-01-05T00:00:00Z</vt:filetime>
  </property>
  <property fmtid="{D5CDD505-2E9C-101B-9397-08002B2CF9AE}" pid="5" name="KSOProductBuildVer">
    <vt:lpwstr>2052-11.1.0.10228</vt:lpwstr>
  </property>
</Properties>
</file>