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9C86" w14:textId="77777777" w:rsidR="001049F8" w:rsidRDefault="001049F8" w:rsidP="001049F8">
      <w:pPr>
        <w:adjustRightInd w:val="0"/>
        <w:snapToGrid w:val="0"/>
        <w:spacing w:line="600" w:lineRule="exact"/>
        <w:jc w:val="center"/>
        <w:rPr>
          <w:rFonts w:ascii="方正小标宋简体" w:eastAsia="方正小标宋简体" w:hAnsi="仿宋"/>
          <w:sz w:val="56"/>
          <w:szCs w:val="56"/>
        </w:rPr>
      </w:pPr>
    </w:p>
    <w:p w14:paraId="48F090B6" w14:textId="77777777" w:rsidR="001049F8" w:rsidRDefault="001049F8" w:rsidP="001049F8">
      <w:pPr>
        <w:adjustRightInd w:val="0"/>
        <w:snapToGrid w:val="0"/>
        <w:spacing w:line="600" w:lineRule="exact"/>
        <w:jc w:val="center"/>
        <w:rPr>
          <w:rFonts w:ascii="方正小标宋简体" w:eastAsia="方正小标宋简体" w:hAnsi="仿宋"/>
          <w:sz w:val="56"/>
          <w:szCs w:val="56"/>
        </w:rPr>
      </w:pPr>
    </w:p>
    <w:p w14:paraId="3D1135DB" w14:textId="77777777" w:rsidR="001049F8" w:rsidRDefault="001049F8" w:rsidP="001049F8">
      <w:pPr>
        <w:adjustRightInd w:val="0"/>
        <w:snapToGrid w:val="0"/>
        <w:spacing w:line="600" w:lineRule="exact"/>
        <w:jc w:val="center"/>
        <w:rPr>
          <w:rFonts w:ascii="方正小标宋简体" w:eastAsia="方正小标宋简体" w:hAnsi="仿宋"/>
          <w:sz w:val="56"/>
          <w:szCs w:val="56"/>
        </w:rPr>
      </w:pPr>
    </w:p>
    <w:p w14:paraId="749BEC82" w14:textId="77777777" w:rsidR="001049F8" w:rsidRDefault="001049F8" w:rsidP="001049F8">
      <w:pPr>
        <w:adjustRightInd w:val="0"/>
        <w:snapToGrid w:val="0"/>
        <w:spacing w:line="600" w:lineRule="exact"/>
        <w:jc w:val="center"/>
        <w:rPr>
          <w:rFonts w:ascii="方正小标宋简体" w:eastAsia="方正小标宋简体" w:hAnsi="仿宋"/>
          <w:sz w:val="56"/>
          <w:szCs w:val="56"/>
        </w:rPr>
      </w:pPr>
    </w:p>
    <w:p w14:paraId="04F7499D" w14:textId="77777777" w:rsidR="001049F8" w:rsidRDefault="001049F8" w:rsidP="001049F8">
      <w:pPr>
        <w:adjustRightInd w:val="0"/>
        <w:snapToGrid w:val="0"/>
        <w:spacing w:line="600" w:lineRule="exact"/>
        <w:jc w:val="center"/>
        <w:rPr>
          <w:rFonts w:ascii="方正小标宋简体" w:eastAsia="方正小标宋简体" w:hAnsi="仿宋"/>
          <w:sz w:val="56"/>
          <w:szCs w:val="56"/>
        </w:rPr>
      </w:pPr>
    </w:p>
    <w:p w14:paraId="48235D0B" w14:textId="77777777" w:rsidR="001049F8" w:rsidRDefault="001049F8" w:rsidP="001049F8">
      <w:pPr>
        <w:adjustRightInd w:val="0"/>
        <w:snapToGrid w:val="0"/>
        <w:spacing w:line="600" w:lineRule="exact"/>
        <w:jc w:val="center"/>
        <w:rPr>
          <w:rFonts w:ascii="方正小标宋简体" w:eastAsia="方正小标宋简体" w:hAnsi="仿宋"/>
          <w:sz w:val="56"/>
          <w:szCs w:val="56"/>
        </w:rPr>
      </w:pPr>
    </w:p>
    <w:p w14:paraId="571B378F" w14:textId="1DCFCE20" w:rsidR="001049F8" w:rsidRPr="001049F8" w:rsidRDefault="00000000" w:rsidP="001049F8">
      <w:pPr>
        <w:adjustRightInd w:val="0"/>
        <w:snapToGrid w:val="0"/>
        <w:spacing w:line="600" w:lineRule="exact"/>
        <w:jc w:val="center"/>
        <w:rPr>
          <w:rFonts w:ascii="方正小标宋简体" w:eastAsia="方正小标宋简体" w:hAnsi="仿宋" w:hint="eastAsia"/>
          <w:sz w:val="56"/>
          <w:szCs w:val="56"/>
        </w:rPr>
      </w:pPr>
      <w:r w:rsidRPr="001049F8">
        <w:rPr>
          <w:rFonts w:ascii="方正小标宋简体" w:eastAsia="方正小标宋简体" w:hAnsi="仿宋" w:hint="eastAsia"/>
          <w:sz w:val="56"/>
          <w:szCs w:val="56"/>
        </w:rPr>
        <w:t>青岛西海岸新区职业中等专业学校</w:t>
      </w:r>
    </w:p>
    <w:p w14:paraId="7B49130B" w14:textId="77777777" w:rsidR="001049F8" w:rsidRDefault="001049F8" w:rsidP="001049F8">
      <w:pPr>
        <w:adjustRightInd w:val="0"/>
        <w:snapToGrid w:val="0"/>
        <w:spacing w:line="600" w:lineRule="exact"/>
        <w:jc w:val="center"/>
        <w:rPr>
          <w:rFonts w:ascii="方正小标宋简体" w:eastAsia="方正小标宋简体" w:hAnsi="仿宋"/>
          <w:sz w:val="56"/>
          <w:szCs w:val="56"/>
        </w:rPr>
      </w:pPr>
    </w:p>
    <w:p w14:paraId="38F468B3" w14:textId="77777777" w:rsidR="001049F8" w:rsidRDefault="001049F8" w:rsidP="001049F8">
      <w:pPr>
        <w:adjustRightInd w:val="0"/>
        <w:snapToGrid w:val="0"/>
        <w:spacing w:line="600" w:lineRule="exact"/>
        <w:jc w:val="center"/>
        <w:rPr>
          <w:rFonts w:ascii="方正小标宋简体" w:eastAsia="方正小标宋简体" w:hAnsi="仿宋"/>
          <w:sz w:val="56"/>
          <w:szCs w:val="56"/>
        </w:rPr>
      </w:pPr>
    </w:p>
    <w:p w14:paraId="3113F9E6" w14:textId="0FB54A69" w:rsidR="001049F8" w:rsidRPr="001049F8" w:rsidRDefault="00000000" w:rsidP="001049F8">
      <w:pPr>
        <w:adjustRightInd w:val="0"/>
        <w:snapToGrid w:val="0"/>
        <w:spacing w:line="600" w:lineRule="exact"/>
        <w:jc w:val="center"/>
        <w:rPr>
          <w:rFonts w:ascii="方正小标宋简体" w:eastAsia="方正小标宋简体" w:hAnsi="仿宋" w:hint="eastAsia"/>
          <w:sz w:val="56"/>
          <w:szCs w:val="56"/>
        </w:rPr>
      </w:pPr>
      <w:r w:rsidRPr="001049F8">
        <w:rPr>
          <w:rFonts w:ascii="方正小标宋简体" w:eastAsia="方正小标宋简体" w:hAnsi="仿宋" w:hint="eastAsia"/>
          <w:sz w:val="56"/>
          <w:szCs w:val="56"/>
        </w:rPr>
        <w:t>2025年下半年工作补充意见</w:t>
      </w:r>
    </w:p>
    <w:p w14:paraId="16888CB9" w14:textId="77777777" w:rsidR="001049F8" w:rsidRDefault="001049F8">
      <w:pPr>
        <w:widowControl/>
        <w:jc w:val="left"/>
        <w:rPr>
          <w:rFonts w:ascii="仿宋" w:eastAsia="仿宋" w:hAnsi="仿宋" w:hint="eastAsia"/>
          <w:b/>
          <w:bCs/>
          <w:sz w:val="32"/>
          <w:szCs w:val="32"/>
        </w:rPr>
      </w:pPr>
      <w:r>
        <w:rPr>
          <w:rFonts w:ascii="仿宋" w:eastAsia="仿宋" w:hAnsi="仿宋" w:hint="eastAsia"/>
          <w:b/>
          <w:bCs/>
          <w:sz w:val="32"/>
          <w:szCs w:val="32"/>
        </w:rPr>
        <w:br w:type="page"/>
      </w:r>
    </w:p>
    <w:p w14:paraId="028317DB" w14:textId="77777777"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lastRenderedPageBreak/>
        <w:t>2025年下半年，学校将全面贯彻党的教育方针，落实立德树人根本任务，紧密对接新区经济社会发展需求，以“提质培优、增值赋能”为主线，深化产教融合、校企合作，推动学校高质量发展。为确保完成年初工作目标，并为2026年各项工作打好基础，现制订2025年下半年工作补充意见。</w:t>
      </w:r>
    </w:p>
    <w:p w14:paraId="08F0C357" w14:textId="77777777" w:rsidR="00B702F4" w:rsidRPr="001049F8" w:rsidRDefault="00000000" w:rsidP="001049F8">
      <w:pPr>
        <w:adjustRightInd w:val="0"/>
        <w:snapToGrid w:val="0"/>
        <w:spacing w:line="600" w:lineRule="exact"/>
        <w:ind w:firstLineChars="200" w:firstLine="640"/>
        <w:rPr>
          <w:rFonts w:ascii="黑体" w:eastAsia="黑体" w:hAnsi="黑体" w:hint="eastAsia"/>
          <w:sz w:val="32"/>
          <w:szCs w:val="32"/>
        </w:rPr>
      </w:pPr>
      <w:r w:rsidRPr="001049F8">
        <w:rPr>
          <w:rFonts w:ascii="黑体" w:eastAsia="黑体" w:hAnsi="黑体" w:hint="eastAsia"/>
          <w:sz w:val="32"/>
          <w:szCs w:val="32"/>
        </w:rPr>
        <w:t>一、党建统领，思政为先，坚持立德树人根本使命</w:t>
      </w:r>
    </w:p>
    <w:p w14:paraId="667CF8DE" w14:textId="4105957B"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继续深入开展“党的二十大精神”专题学习活动，组织集中学习、分组研讨，邀请专家开展专题党课。严格贯彻落实中央八项规定精神，开展廉洁自律教育，深化师德师风教育，大力推进工作作风建设，加强纪律督查。设立“党员示范岗”，组织党员教师参与乡村振兴、社区志愿服务。开展“党建+教学”</w:t>
      </w:r>
      <w:r w:rsidR="001049F8">
        <w:rPr>
          <w:rFonts w:ascii="仿宋" w:eastAsia="仿宋" w:hAnsi="仿宋" w:hint="eastAsia"/>
          <w:sz w:val="32"/>
          <w:szCs w:val="32"/>
        </w:rPr>
        <w:t>、</w:t>
      </w:r>
      <w:r w:rsidRPr="001049F8">
        <w:rPr>
          <w:rFonts w:ascii="仿宋" w:eastAsia="仿宋" w:hAnsi="仿宋" w:hint="eastAsia"/>
          <w:sz w:val="32"/>
          <w:szCs w:val="32"/>
        </w:rPr>
        <w:t>“党建+德育”系列活动。利用图书馆一楼大厅及党史馆与团史馆之间的走廊空间建设雷锋走廊，展示雷锋事迹，弘扬雷锋精神，工程拟于9月完工。构建“党建引领、校长担纲、多元参与”的党建引领校园治理新格局，确保党的领导贯穿到学校治理全过程。健全党组织工作体系，把组织优势转化为治理优势和治理效能，学校党组织进行谋划、决策、监督和保障，校长具体管理、组织和实施，全体教职工、群团组织、社会、家庭等多元主体共同参与、建言献策，发挥民主管理和监督作用。</w:t>
      </w:r>
    </w:p>
    <w:p w14:paraId="72AE66FD" w14:textId="77777777" w:rsidR="00B702F4" w:rsidRPr="001049F8" w:rsidRDefault="00000000" w:rsidP="001049F8">
      <w:pPr>
        <w:adjustRightInd w:val="0"/>
        <w:snapToGrid w:val="0"/>
        <w:spacing w:line="560" w:lineRule="exact"/>
        <w:ind w:firstLineChars="200" w:firstLine="640"/>
        <w:rPr>
          <w:rFonts w:ascii="仿宋" w:eastAsia="仿宋" w:hAnsi="仿宋" w:hint="eastAsia"/>
          <w:b/>
          <w:bCs/>
          <w:sz w:val="32"/>
          <w:szCs w:val="32"/>
        </w:rPr>
      </w:pPr>
      <w:r w:rsidRPr="001049F8">
        <w:rPr>
          <w:rFonts w:ascii="仿宋" w:eastAsia="仿宋" w:hAnsi="仿宋" w:hint="eastAsia"/>
          <w:sz w:val="32"/>
          <w:szCs w:val="32"/>
        </w:rPr>
        <w:t>组织学生管理干部开展德育理论学习活动，学习先进的学生管理经验；发挥班主任工作室的辐射、引领和带动作用，有针对性地开展讲座、体验等各类培训。继续抓实常规管理，培养学生习惯养成。利用每周二、周三、周四下午第三节课组织社团活动，挖掘学生潜力，发挥学生特长，加强管弦乐与茂腔社团的培训，力争成型、成艺。继续推进思政课程和课程思政建设，让德育教育融入教学活动全过程，开发“新区产业+思政”校本案例，开展“劳模工匠进校园”活动。组织多元化主题教育活动，重视“活动育人”，全面提升学生综合素养。</w:t>
      </w:r>
      <w:r w:rsidRPr="001049F8">
        <w:rPr>
          <w:rFonts w:ascii="仿宋" w:eastAsia="仿宋" w:hAnsi="仿宋"/>
          <w:sz w:val="32"/>
          <w:szCs w:val="32"/>
        </w:rPr>
        <w:t>依托灵山湾影视文化基地等新区资源，组织学生参与志愿服务、职业体验等社会实践</w:t>
      </w:r>
      <w:r w:rsidRPr="001049F8">
        <w:rPr>
          <w:rFonts w:ascii="仿宋" w:eastAsia="仿宋" w:hAnsi="仿宋" w:hint="eastAsia"/>
          <w:sz w:val="32"/>
          <w:szCs w:val="32"/>
        </w:rPr>
        <w:t>，擦亮“尚智励行”德育品牌。重视学生身心健康，加强学生体质健康和近视防控工作。严格落实《国家学生体质健康标准》，实施学生体质健康提升行动，将体质健康工作和抽测中合格率和优良率纳入相关职能处室、专业部和教师的考核；落实“六个一”近视防控要求，定期开展“近视防控周”、近视防控宣传教育月等活动，每学期近视防控知识三级（老师、家长、学生）科普教育各不少于2次，覆盖率达100%。</w:t>
      </w:r>
    </w:p>
    <w:p w14:paraId="7016F574" w14:textId="3D22391A" w:rsidR="00B702F4" w:rsidRPr="001049F8" w:rsidRDefault="00000000" w:rsidP="001049F8">
      <w:pPr>
        <w:adjustRightInd w:val="0"/>
        <w:snapToGrid w:val="0"/>
        <w:spacing w:line="600" w:lineRule="exact"/>
        <w:ind w:firstLineChars="200" w:firstLine="640"/>
        <w:rPr>
          <w:rFonts w:ascii="黑体" w:eastAsia="黑体" w:hAnsi="黑体" w:hint="eastAsia"/>
          <w:sz w:val="32"/>
          <w:szCs w:val="32"/>
        </w:rPr>
      </w:pPr>
      <w:bookmarkStart w:id="0" w:name="_Hlk107826172"/>
      <w:r w:rsidRPr="001049F8">
        <w:rPr>
          <w:rFonts w:ascii="黑体" w:eastAsia="黑体" w:hAnsi="黑体" w:hint="eastAsia"/>
          <w:sz w:val="32"/>
          <w:szCs w:val="32"/>
        </w:rPr>
        <w:t>二、优化专业，</w:t>
      </w:r>
      <w:r w:rsidR="006D3C99" w:rsidRPr="001049F8">
        <w:rPr>
          <w:rFonts w:ascii="黑体" w:eastAsia="黑体" w:hAnsi="黑体" w:hint="eastAsia"/>
          <w:sz w:val="32"/>
          <w:szCs w:val="32"/>
        </w:rPr>
        <w:t>打造品牌</w:t>
      </w:r>
      <w:r w:rsidRPr="001049F8">
        <w:rPr>
          <w:rFonts w:ascii="黑体" w:eastAsia="黑体" w:hAnsi="黑体" w:hint="eastAsia"/>
          <w:sz w:val="32"/>
          <w:szCs w:val="32"/>
        </w:rPr>
        <w:t>，提升教育教学质量</w:t>
      </w:r>
    </w:p>
    <w:p w14:paraId="22CDBB6E" w14:textId="77777777"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对接新区芯屏、智能家电等支柱产业，动态调整专业设置，重点建设智能制造、现代汽车技术、数字媒体技术等特色专业群。与青岛工程职业学院进一步交流合作，优化专业设置，开展五年制合作办学。有序推进各专业现有五年一贯制的各项工作，针对大一阶段，着力明确中专与高校衔接定位，侧重车间实训教学，提升相关师资资格等级，完善人才培养方案，准确把握并落实各专业课程标准，有规划地做好师资配备，为后续持续优化奠定坚实基础。</w:t>
      </w:r>
    </w:p>
    <w:p w14:paraId="59CAB7DE" w14:textId="26601065"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加强常规教学管理，继续依托联合检查小组，采用线上与线下实地考评相结合方式，深入检查早读、课堂、自习情况，实时反馈问题至教学主任群，树立典型促进整体提升。引入AI备课平台自动生成教案、习题与实训案例，教研组开展专项研讨，针对性优化实训设计与教学方法，减少教师30%重复性事务。推动教师能力升级，实施“AI+”素养工程，开展基础工具实操培训，设立骨干教师创新小组孵化校本智能实训项目，依托现有职教云平台整合资源，强化实训数据监测，实现人工智能赋能教学效能提升。</w:t>
      </w:r>
      <w:r w:rsidR="00690436" w:rsidRPr="001049F8">
        <w:rPr>
          <w:rFonts w:ascii="仿宋" w:eastAsia="仿宋" w:hAnsi="仿宋" w:hint="eastAsia"/>
          <w:sz w:val="32"/>
          <w:szCs w:val="32"/>
        </w:rPr>
        <w:t>持续推进《新能源汽车结构与检修》、《茶文化与制茶技艺》等在线精品课程建设。</w:t>
      </w:r>
      <w:r w:rsidR="00587346" w:rsidRPr="001049F8">
        <w:rPr>
          <w:rFonts w:ascii="仿宋" w:eastAsia="仿宋" w:hAnsi="仿宋" w:hint="eastAsia"/>
          <w:sz w:val="32"/>
          <w:szCs w:val="32"/>
        </w:rPr>
        <w:t>继续推行</w:t>
      </w:r>
      <w:r w:rsidR="00690436" w:rsidRPr="001049F8">
        <w:rPr>
          <w:rFonts w:ascii="仿宋" w:eastAsia="仿宋" w:hAnsi="仿宋" w:hint="eastAsia"/>
          <w:sz w:val="32"/>
          <w:szCs w:val="32"/>
        </w:rPr>
        <w:t>“</w:t>
      </w:r>
      <w:r w:rsidR="00587346" w:rsidRPr="001049F8">
        <w:rPr>
          <w:rFonts w:ascii="仿宋" w:eastAsia="仿宋" w:hAnsi="仿宋" w:hint="eastAsia"/>
          <w:sz w:val="32"/>
          <w:szCs w:val="32"/>
        </w:rPr>
        <w:t>一专业一特色，</w:t>
      </w:r>
      <w:r w:rsidR="00690436" w:rsidRPr="001049F8">
        <w:rPr>
          <w:rFonts w:ascii="仿宋" w:eastAsia="仿宋" w:hAnsi="仿宋" w:hint="eastAsia"/>
          <w:sz w:val="32"/>
          <w:szCs w:val="32"/>
        </w:rPr>
        <w:t>一专业一品牌”</w:t>
      </w:r>
      <w:r w:rsidR="00587346" w:rsidRPr="001049F8">
        <w:rPr>
          <w:rFonts w:ascii="仿宋" w:eastAsia="仿宋" w:hAnsi="仿宋" w:hint="eastAsia"/>
          <w:sz w:val="32"/>
          <w:szCs w:val="32"/>
        </w:rPr>
        <w:t>打造活动</w:t>
      </w:r>
      <w:r w:rsidR="00690436" w:rsidRPr="001049F8">
        <w:rPr>
          <w:rFonts w:ascii="仿宋" w:eastAsia="仿宋" w:hAnsi="仿宋" w:hint="eastAsia"/>
          <w:sz w:val="32"/>
          <w:szCs w:val="32"/>
        </w:rPr>
        <w:t>，各专业要结合本专业实际和未来发展前景，创新设计专业发展方案，</w:t>
      </w:r>
      <w:r w:rsidR="00060C8B" w:rsidRPr="001049F8">
        <w:rPr>
          <w:rFonts w:ascii="仿宋" w:eastAsia="仿宋" w:hAnsi="仿宋" w:hint="eastAsia"/>
          <w:sz w:val="32"/>
          <w:szCs w:val="32"/>
        </w:rPr>
        <w:t>通过专业诊断与动态调整精准定位专业发展方向，通过校企共建产业学院与双师型团队、深化教学模式改革等提升专业教学质量，通过多维度宣传加强品牌推广，要明确时间表和责任人，</w:t>
      </w:r>
      <w:r w:rsidR="00690436" w:rsidRPr="001049F8">
        <w:rPr>
          <w:rFonts w:ascii="仿宋" w:eastAsia="仿宋" w:hAnsi="仿宋" w:hint="eastAsia"/>
          <w:sz w:val="32"/>
          <w:szCs w:val="32"/>
        </w:rPr>
        <w:t>确保专业品牌建设工作扎实推进、取得实效。</w:t>
      </w:r>
    </w:p>
    <w:bookmarkEnd w:id="0"/>
    <w:p w14:paraId="771AF491" w14:textId="77777777" w:rsidR="00B702F4" w:rsidRPr="001049F8" w:rsidRDefault="00000000" w:rsidP="001049F8">
      <w:pPr>
        <w:adjustRightInd w:val="0"/>
        <w:snapToGrid w:val="0"/>
        <w:spacing w:line="600" w:lineRule="exact"/>
        <w:ind w:firstLineChars="200" w:firstLine="640"/>
        <w:rPr>
          <w:rFonts w:ascii="黑体" w:eastAsia="黑体" w:hAnsi="黑体" w:hint="eastAsia"/>
          <w:sz w:val="32"/>
          <w:szCs w:val="32"/>
        </w:rPr>
      </w:pPr>
      <w:r w:rsidRPr="001049F8">
        <w:rPr>
          <w:rFonts w:ascii="黑体" w:eastAsia="黑体" w:hAnsi="黑体" w:hint="eastAsia"/>
          <w:sz w:val="32"/>
          <w:szCs w:val="32"/>
        </w:rPr>
        <w:t>三、名师引领，多措并举，打造高水平师资队伍</w:t>
      </w:r>
    </w:p>
    <w:p w14:paraId="468C16C0" w14:textId="77777777"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继续举办“名师讲堂”系列培训活动，将名师教学智慧转化为可推广的标准化教学范式，放大名师辐射效能。强化企业实践轮训，要求教师深入一线积累经验，鼓励参与项目、聘请企业专家结对共研，支持教师获取“双师型”认证及高含金量行业证书。依托“青蓝工程”，选聘名师骨干担任导师，制定系统培养计划，着力培育优秀青年教师，夯实学校发展后劲。统筹名师与金牌指导教师资源，引导骨干教师梳理转化教学与训练经验，通过教材开发等实践项目，锤炼课程开发、资源整合与反思能力，协同推进校本“金教材”建设，实现教师成长与资源优化双赢。加强名师专班建设，在关键领域为骨干教师提供引领与发展舞台。</w:t>
      </w:r>
    </w:p>
    <w:p w14:paraId="3A704379" w14:textId="77777777"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推行</w:t>
      </w:r>
      <w:r w:rsidRPr="001049F8">
        <w:rPr>
          <w:rFonts w:ascii="仿宋" w:eastAsia="仿宋" w:hAnsi="仿宋"/>
          <w:sz w:val="32"/>
          <w:szCs w:val="32"/>
        </w:rPr>
        <w:t>新教师“启航计划”</w:t>
      </w:r>
      <w:r w:rsidRPr="001049F8">
        <w:rPr>
          <w:rFonts w:ascii="仿宋" w:eastAsia="仿宋" w:hAnsi="仿宋" w:hint="eastAsia"/>
          <w:sz w:val="32"/>
          <w:szCs w:val="32"/>
        </w:rPr>
        <w:t>，对近几年入职的新教师进行</w:t>
      </w:r>
      <w:r w:rsidRPr="001049F8">
        <w:rPr>
          <w:rFonts w:ascii="仿宋" w:eastAsia="仿宋" w:hAnsi="仿宋"/>
          <w:sz w:val="32"/>
          <w:szCs w:val="32"/>
        </w:rPr>
        <w:t>集中培训，涵盖职教政策、教学设计、课堂管理、信息化教学工具应用</w:t>
      </w:r>
      <w:r w:rsidRPr="001049F8">
        <w:rPr>
          <w:rFonts w:ascii="仿宋" w:eastAsia="仿宋" w:hAnsi="仿宋" w:hint="eastAsia"/>
          <w:sz w:val="32"/>
          <w:szCs w:val="32"/>
        </w:rPr>
        <w:t>等，</w:t>
      </w:r>
      <w:r w:rsidRPr="001049F8">
        <w:rPr>
          <w:rFonts w:ascii="仿宋" w:eastAsia="仿宋" w:hAnsi="仿宋"/>
          <w:sz w:val="32"/>
          <w:szCs w:val="32"/>
        </w:rPr>
        <w:t>为每位新教师配备1名骨干教师作为导师，签订《师徒协议》，制定个性化成长档案</w:t>
      </w:r>
      <w:r w:rsidRPr="001049F8">
        <w:rPr>
          <w:rFonts w:ascii="仿宋" w:eastAsia="仿宋" w:hAnsi="仿宋" w:hint="eastAsia"/>
          <w:sz w:val="32"/>
          <w:szCs w:val="32"/>
        </w:rPr>
        <w:t>，</w:t>
      </w:r>
      <w:r w:rsidRPr="001049F8">
        <w:rPr>
          <w:rFonts w:ascii="仿宋" w:eastAsia="仿宋" w:hAnsi="仿宋"/>
          <w:sz w:val="32"/>
          <w:szCs w:val="32"/>
        </w:rPr>
        <w:t>组织“教学设计+模拟授课”过关考核</w:t>
      </w:r>
      <w:r w:rsidRPr="001049F8">
        <w:rPr>
          <w:rFonts w:ascii="仿宋" w:eastAsia="仿宋" w:hAnsi="仿宋" w:hint="eastAsia"/>
          <w:sz w:val="32"/>
          <w:szCs w:val="32"/>
        </w:rPr>
        <w:t>，激发新教师成长动力。推进骨干教师“领航计划”，继续</w:t>
      </w:r>
      <w:r w:rsidRPr="001049F8">
        <w:rPr>
          <w:rFonts w:ascii="仿宋" w:eastAsia="仿宋" w:hAnsi="仿宋"/>
          <w:sz w:val="32"/>
          <w:szCs w:val="32"/>
        </w:rPr>
        <w:t>选派骨干教师参加国家级“双师型”教师培训，</w:t>
      </w:r>
      <w:r w:rsidRPr="001049F8">
        <w:rPr>
          <w:rFonts w:ascii="仿宋" w:eastAsia="仿宋" w:hAnsi="仿宋" w:hint="eastAsia"/>
          <w:sz w:val="32"/>
          <w:szCs w:val="32"/>
        </w:rPr>
        <w:t>开拓视野与思路，提升专业能力。</w:t>
      </w:r>
      <w:r w:rsidRPr="001049F8">
        <w:rPr>
          <w:rFonts w:ascii="仿宋" w:eastAsia="仿宋" w:hAnsi="仿宋"/>
          <w:sz w:val="32"/>
          <w:szCs w:val="32"/>
        </w:rPr>
        <w:t>安排骨干教师到企业参与真实生产项目，</w:t>
      </w:r>
      <w:r w:rsidRPr="001049F8">
        <w:rPr>
          <w:rFonts w:ascii="仿宋" w:eastAsia="仿宋" w:hAnsi="仿宋" w:hint="eastAsia"/>
          <w:sz w:val="32"/>
          <w:szCs w:val="32"/>
        </w:rPr>
        <w:t>掌握新技术、新工艺</w:t>
      </w:r>
      <w:r w:rsidRPr="001049F8">
        <w:rPr>
          <w:rFonts w:ascii="仿宋" w:eastAsia="仿宋" w:hAnsi="仿宋"/>
          <w:sz w:val="32"/>
          <w:szCs w:val="32"/>
        </w:rPr>
        <w:t>。以专业群为单位组建5-8个校级教学团队，聚焦“岗课赛证”融通，开发模块化课程资源包</w:t>
      </w:r>
      <w:r w:rsidRPr="001049F8">
        <w:rPr>
          <w:rFonts w:ascii="仿宋" w:eastAsia="仿宋" w:hAnsi="仿宋" w:hint="eastAsia"/>
          <w:sz w:val="32"/>
          <w:szCs w:val="32"/>
        </w:rPr>
        <w:t>，开展教学创新活动，引领各专业教师共同成长。</w:t>
      </w:r>
    </w:p>
    <w:p w14:paraId="0857F852" w14:textId="77777777" w:rsidR="00B702F4" w:rsidRPr="001049F8" w:rsidRDefault="00000000" w:rsidP="001049F8">
      <w:pPr>
        <w:adjustRightInd w:val="0"/>
        <w:snapToGrid w:val="0"/>
        <w:spacing w:line="600" w:lineRule="exact"/>
        <w:ind w:firstLineChars="200" w:firstLine="640"/>
        <w:rPr>
          <w:rFonts w:ascii="黑体" w:eastAsia="黑体" w:hAnsi="黑体" w:hint="eastAsia"/>
          <w:sz w:val="32"/>
          <w:szCs w:val="32"/>
        </w:rPr>
      </w:pPr>
      <w:r w:rsidRPr="001049F8">
        <w:rPr>
          <w:rFonts w:ascii="黑体" w:eastAsia="黑体" w:hAnsi="黑体" w:hint="eastAsia"/>
          <w:sz w:val="32"/>
          <w:szCs w:val="32"/>
        </w:rPr>
        <w:t>四、聚焦升学，重视大赛，夯实学生成才路径</w:t>
      </w:r>
    </w:p>
    <w:p w14:paraId="2C9687C3" w14:textId="77777777"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组织职教高考班全员建立“一生一策”活页式成长档案手册，依托每次考试成绩进行横向对比与纵向追踪，精准识别每位学生的弱势学科、发展中学科和优势学科，制定个性化辅导方案；在所有班级张贴高考挑战榜，引导学生从第一次考试起即明确目标大学，书写励志宣言，营造“比学赶帮超”的积极氛围，激发内生动力。精准把握职教高考改革方向，组织高三高辅集备组科学制定各学科一轮复习计划及配档表，确保复习内容全面、进度清晰。关注学生思想动态与心理压力，及时疏导，营造专注、积极、向上的备考环境。</w:t>
      </w:r>
    </w:p>
    <w:p w14:paraId="144D8470" w14:textId="77777777" w:rsidR="00B702F4" w:rsidRDefault="00000000" w:rsidP="001049F8">
      <w:pPr>
        <w:adjustRightInd w:val="0"/>
        <w:snapToGrid w:val="0"/>
        <w:spacing w:line="560" w:lineRule="exact"/>
        <w:ind w:firstLineChars="200" w:firstLine="640"/>
        <w:rPr>
          <w:rFonts w:ascii="仿宋" w:eastAsia="仿宋" w:hAnsi="仿宋"/>
          <w:sz w:val="32"/>
          <w:szCs w:val="32"/>
        </w:rPr>
      </w:pPr>
      <w:r w:rsidRPr="001049F8">
        <w:rPr>
          <w:rFonts w:ascii="仿宋" w:eastAsia="仿宋" w:hAnsi="仿宋" w:hint="eastAsia"/>
          <w:sz w:val="32"/>
          <w:szCs w:val="32"/>
        </w:rPr>
        <w:t>对接世校赛“专业整合+产业需求”新赛道特点，优化项目布局与赛道匹配策略，构建“基础夯实-项目优化-综合展示”三阶段递进式训练体系，引入企业导师参与方案评审，依托数智化团队强化PPT设计、视频剪辑等展示环节竞争力，并积极联动外省强校交流备赛经验。参照世校赛标准模式，提前系统性启动项目设计文本资料筹备，针对各赛项技术特点与评分标准，分层制定精细化训练方案，严格执行标准化备赛流程，持续巩固和扩大在同类赛事中的领先优势。主动对接各级人社部门赛事安排，制定“早谋划、强落实”的系统参赛方案，重点在2025级新生中开展包含理论测试、实操考核和潜力评估的多维度选拔，建立动态化、阶梯式人才梯队库，保障优质选手的持续输送。积极争取省级赛事承办资质，促进赛事技术成果、标准规范及优秀人才的高效转化与价值延伸。健全全周期动态管理机制，精准掌握学生每日参训情况，大赛专班通过实战模拟、进度比对等方式定期开展训练现场评估，及时发现并解决薄弱环节，切实保障训练目标高质量达成。积极申报第48届世界技能大赛机器人系统集成中国集训基地，积极承办并参加人社部门组织的各级各类大赛、行业赛，以大赛促技能提升、资源整合和学校整体发展。</w:t>
      </w:r>
    </w:p>
    <w:p w14:paraId="7348D790" w14:textId="77777777" w:rsidR="001049F8" w:rsidRPr="001049F8" w:rsidRDefault="001049F8" w:rsidP="001049F8">
      <w:pPr>
        <w:adjustRightInd w:val="0"/>
        <w:snapToGrid w:val="0"/>
        <w:spacing w:line="560" w:lineRule="exact"/>
        <w:ind w:firstLineChars="200" w:firstLine="640"/>
        <w:rPr>
          <w:rFonts w:ascii="仿宋" w:eastAsia="仿宋" w:hAnsi="仿宋" w:hint="eastAsia"/>
          <w:sz w:val="32"/>
          <w:szCs w:val="32"/>
        </w:rPr>
      </w:pPr>
    </w:p>
    <w:p w14:paraId="1DECB57C" w14:textId="77777777" w:rsidR="00B702F4" w:rsidRPr="001049F8" w:rsidRDefault="00000000" w:rsidP="001049F8">
      <w:pPr>
        <w:adjustRightInd w:val="0"/>
        <w:snapToGrid w:val="0"/>
        <w:spacing w:line="600" w:lineRule="exact"/>
        <w:ind w:firstLineChars="200" w:firstLine="640"/>
        <w:rPr>
          <w:rFonts w:ascii="黑体" w:eastAsia="黑体" w:hAnsi="黑体" w:hint="eastAsia"/>
          <w:sz w:val="32"/>
          <w:szCs w:val="32"/>
        </w:rPr>
      </w:pPr>
      <w:r w:rsidRPr="001049F8">
        <w:rPr>
          <w:rFonts w:ascii="黑体" w:eastAsia="黑体" w:hAnsi="黑体" w:hint="eastAsia"/>
          <w:sz w:val="32"/>
          <w:szCs w:val="32"/>
        </w:rPr>
        <w:t>五、优化招生，强化服务，提升学校运行效能</w:t>
      </w:r>
    </w:p>
    <w:p w14:paraId="0EC9E8D5" w14:textId="77777777"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全面总结2024—2025学年度招生工作情况，对“以生招生”、教职工招生、团队招生等招生情况进行详细分析，优化招生模式。对近两年新增专业社会需求情况、企业用工情况和与我校开展合作的高校毕业生社会需求情况、毕业生在企业的用工情况进行专项调研，为2025—2026学年度招生计划编制提供决策依据。创新开放教育招生宣传形式，提高招生宣传材料吸引力，各部门加强全员、全程招生宣传，壮大招生力量，联系校外各行业、企业、单位等，拓宽招生渠道，共同做好开放教育秋季招生工作。</w:t>
      </w:r>
    </w:p>
    <w:p w14:paraId="18210F0C" w14:textId="77777777"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继续做好学校建校50周年大事记编撰工作，确保9月份成稿印刷；补充和收集2025年全年大事记素材，编撰、设计、排版、印刷完成2025年大事记；完成2024年度、2024-2025学年度档案材料的入馆工作。继续做好常规舆情及信访维稳工作，确保投诉的响应率、答复率100%。做好学籍管理工作，2025年毕业生毕业证办理、发放工作。按照区局统一安排，做好2025年度职称评审工作。严格实训室使用审批程序，明确指导教师责任，对实训班级进行严格管理，保障实训设备设施完备和使用效果。强化校园网络安全，推进监控系统效能提升与社会化运维。继续推行“双巡查制度”和大物业24小时值班制度，做到各项安全排查常态化，杜绝安全隐患。严格规范食材采购和验收；根据学校资金安排，合理规划校园维修养护项目，保障师生教育教学需求。</w:t>
      </w:r>
    </w:p>
    <w:p w14:paraId="64E264A5" w14:textId="77777777" w:rsidR="00B702F4" w:rsidRPr="001049F8" w:rsidRDefault="00000000" w:rsidP="001049F8">
      <w:pPr>
        <w:adjustRightInd w:val="0"/>
        <w:snapToGrid w:val="0"/>
        <w:spacing w:line="600" w:lineRule="exact"/>
        <w:ind w:firstLineChars="200" w:firstLine="640"/>
        <w:rPr>
          <w:rFonts w:ascii="黑体" w:eastAsia="黑体" w:hAnsi="黑体" w:hint="eastAsia"/>
          <w:sz w:val="32"/>
          <w:szCs w:val="32"/>
        </w:rPr>
      </w:pPr>
      <w:r w:rsidRPr="001049F8">
        <w:rPr>
          <w:rFonts w:ascii="黑体" w:eastAsia="黑体" w:hAnsi="黑体" w:hint="eastAsia"/>
          <w:sz w:val="32"/>
          <w:szCs w:val="32"/>
        </w:rPr>
        <w:t>六、多域融合，层次提升，三大项目重点推进</w:t>
      </w:r>
    </w:p>
    <w:p w14:paraId="5ED7A2B0" w14:textId="2071FB73"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推进新能源汽车运用与维修专业参与青岛市2025年现代学徒制项目，推进养老专业与企业共建开放型区域产教融合实践中心。探索开展名师服务企业技术咨询、参与技术攻关等项目，推进校企深度融合。根据与青岛市技师学院签订的合作办学协议，继续做好“技能+学历”工学一体复合型技能人才联合培养，做好高技能人才培养基地建设。联系区工会做好两个工匠学院的建设。根据住建部人社部和做好关于加强乡村建设工匠培训和管理的指导意见，做好乡村工匠平台搭建和乡村振兴工作。创新推进专技人员继续教育培训，新增参训幼儿园3家以上；强化与农业农村局、人社局等政府部门对接，继续参与做好高素质农民培训、基层干部培训等工作。组织电工、车工、钳工和汽车维修工社会培训评价，组织380名技工学籍学生参加建模员、婴幼儿发展引导员、电工、车工和汽车维修工职业技能认定，组织青岛市中企工业高级技工学校120人参加技工院校学生技能等级认定。</w:t>
      </w:r>
      <w:r w:rsidR="00E85B71" w:rsidRPr="001049F8">
        <w:rPr>
          <w:rFonts w:ascii="仿宋" w:eastAsia="仿宋" w:hAnsi="仿宋" w:hint="eastAsia"/>
          <w:sz w:val="32"/>
          <w:szCs w:val="32"/>
        </w:rPr>
        <w:t>以技师学院升级评估标准为导向，在现有工作基础上持续补齐短板，确保各项指标完全符合升级要求，重点抓好8-9月关键评审阶段工作，顺利通过区、市两级人社主管部门评估，高质量完成省厅最终验收准备，力争年内实现技师学院升格目标，推动办学层次再提升。</w:t>
      </w:r>
    </w:p>
    <w:p w14:paraId="7494A19A" w14:textId="77777777"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与著名高校、企业共建实验室和产业学院，共同开发项目，提升办学层次和水平。一是人工智能技术应用推广基地项目。与同济大学合作，共建人工智能技术应用推广基地，以企业数字化技术教育部工程中心在智能感知、机器学习、数据处理等领域的科研成果为核心技术支撑，依托青岛市第二高级技工学校在职业教育领域的优势，构建以机械加工、模具加工及焊接加工智能化升级为重点研究方向的人工智能技术应用推广基地，打造一个集研发、示范、培训和产业孵化于一体的综合服务平台。二是电力变换实验室引进项目。与石油大学（华东）新能源学院合作，开展实验室共建项目，双方通过共建电力变换实验室、共研课题与共享成果、师资互聘与协同培养、专业共建与发展论证、学生培养与联合育人、引企入校与产教融合等六种形式开展合作，主要用于太阳能发电、风力发电、储能系统等相关的样机实验和测试。三是数据标定产业学院共建项目。与商汤科技共建数据标注产业学院，与恒佳集团共建数据标注实训基地，双方共同进行人才培养、课程开发、科研合作，为社会培养更多专业数据标注人才。</w:t>
      </w:r>
    </w:p>
    <w:p w14:paraId="1DAEC266" w14:textId="77777777" w:rsidR="00B702F4" w:rsidRPr="001049F8" w:rsidRDefault="00000000" w:rsidP="001049F8">
      <w:pPr>
        <w:adjustRightInd w:val="0"/>
        <w:snapToGrid w:val="0"/>
        <w:spacing w:line="600" w:lineRule="exact"/>
        <w:ind w:firstLineChars="200" w:firstLine="640"/>
        <w:rPr>
          <w:rFonts w:ascii="仿宋" w:eastAsia="仿宋" w:hAnsi="仿宋" w:hint="eastAsia"/>
          <w:b/>
          <w:bCs/>
          <w:sz w:val="32"/>
          <w:szCs w:val="32"/>
        </w:rPr>
      </w:pPr>
      <w:r w:rsidRPr="001049F8">
        <w:rPr>
          <w:rFonts w:ascii="黑体" w:eastAsia="黑体" w:hAnsi="黑体" w:hint="eastAsia"/>
          <w:sz w:val="32"/>
          <w:szCs w:val="32"/>
        </w:rPr>
        <w:t>七、强化内涵，突出特色，三大中心齐头并进</w:t>
      </w:r>
    </w:p>
    <w:p w14:paraId="6AE83BEA" w14:textId="3AD80762"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楷体" w:eastAsia="楷体" w:hAnsi="楷体" w:hint="eastAsia"/>
          <w:sz w:val="32"/>
          <w:szCs w:val="32"/>
        </w:rPr>
        <w:t>思政教育研究中心</w:t>
      </w:r>
      <w:r w:rsidRPr="001049F8">
        <w:rPr>
          <w:rFonts w:ascii="仿宋" w:eastAsia="仿宋" w:hAnsi="仿宋" w:hint="eastAsia"/>
          <w:sz w:val="32"/>
          <w:szCs w:val="32"/>
        </w:rPr>
        <w:t>组织一次以青岛一诺集团有限公司冠名、主题为爱国主义教育和红色文化教育的征文活动，涵养学生爱国情怀。举办一次思政教师业务研讨交流会，碰撞思想智慧，提升业务素养，下半年争取加入青岛市思政课教学联盟，以此为契机推进思政课教师队伍可持续发展和思政课改革创新不断深入。</w:t>
      </w:r>
      <w:r w:rsidRPr="001049F8">
        <w:rPr>
          <w:rFonts w:ascii="楷体" w:eastAsia="楷体" w:hAnsi="楷体" w:hint="eastAsia"/>
          <w:sz w:val="32"/>
          <w:szCs w:val="32"/>
        </w:rPr>
        <w:t>茶业文化研究中心</w:t>
      </w:r>
      <w:r w:rsidRPr="001049F8">
        <w:rPr>
          <w:rFonts w:ascii="仿宋" w:eastAsia="仿宋" w:hAnsi="仿宋" w:hint="eastAsia"/>
          <w:sz w:val="32"/>
          <w:szCs w:val="32"/>
        </w:rPr>
        <w:t>依托正式获批成立的融弘茶业文化研究院，逐步开展实体化运营。通过暑期举办的2025中国（青岛）融窑柴烧创作营，与占绍林等全国知名陶艺大师切磋交流，建立密切联系，提升陶器制作技术及柴烧技术，初步构建品牌发展体系，丰富品牌内涵，扩大中心影响力。与政企行等共建产学研基地，开发茶器定制、茶文化体验等产业项目，推动成果转化。联合专家团队开展古法柴烧工艺标准化研究，申请专利与技术认证，增强核心竞争力。</w:t>
      </w:r>
      <w:r w:rsidRPr="001049F8">
        <w:rPr>
          <w:rFonts w:ascii="楷体" w:eastAsia="楷体" w:hAnsi="楷体" w:hint="eastAsia"/>
          <w:sz w:val="32"/>
          <w:szCs w:val="32"/>
        </w:rPr>
        <w:t>心理健康中心</w:t>
      </w:r>
      <w:r w:rsidRPr="001049F8">
        <w:rPr>
          <w:rFonts w:ascii="仿宋" w:eastAsia="仿宋" w:hAnsi="仿宋" w:hint="eastAsia"/>
          <w:sz w:val="32"/>
          <w:szCs w:val="32"/>
        </w:rPr>
        <w:t>引入多元测评工具，开展全面精准的心理健康测评工作，确保测评结果精准反映每一位学生心理健康全貌。同步推进全国学生心理健康监测信息上报任务。将心理健康教育重点项目“青藤心语</w:t>
      </w:r>
      <w:r w:rsidRPr="001049F8">
        <w:rPr>
          <w:rFonts w:ascii="微软雅黑" w:eastAsia="微软雅黑" w:hAnsi="微软雅黑" w:cs="微软雅黑" w:hint="eastAsia"/>
          <w:sz w:val="32"/>
          <w:szCs w:val="32"/>
        </w:rPr>
        <w:t>・</w:t>
      </w:r>
      <w:r w:rsidRPr="001049F8">
        <w:rPr>
          <w:rFonts w:ascii="仿宋" w:eastAsia="仿宋" w:hAnsi="仿宋" w:cs="仿宋" w:hint="eastAsia"/>
          <w:sz w:val="32"/>
          <w:szCs w:val="32"/>
        </w:rPr>
        <w:t>成长能量站”打造为校园心理健康服务旗舰品牌，为学生提供全方位、深层次、个性化的心理支持与成长助力。在“牧心专栏”公众号增设</w:t>
      </w:r>
      <w:r w:rsidRPr="001049F8">
        <w:rPr>
          <w:rFonts w:ascii="仿宋" w:eastAsia="仿宋" w:hAnsi="仿宋" w:hint="eastAsia"/>
          <w:sz w:val="32"/>
          <w:szCs w:val="32"/>
        </w:rPr>
        <w:t>“教师心理加油站”</w:t>
      </w:r>
      <w:r w:rsidR="001049F8">
        <w:rPr>
          <w:rFonts w:ascii="仿宋" w:eastAsia="仿宋" w:hAnsi="仿宋" w:hint="eastAsia"/>
          <w:sz w:val="32"/>
          <w:szCs w:val="32"/>
        </w:rPr>
        <w:t>、</w:t>
      </w:r>
      <w:r w:rsidRPr="001049F8">
        <w:rPr>
          <w:rFonts w:ascii="仿宋" w:eastAsia="仿宋" w:hAnsi="仿宋" w:hint="eastAsia"/>
          <w:sz w:val="32"/>
          <w:szCs w:val="32"/>
        </w:rPr>
        <w:t>“家长心理调适”等板块，精准推送贴合不同受众心理需求的内容，打造全方位、一站式校园心理资讯平台。</w:t>
      </w:r>
    </w:p>
    <w:p w14:paraId="723591C4" w14:textId="60D29FBA" w:rsidR="00B702F4" w:rsidRPr="001049F8" w:rsidRDefault="00000000" w:rsidP="001049F8">
      <w:pPr>
        <w:adjustRightInd w:val="0"/>
        <w:snapToGrid w:val="0"/>
        <w:spacing w:line="560" w:lineRule="exact"/>
        <w:ind w:firstLineChars="200" w:firstLine="640"/>
        <w:rPr>
          <w:rFonts w:ascii="仿宋" w:eastAsia="仿宋" w:hAnsi="仿宋" w:hint="eastAsia"/>
          <w:sz w:val="32"/>
          <w:szCs w:val="32"/>
        </w:rPr>
      </w:pPr>
      <w:r w:rsidRPr="001049F8">
        <w:rPr>
          <w:rFonts w:ascii="仿宋" w:eastAsia="仿宋" w:hAnsi="仿宋" w:hint="eastAsia"/>
          <w:sz w:val="32"/>
          <w:szCs w:val="32"/>
        </w:rPr>
        <w:t>2025年下半年，学校将紧扣新区发展需求，以提质培优为目标，以改革创新为动力，聚焦内涵建设，深化产教融合，推动学校各项工作再上新台阶。全体教职工将凝心聚力、真抓实干，以更高的标准、更实的作风、更强的担当，奋力开创职业教育高质量发展新局面，培养更多高素质技术技能型人才。</w:t>
      </w:r>
    </w:p>
    <w:sectPr w:rsidR="00B702F4" w:rsidRPr="001049F8" w:rsidSect="001049F8">
      <w:footerReference w:type="even" r:id="rId6"/>
      <w:footerReference w:type="default" r:id="rId7"/>
      <w:pgSz w:w="11906" w:h="16838"/>
      <w:pgMar w:top="2098" w:right="1474" w:bottom="1985" w:left="1588" w:header="851" w:footer="992" w:gutter="0"/>
      <w:pgNumType w:fmt="numberInDash"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EEB2F" w14:textId="77777777" w:rsidR="00413682" w:rsidRDefault="00413682" w:rsidP="001049F8">
      <w:pPr>
        <w:rPr>
          <w:rFonts w:hint="eastAsia"/>
        </w:rPr>
      </w:pPr>
      <w:r>
        <w:separator/>
      </w:r>
    </w:p>
  </w:endnote>
  <w:endnote w:type="continuationSeparator" w:id="0">
    <w:p w14:paraId="32C8FB6F" w14:textId="77777777" w:rsidR="00413682" w:rsidRDefault="00413682" w:rsidP="001049F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610685"/>
      <w:docPartObj>
        <w:docPartGallery w:val="Page Numbers (Bottom of Page)"/>
        <w:docPartUnique/>
      </w:docPartObj>
    </w:sdtPr>
    <w:sdtEndPr>
      <w:rPr>
        <w:rFonts w:ascii="宋体" w:eastAsia="宋体" w:hAnsi="宋体"/>
        <w:sz w:val="28"/>
        <w:szCs w:val="28"/>
      </w:rPr>
    </w:sdtEndPr>
    <w:sdtContent>
      <w:p w14:paraId="6A2069D2" w14:textId="5117F1E8" w:rsidR="001049F8" w:rsidRPr="001049F8" w:rsidRDefault="001049F8" w:rsidP="001049F8">
        <w:pPr>
          <w:pStyle w:val="a4"/>
          <w:jc w:val="right"/>
          <w:rPr>
            <w:rFonts w:ascii="宋体" w:eastAsia="宋体" w:hAnsi="宋体" w:hint="eastAsia"/>
            <w:sz w:val="28"/>
            <w:szCs w:val="28"/>
          </w:rPr>
        </w:pPr>
        <w:r w:rsidRPr="001049F8">
          <w:rPr>
            <w:rFonts w:ascii="宋体" w:eastAsia="宋体" w:hAnsi="宋体"/>
            <w:sz w:val="28"/>
            <w:szCs w:val="28"/>
          </w:rPr>
          <w:fldChar w:fldCharType="begin"/>
        </w:r>
        <w:r w:rsidRPr="001049F8">
          <w:rPr>
            <w:rFonts w:ascii="宋体" w:eastAsia="宋体" w:hAnsi="宋体"/>
            <w:sz w:val="28"/>
            <w:szCs w:val="28"/>
          </w:rPr>
          <w:instrText>PAGE   \* MERGEFORMAT</w:instrText>
        </w:r>
        <w:r w:rsidRPr="001049F8">
          <w:rPr>
            <w:rFonts w:ascii="宋体" w:eastAsia="宋体" w:hAnsi="宋体"/>
            <w:sz w:val="28"/>
            <w:szCs w:val="28"/>
          </w:rPr>
          <w:fldChar w:fldCharType="separate"/>
        </w:r>
        <w:r w:rsidRPr="001049F8">
          <w:rPr>
            <w:rFonts w:ascii="宋体" w:eastAsia="宋体" w:hAnsi="宋体"/>
            <w:sz w:val="28"/>
            <w:szCs w:val="28"/>
            <w:lang w:val="zh-CN"/>
          </w:rPr>
          <w:t>2</w:t>
        </w:r>
        <w:r w:rsidRPr="001049F8">
          <w:rPr>
            <w:rFonts w:ascii="宋体" w:eastAsia="宋体" w:hAnsi="宋体"/>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548939"/>
      <w:docPartObj>
        <w:docPartGallery w:val="Page Numbers (Bottom of Page)"/>
        <w:docPartUnique/>
      </w:docPartObj>
    </w:sdtPr>
    <w:sdtEndPr>
      <w:rPr>
        <w:rFonts w:ascii="宋体" w:eastAsia="宋体" w:hAnsi="宋体"/>
        <w:sz w:val="28"/>
        <w:szCs w:val="28"/>
      </w:rPr>
    </w:sdtEndPr>
    <w:sdtContent>
      <w:p w14:paraId="2AE989A3" w14:textId="5C820FCB" w:rsidR="001049F8" w:rsidRPr="001049F8" w:rsidRDefault="001049F8">
        <w:pPr>
          <w:pStyle w:val="a4"/>
          <w:rPr>
            <w:rFonts w:ascii="宋体" w:eastAsia="宋体" w:hAnsi="宋体" w:hint="eastAsia"/>
            <w:sz w:val="28"/>
            <w:szCs w:val="28"/>
          </w:rPr>
        </w:pPr>
        <w:r w:rsidRPr="001049F8">
          <w:rPr>
            <w:rFonts w:ascii="宋体" w:eastAsia="宋体" w:hAnsi="宋体"/>
            <w:sz w:val="28"/>
            <w:szCs w:val="28"/>
          </w:rPr>
          <w:fldChar w:fldCharType="begin"/>
        </w:r>
        <w:r w:rsidRPr="001049F8">
          <w:rPr>
            <w:rFonts w:ascii="宋体" w:eastAsia="宋体" w:hAnsi="宋体"/>
            <w:sz w:val="28"/>
            <w:szCs w:val="28"/>
          </w:rPr>
          <w:instrText>PAGE   \* MERGEFORMAT</w:instrText>
        </w:r>
        <w:r w:rsidRPr="001049F8">
          <w:rPr>
            <w:rFonts w:ascii="宋体" w:eastAsia="宋体" w:hAnsi="宋体"/>
            <w:sz w:val="28"/>
            <w:szCs w:val="28"/>
          </w:rPr>
          <w:fldChar w:fldCharType="separate"/>
        </w:r>
        <w:r w:rsidRPr="001049F8">
          <w:rPr>
            <w:rFonts w:ascii="宋体" w:eastAsia="宋体" w:hAnsi="宋体"/>
            <w:sz w:val="28"/>
            <w:szCs w:val="28"/>
            <w:lang w:val="zh-CN"/>
          </w:rPr>
          <w:t>2</w:t>
        </w:r>
        <w:r w:rsidRPr="001049F8">
          <w:rPr>
            <w:rFonts w:ascii="宋体" w:eastAsia="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A90CC" w14:textId="77777777" w:rsidR="00413682" w:rsidRDefault="00413682" w:rsidP="001049F8">
      <w:pPr>
        <w:rPr>
          <w:rFonts w:hint="eastAsia"/>
        </w:rPr>
      </w:pPr>
      <w:r>
        <w:separator/>
      </w:r>
    </w:p>
  </w:footnote>
  <w:footnote w:type="continuationSeparator" w:id="0">
    <w:p w14:paraId="7D6AE372" w14:textId="77777777" w:rsidR="00413682" w:rsidRDefault="00413682" w:rsidP="001049F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evenAndOddHeaders/>
  <w:drawingGridHorizontalSpacing w:val="105"/>
  <w:drawingGridVerticalSpacing w:val="156"/>
  <w:displayHorizontalDrawingGridEvery w:val="2"/>
  <w:displayVerticalDrawingGridEvery w:val="2"/>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DF"/>
    <w:rsid w:val="00060C8B"/>
    <w:rsid w:val="001049F8"/>
    <w:rsid w:val="001A3A13"/>
    <w:rsid w:val="001F5D3F"/>
    <w:rsid w:val="00250F1D"/>
    <w:rsid w:val="002C7B71"/>
    <w:rsid w:val="0038559D"/>
    <w:rsid w:val="00413682"/>
    <w:rsid w:val="004227CD"/>
    <w:rsid w:val="004E37DF"/>
    <w:rsid w:val="00587346"/>
    <w:rsid w:val="00690436"/>
    <w:rsid w:val="006D3C99"/>
    <w:rsid w:val="008E3E2F"/>
    <w:rsid w:val="00933BBC"/>
    <w:rsid w:val="00B702F4"/>
    <w:rsid w:val="00E1645F"/>
    <w:rsid w:val="00E85B71"/>
    <w:rsid w:val="15BC1F68"/>
    <w:rsid w:val="2F0A2368"/>
    <w:rsid w:val="303F594F"/>
    <w:rsid w:val="393A4362"/>
    <w:rsid w:val="56982E14"/>
    <w:rsid w:val="63AC5DDC"/>
    <w:rsid w:val="74E26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B9AF8"/>
  <w15:docId w15:val="{69F95F0B-69F1-430C-BA56-C4A1D2FF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Subtitle"/>
    <w:basedOn w:val="a"/>
    <w:next w:val="a"/>
    <w:link w:val="a7"/>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8">
    <w:name w:val="Normal (Web)"/>
    <w:basedOn w:val="a"/>
    <w:uiPriority w:val="99"/>
    <w:semiHidden/>
    <w:unhideWhenUsed/>
    <w:qFormat/>
    <w:rPr>
      <w:sz w:val="24"/>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Strong"/>
    <w:basedOn w:val="a0"/>
    <w:qFormat/>
    <w:rPr>
      <w:b/>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7">
    <w:name w:val="副标题 字符"/>
    <w:basedOn w:val="a0"/>
    <w:link w:val="a6"/>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styleId="af1">
    <w:name w:val="header"/>
    <w:basedOn w:val="a"/>
    <w:link w:val="af2"/>
    <w:uiPriority w:val="99"/>
    <w:unhideWhenUsed/>
    <w:rsid w:val="001049F8"/>
    <w:pPr>
      <w:tabs>
        <w:tab w:val="center" w:pos="4153"/>
        <w:tab w:val="right" w:pos="8306"/>
      </w:tabs>
      <w:snapToGrid w:val="0"/>
      <w:jc w:val="center"/>
    </w:pPr>
    <w:rPr>
      <w:sz w:val="18"/>
      <w:szCs w:val="18"/>
    </w:rPr>
  </w:style>
  <w:style w:type="character" w:customStyle="1" w:styleId="af2">
    <w:name w:val="页眉 字符"/>
    <w:basedOn w:val="a0"/>
    <w:link w:val="af1"/>
    <w:uiPriority w:val="99"/>
    <w:rsid w:val="001049F8"/>
    <w:rPr>
      <w:rFonts w:asciiTheme="minorHAnsi" w:eastAsiaTheme="minorEastAsia" w:hAnsiTheme="minorHAnsi" w:cstheme="minorBidi"/>
      <w:kern w:val="2"/>
      <w:sz w:val="18"/>
      <w:szCs w:val="18"/>
    </w:rPr>
  </w:style>
  <w:style w:type="character" w:customStyle="1" w:styleId="a5">
    <w:name w:val="页脚 字符"/>
    <w:basedOn w:val="a0"/>
    <w:link w:val="a4"/>
    <w:uiPriority w:val="99"/>
    <w:rsid w:val="001049F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10</Pages>
  <Words>787</Words>
  <Characters>4486</Characters>
  <Application>Microsoft Office Word</Application>
  <DocSecurity>0</DocSecurity>
  <Lines>37</Lines>
  <Paragraphs>10</Paragraphs>
  <ScaleCrop>false</ScaleCrop>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wangf</dc:creator>
  <cp:lastModifiedBy>敏 高</cp:lastModifiedBy>
  <cp:revision>3</cp:revision>
  <dcterms:created xsi:type="dcterms:W3CDTF">2025-06-26T01:01:00Z</dcterms:created>
  <dcterms:modified xsi:type="dcterms:W3CDTF">2025-08-24T03:10:00Z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eyJoZGlkIjoiZDE2NTEzMmY0ZDQ4OTkxZmYwMzdmMjExMzFjMjA0YmMiLCJ1c2VySWQiOiIzMzc5NTY4MTEifQ==</vt:lpwstr>
  </property>
  <property fmtid="{D5CDD505-2E9C-101B-9397-08002B2CF9AE}" pid="3" name="KSOProductBuildVer">
    <vt:lpwstr>2052-12.1.0.21915</vt:lpwstr>
  </property>
  <property fmtid="{D5CDD505-2E9C-101B-9397-08002B2CF9AE}" pid="4" name="ICV">
    <vt:lpwstr>B73947EB5CE94A0DAA69388E8E94C581_12</vt:lpwstr>
  </property>
</Properties>
</file>