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27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2025-2026学年度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第二学期教学工作计划</w:t>
      </w:r>
    </w:p>
    <w:p w14:paraId="780E72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34422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本学期</w:t>
      </w:r>
      <w:r>
        <w:rPr>
          <w:rFonts w:hint="eastAsia" w:ascii="仿宋" w:hAnsi="仿宋" w:eastAsia="仿宋" w:cs="仿宋"/>
          <w:sz w:val="32"/>
          <w:szCs w:val="32"/>
        </w:rPr>
        <w:t>立足“巩固成果、冲刺目标、提质增效”核心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bookmarkStart w:id="6" w:name="_GoBack"/>
      <w:bookmarkEnd w:id="6"/>
      <w:r>
        <w:rPr>
          <w:rFonts w:hint="eastAsia" w:ascii="仿宋" w:hAnsi="仿宋" w:eastAsia="仿宋" w:cs="仿宋"/>
          <w:sz w:val="32"/>
          <w:szCs w:val="32"/>
        </w:rPr>
        <w:t>聚焦核心重点，衔接上学期各项教学工作，细化关键任务、强化过程落实，推动职教高考、技能大赛、常规教学等各项工作稳步推进、提质见效，特制定本计划。</w:t>
      </w:r>
    </w:p>
    <w:p w14:paraId="4BB3B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heading_0"/>
      <w:r>
        <w:rPr>
          <w:rFonts w:hint="eastAsia" w:ascii="黑体" w:hAnsi="黑体" w:eastAsia="黑体" w:cs="黑体"/>
          <w:sz w:val="32"/>
          <w:szCs w:val="32"/>
        </w:rPr>
        <w:t>一、职教高考：冲刺补弱、严控过程、决胜考场</w:t>
      </w:r>
      <w:bookmarkEnd w:id="0"/>
    </w:p>
    <w:p w14:paraId="3D6573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职教高考工作以考前冲刺为核心，延续第一学期“一生一策”活页式成长档案，依托模拟考试成绩，精准定位每位学生的薄弱学科和知识点，师生共同优化二轮复习计划，针对性开展专项补弱辅导。规范组织中期模拟、考前适应性考试，严格落实考务流程，每场考试后召开专题成绩分析会，梳理失分原因、优化答题策略，强化应试技巧指导。同时，更新班级高考成绩挑战榜，强化学风管理，班主任及任课教师密切关注学生备考心态，及时开展心理疏导，营造“全力以赴、决战高考”的良好氛围，全面提升学生应试能力。</w:t>
      </w:r>
    </w:p>
    <w:p w14:paraId="53D162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1" w:name="heading_1"/>
      <w:r>
        <w:rPr>
          <w:rFonts w:hint="eastAsia" w:ascii="黑体" w:hAnsi="黑体" w:eastAsia="黑体" w:cs="黑体"/>
          <w:sz w:val="32"/>
          <w:szCs w:val="32"/>
        </w:rPr>
        <w:t>二、技能大赛：攻坚创优、强训提质、深化成果</w:t>
      </w:r>
      <w:bookmarkEnd w:id="1"/>
    </w:p>
    <w:p w14:paraId="0741D4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学期技能大赛工作聚焦国赛冲刺、省赛市赛优势巩固，优化“基础夯实-项目优化-综合展示”训练体系，深化企业导师合作，邀请专家参与训练指导和方案评审，加强与外省强校交流备赛经验，提升参赛选手综合竞争力。完善2025级新生人才梯队建设，优化梯队结构，实施分层训练。推进省级赛事承办筹备工作，细化执行方案，推动赛事技术成果、优秀人才与区域产业需求深度对接。强化备赛全周期动态管理，大赛专班定期开展训练评估，及时解决薄弱环节，确保备赛工作扎实有效。</w:t>
      </w:r>
    </w:p>
    <w:p w14:paraId="21D03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2" w:name="heading_2"/>
      <w:r>
        <w:rPr>
          <w:rFonts w:hint="eastAsia" w:ascii="黑体" w:hAnsi="黑体" w:eastAsia="黑体" w:cs="黑体"/>
          <w:sz w:val="32"/>
          <w:szCs w:val="32"/>
        </w:rPr>
        <w:t>三、常规教学：严管赋能、优化贯通</w:t>
      </w:r>
      <w:bookmarkEnd w:id="2"/>
    </w:p>
    <w:p w14:paraId="6AC96B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常规教学以提升质量为核心，强化教学常规管理，延续联合检查小组工作机制，采用线上线下结合方式，检查早读、课堂、自习情况，及时反馈整改。坚持“三查一评比”机制，每两周检查教师备课、学生笔记、作业批改情况，每月开展优秀导学案评比并推广。推进“AI+”素养工程，开展教师AI工具实操培训，优化实训设计，减少教师重复性工作，提升教学效能。完善五年一贯制教学体系，明确中高职衔接定位，强化实训教学，优化师资配备，落实各专业课程标准，夯实教学基础。</w:t>
      </w:r>
    </w:p>
    <w:p w14:paraId="1D1D49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3" w:name="heading_3"/>
      <w:r>
        <w:rPr>
          <w:rFonts w:hint="eastAsia" w:ascii="黑体" w:hAnsi="黑体" w:eastAsia="黑体" w:cs="黑体"/>
          <w:sz w:val="32"/>
          <w:szCs w:val="32"/>
        </w:rPr>
        <w:t>四、教师发展：双师引领、梯队赋能</w:t>
      </w:r>
      <w:bookmarkEnd w:id="3"/>
    </w:p>
    <w:p w14:paraId="6B98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坚持双师型教师培养导向，推进教师企业实践轮训，要求教师深入企业一线积累岗位经验，鼓励参与企业项目研发，聘请企业专家结对共研。支持教师考取“双师型”认证及高含金量行业证书，扩大双师型教师队伍。依托“青蓝工程”，选聘名师骨干担任导师，为青年教师制定系统培养计划，通过听课评课、教研研讨，培育优秀青年教师。引导骨干教师梳理教学训练经验，参与校本“金教材”编撰，推动经验转化为教学资源，实现教师成长与资源优化双赢。</w:t>
      </w:r>
    </w:p>
    <w:p w14:paraId="796E02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4" w:name="heading_4"/>
      <w:r>
        <w:rPr>
          <w:rFonts w:hint="eastAsia" w:ascii="黑体" w:hAnsi="黑体" w:eastAsia="黑体" w:cs="黑体"/>
          <w:sz w:val="32"/>
          <w:szCs w:val="32"/>
        </w:rPr>
        <w:t>五、心理健康教育：普及护航、精准干预</w:t>
      </w:r>
      <w:bookmarkEnd w:id="4"/>
    </w:p>
    <w:p w14:paraId="2B485B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构建全方位心理健康教育体系，将心理健康内容融入日常课程，开展压力调适、情绪管理等主题讲座，通过公众号“牧心专栏”定期推送科普文章，扩大普及覆盖面。按规组织春季学生心理测评，建立重点学生心理档案，实施分类跟进、精准干预，为高三重点班开通心理咨询绿色通道，提供一对一辅导。指导各班开展心理健康主题班会，组织专题文化活动，缓解学生学习压力。强化专兼职教师及班主任培训，提升心理问题识别、危机应对能力，筑牢学生心理健康防线。</w:t>
      </w:r>
    </w:p>
    <w:p w14:paraId="442BB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heading_5"/>
      <w:r>
        <w:rPr>
          <w:rFonts w:hint="eastAsia" w:ascii="黑体" w:hAnsi="黑体" w:eastAsia="黑体" w:cs="黑体"/>
          <w:sz w:val="32"/>
          <w:szCs w:val="32"/>
        </w:rPr>
        <w:t>六、保障措施</w:t>
      </w:r>
      <w:bookmarkEnd w:id="5"/>
    </w:p>
    <w:p w14:paraId="2C0767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明确各部门、各专业部责任分工，细化各项工作时间节点，确保任务到人、落实到位。建立定期督查机制，对各项工作开展情况进行常态化检查、评估，及时发现问题、督促整改，保障工作质量。合理调配师资、实训、经费等资源，优先保障职教高考、技能大赛等重点工作需求。加强各部门、各班级协作配合，形成工作合力，确保本学期教学工作计划顺利落地、取得实效。</w:t>
      </w:r>
    </w:p>
    <w:p w14:paraId="2543A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0EEA7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379D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000220CA"/>
    <w:rsid w:val="14AE49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A6CA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1454</Words>
  <Characters>1468</Characters>
  <TotalTime>7</TotalTime>
  <ScaleCrop>false</ScaleCrop>
  <LinksUpToDate>false</LinksUpToDate>
  <CharactersWithSpaces>1468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2026-03-17T00:25:00Z</dcterms:created>
  <dc:creator>Apache POI</dc:creator>
  <cp:lastModifiedBy>.</cp:lastModifiedBy>
  <dcterms:modified xsi:type="dcterms:W3CDTF">2026-03-17T00:44:02Z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eyJoZGlkIjoiYzk1N2NiZjUyYTEzYjMxMjk4ZDYxZjRlZWVmYzYwNjYiLCJ1c2VySWQiOiIzNzAyOTkyNzUifQ==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85FE7D09A5394A8E97B74DBB6A57B483_12</vt:lpwstr>
  </property>
</Properties>
</file>