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8F307">
      <w:pPr>
        <w:widowControl/>
        <w:ind w:firstLine="0" w:firstLineChars="0"/>
        <w:jc w:val="center"/>
        <w:rPr>
          <w:rFonts w:ascii="Times New Roman" w:hAnsi="Times New Roman" w:eastAsia="方正小标宋_GBK" w:cs="Times New Roman"/>
          <w:bCs/>
          <w:sz w:val="44"/>
          <w:szCs w:val="44"/>
        </w:rPr>
      </w:pPr>
      <w:r>
        <w:rPr>
          <w:rFonts w:hint="eastAsia" w:ascii="Times New Roman" w:hAnsi="Times New Roman" w:eastAsia="方正小标宋_GBK" w:cs="Times New Roman"/>
          <w:bCs/>
          <w:sz w:val="44"/>
          <w:szCs w:val="44"/>
        </w:rPr>
        <w:t>青岛西海岸新区生态环境“十五五”规划</w:t>
      </w:r>
    </w:p>
    <w:p w14:paraId="0EA50D07">
      <w:pPr>
        <w:widowControl/>
        <w:ind w:firstLine="0" w:firstLineChars="0"/>
        <w:jc w:val="center"/>
        <w:rPr>
          <w:rFonts w:ascii="Times New Roman" w:hAnsi="Times New Roman" w:eastAsia="方正小标宋_GBK" w:cs="Times New Roman"/>
          <w:bCs/>
          <w:sz w:val="44"/>
          <w:szCs w:val="44"/>
        </w:rPr>
      </w:pPr>
      <w:r>
        <w:rPr>
          <w:rFonts w:hint="eastAsia" w:ascii="Times New Roman" w:hAnsi="Times New Roman" w:eastAsia="楷体_GB2312" w:cs="Times New Roman"/>
          <w:szCs w:val="32"/>
        </w:rPr>
        <w:t>（征求意见稿）</w:t>
      </w:r>
    </w:p>
    <w:p w14:paraId="2EF402B8">
      <w:pPr>
        <w:ind w:firstLine="640"/>
        <w:rPr>
          <w:rFonts w:ascii="Times New Roman" w:hAnsi="Times New Roman" w:cs="Times New Roman"/>
          <w:color w:val="000000" w:themeColor="text1"/>
          <w:szCs w:val="32"/>
          <w14:textFill>
            <w14:solidFill>
              <w14:schemeClr w14:val="tx1"/>
            </w14:solidFill>
          </w14:textFill>
        </w:rPr>
      </w:pPr>
    </w:p>
    <w:p w14:paraId="0C73A7FB">
      <w:pPr>
        <w:pStyle w:val="4"/>
        <w:numPr>
          <w:ilvl w:val="0"/>
          <w:numId w:val="1"/>
        </w:numPr>
        <w:ind w:firstLine="643"/>
        <w:rPr>
          <w:rFonts w:ascii="Times New Roman" w:hAnsi="Times New Roman" w:cs="Times New Roman"/>
        </w:rPr>
      </w:pPr>
      <w:r>
        <w:rPr>
          <w:rFonts w:ascii="Times New Roman" w:hAnsi="Times New Roman" w:cs="Times New Roman"/>
        </w:rPr>
        <w:t>总体要求</w:t>
      </w:r>
    </w:p>
    <w:p w14:paraId="7525E8E0">
      <w:pPr>
        <w:pStyle w:val="5"/>
        <w:numPr>
          <w:ilvl w:val="0"/>
          <w:numId w:val="2"/>
        </w:numPr>
        <w:spacing w:beforeLines="0" w:afterLines="0"/>
        <w:ind w:firstLine="640"/>
        <w:rPr>
          <w:rFonts w:ascii="Times New Roman" w:hAnsi="Times New Roman" w:cs="Times New Roman"/>
        </w:rPr>
      </w:pPr>
      <w:r>
        <w:rPr>
          <w:rFonts w:ascii="Times New Roman" w:hAnsi="Times New Roman" w:cs="Times New Roman"/>
        </w:rPr>
        <w:t>指导思想</w:t>
      </w:r>
    </w:p>
    <w:p w14:paraId="54873A05">
      <w:pPr>
        <w:ind w:firstLine="640"/>
        <w:rPr>
          <w:rFonts w:ascii="Times New Roman" w:hAnsi="Times New Roman" w:cs="Times New Roman"/>
        </w:rPr>
      </w:pPr>
      <w:r>
        <w:rPr>
          <w:rFonts w:hint="eastAsia" w:ascii="Times New Roman" w:hAnsi="Times New Roman" w:cs="Times New Roman"/>
        </w:rPr>
        <w:t>坚持以习近平新时代中国特色社会</w:t>
      </w:r>
      <w:bookmarkStart w:id="18" w:name="_GoBack"/>
      <w:bookmarkEnd w:id="18"/>
      <w:r>
        <w:rPr>
          <w:rFonts w:hint="eastAsia" w:ascii="Times New Roman" w:hAnsi="Times New Roman" w:cs="Times New Roman"/>
        </w:rPr>
        <w:t>主义思想为指导，全面贯彻党的二十大和二十届历次全会精神。深入落实习近平生态文明思想，深入贯彻落实习近平总书记对山东、对青岛工作的重要指示要求，</w:t>
      </w:r>
      <w:r>
        <w:rPr>
          <w:rFonts w:ascii="Times New Roman" w:hAnsi="Times New Roman" w:cs="Times New Roman"/>
        </w:rPr>
        <w:t>落实全国生态环境保护大会部署，</w:t>
      </w:r>
      <w:r>
        <w:rPr>
          <w:rFonts w:hint="eastAsia" w:ascii="Times New Roman" w:hAnsi="Times New Roman" w:cs="Times New Roman"/>
          <w:szCs w:val="32"/>
        </w:rPr>
        <w:t>牢固树立和践行绿水青山就是金山银山的理念，以建设绿色低碳的美丽城市为牵引，协同推进降碳、减污、扩绿、增长，持续深入推进污染防治攻坚和生态系统优化，加快建设新型能源体系，积极稳妥推进和实现碳达峰，加快形成绿色生产生活方式。</w:t>
      </w:r>
      <w:r>
        <w:rPr>
          <w:rFonts w:hint="eastAsia" w:ascii="Times New Roman" w:hAnsi="Times New Roman" w:cs="Times New Roman"/>
        </w:rPr>
        <w:t>坚定扛起“走在前、挑大梁”使命担当，打头阵、当先锋，为新区建设新时代社会主义现代化示范引领区</w:t>
      </w:r>
      <w:r>
        <w:rPr>
          <w:rFonts w:ascii="Times New Roman" w:hAnsi="Times New Roman" w:cs="Times New Roman"/>
        </w:rPr>
        <w:t>提供绿色生态保障</w:t>
      </w:r>
      <w:r>
        <w:rPr>
          <w:rFonts w:hint="eastAsia" w:ascii="Times New Roman" w:hAnsi="Times New Roman" w:cs="Times New Roman"/>
        </w:rPr>
        <w:t>。</w:t>
      </w:r>
    </w:p>
    <w:p w14:paraId="7BC46C00">
      <w:pPr>
        <w:pStyle w:val="5"/>
        <w:spacing w:beforeLines="0" w:afterLines="0"/>
        <w:ind w:firstLine="64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二</w:t>
      </w:r>
      <w:r>
        <w:rPr>
          <w:rFonts w:ascii="Times New Roman" w:hAnsi="Times New Roman" w:cs="Times New Roman"/>
        </w:rPr>
        <w:t>）总体目标</w:t>
      </w:r>
    </w:p>
    <w:p w14:paraId="6855583F">
      <w:pPr>
        <w:ind w:firstLine="640"/>
        <w:rPr>
          <w:rFonts w:ascii="Times New Roman" w:hAnsi="Times New Roman" w:cs="Times New Roman"/>
        </w:rPr>
      </w:pPr>
      <w:r>
        <w:rPr>
          <w:rFonts w:ascii="Times New Roman" w:hAnsi="Times New Roman" w:cs="Times New Roman"/>
        </w:rPr>
        <w:t>与国家、省、市中远期目标衔接，综合考虑新区产业结构、发展水平、自然条件和工作基础，确定西海岸新区</w:t>
      </w:r>
      <w:r>
        <w:rPr>
          <w:rFonts w:hint="eastAsia" w:ascii="Times New Roman" w:hAnsi="Times New Roman" w:cs="Times New Roman"/>
        </w:rPr>
        <w:t>“</w:t>
      </w:r>
      <w:r>
        <w:rPr>
          <w:rFonts w:ascii="Times New Roman" w:hAnsi="Times New Roman" w:cs="Times New Roman"/>
        </w:rPr>
        <w:t>十五五</w:t>
      </w:r>
      <w:r>
        <w:rPr>
          <w:rFonts w:hint="eastAsia" w:ascii="Times New Roman" w:hAnsi="Times New Roman" w:cs="Times New Roman"/>
        </w:rPr>
        <w:t>”</w:t>
      </w:r>
      <w:r>
        <w:rPr>
          <w:rFonts w:ascii="Times New Roman" w:hAnsi="Times New Roman" w:cs="Times New Roman"/>
        </w:rPr>
        <w:t>期间生态环境保护工作总体目标为：到2030年，</w:t>
      </w:r>
      <w:r>
        <w:rPr>
          <w:rFonts w:hint="eastAsia" w:ascii="Times New Roman" w:hAnsi="Times New Roman" w:cs="Times New Roman"/>
          <w:szCs w:val="32"/>
        </w:rPr>
        <w:t>经济社会发展全面绿色转型取得显著成效，</w:t>
      </w:r>
      <w:r>
        <w:rPr>
          <w:rFonts w:ascii="Times New Roman" w:hAnsi="Times New Roman" w:cs="Times New Roman"/>
        </w:rPr>
        <w:t>城乡人居环境明显改善，生态空间</w:t>
      </w:r>
      <w:r>
        <w:rPr>
          <w:rFonts w:hint="eastAsia" w:ascii="Times New Roman" w:hAnsi="Times New Roman" w:cs="Times New Roman"/>
          <w:szCs w:val="32"/>
        </w:rPr>
        <w:t>布局</w:t>
      </w:r>
      <w:r>
        <w:rPr>
          <w:rFonts w:ascii="Times New Roman" w:hAnsi="Times New Roman" w:cs="Times New Roman"/>
        </w:rPr>
        <w:t>进一步优化，</w:t>
      </w:r>
      <w:bookmarkStart w:id="0" w:name="OLE_LINK3"/>
      <w:r>
        <w:rPr>
          <w:rFonts w:ascii="Times New Roman" w:hAnsi="Times New Roman" w:cs="Times New Roman"/>
        </w:rPr>
        <w:t>气候变化应对能力大幅提高，</w:t>
      </w:r>
      <w:bookmarkEnd w:id="0"/>
      <w:r>
        <w:rPr>
          <w:rFonts w:ascii="Times New Roman" w:hAnsi="Times New Roman" w:cs="Times New Roman"/>
        </w:rPr>
        <w:t>环境风险得到全面管控，生态环境保护制度体系基本完善，环境治理能力不断提高，</w:t>
      </w:r>
      <w:bookmarkStart w:id="1" w:name="OLE_LINK2"/>
      <w:r>
        <w:rPr>
          <w:rFonts w:ascii="Times New Roman" w:hAnsi="Times New Roman" w:cs="Times New Roman"/>
        </w:rPr>
        <w:t>山水林田海岛湾</w:t>
      </w:r>
      <w:bookmarkEnd w:id="1"/>
      <w:r>
        <w:rPr>
          <w:rFonts w:ascii="Times New Roman" w:hAnsi="Times New Roman" w:cs="Times New Roman"/>
        </w:rPr>
        <w:t>一体化</w:t>
      </w:r>
      <w:r>
        <w:rPr>
          <w:rFonts w:hint="eastAsia" w:ascii="Times New Roman" w:hAnsi="Times New Roman" w:cs="Times New Roman"/>
        </w:rPr>
        <w:t>保护修复取得显著成效</w:t>
      </w:r>
      <w:r>
        <w:rPr>
          <w:rFonts w:ascii="Times New Roman" w:hAnsi="Times New Roman" w:cs="Times New Roman"/>
        </w:rPr>
        <w:t>。</w:t>
      </w:r>
    </w:p>
    <w:p w14:paraId="6A72E2FA">
      <w:pPr>
        <w:ind w:firstLine="620"/>
        <w:rPr>
          <w:rFonts w:ascii="Times New Roman" w:hAnsi="Times New Roman" w:eastAsia="黑体" w:cs="Times New Roman"/>
          <w:color w:val="000000"/>
          <w:kern w:val="0"/>
          <w:sz w:val="31"/>
          <w:szCs w:val="31"/>
        </w:rPr>
      </w:pPr>
      <w:r>
        <w:rPr>
          <w:rFonts w:ascii="Times New Roman" w:hAnsi="Times New Roman" w:eastAsia="黑体" w:cs="Times New Roman"/>
          <w:color w:val="000000"/>
          <w:kern w:val="0"/>
          <w:sz w:val="31"/>
          <w:szCs w:val="31"/>
        </w:rPr>
        <w:br w:type="page"/>
      </w:r>
    </w:p>
    <w:p w14:paraId="12C2878F">
      <w:pPr>
        <w:widowControl/>
        <w:ind w:firstLine="620"/>
        <w:jc w:val="center"/>
        <w:rPr>
          <w:rFonts w:ascii="Times New Roman" w:hAnsi="Times New Roman" w:eastAsia="黑体" w:cs="Times New Roman"/>
          <w:color w:val="000000"/>
          <w:kern w:val="0"/>
          <w:sz w:val="31"/>
          <w:szCs w:val="31"/>
        </w:rPr>
      </w:pPr>
      <w:r>
        <w:rPr>
          <w:rFonts w:hint="eastAsia" w:ascii="Times New Roman" w:hAnsi="Times New Roman" w:eastAsia="黑体" w:cs="Times New Roman"/>
          <w:color w:val="000000"/>
          <w:kern w:val="0"/>
          <w:sz w:val="31"/>
          <w:szCs w:val="31"/>
        </w:rPr>
        <w:t>西海岸新区</w:t>
      </w:r>
      <w:r>
        <w:rPr>
          <w:rFonts w:ascii="Times New Roman" w:hAnsi="Times New Roman" w:eastAsia="黑体" w:cs="Times New Roman"/>
          <w:color w:val="000000"/>
          <w:kern w:val="0"/>
          <w:sz w:val="31"/>
          <w:szCs w:val="31"/>
        </w:rPr>
        <w:t>“十</w:t>
      </w:r>
      <w:r>
        <w:rPr>
          <w:rFonts w:hint="eastAsia" w:ascii="Times New Roman" w:hAnsi="Times New Roman" w:eastAsia="黑体" w:cs="Times New Roman"/>
          <w:color w:val="000000"/>
          <w:kern w:val="0"/>
          <w:sz w:val="31"/>
          <w:szCs w:val="31"/>
        </w:rPr>
        <w:t>五</w:t>
      </w:r>
      <w:r>
        <w:rPr>
          <w:rFonts w:ascii="Times New Roman" w:hAnsi="Times New Roman" w:eastAsia="黑体" w:cs="Times New Roman"/>
          <w:color w:val="000000"/>
          <w:kern w:val="0"/>
          <w:sz w:val="31"/>
          <w:szCs w:val="31"/>
        </w:rPr>
        <w:t>五”生态环境</w:t>
      </w:r>
      <w:r>
        <w:rPr>
          <w:rFonts w:hint="eastAsia" w:ascii="Times New Roman" w:hAnsi="Times New Roman" w:eastAsia="黑体" w:cs="Times New Roman"/>
          <w:color w:val="000000"/>
          <w:kern w:val="0"/>
          <w:sz w:val="31"/>
          <w:szCs w:val="31"/>
        </w:rPr>
        <w:t>保护</w:t>
      </w:r>
      <w:r>
        <w:rPr>
          <w:rFonts w:ascii="Times New Roman" w:hAnsi="Times New Roman" w:eastAsia="黑体" w:cs="Times New Roman"/>
          <w:color w:val="000000"/>
          <w:kern w:val="0"/>
          <w:sz w:val="31"/>
          <w:szCs w:val="31"/>
        </w:rPr>
        <w:t>指标</w:t>
      </w:r>
    </w:p>
    <w:tbl>
      <w:tblPr>
        <w:tblStyle w:val="13"/>
        <w:tblpPr w:leftFromText="180" w:rightFromText="180" w:vertAnchor="text" w:horzAnchor="page" w:tblpX="1575" w:tblpY="6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8"/>
        <w:gridCol w:w="694"/>
        <w:gridCol w:w="3122"/>
        <w:gridCol w:w="867"/>
        <w:gridCol w:w="1445"/>
        <w:gridCol w:w="946"/>
      </w:tblGrid>
      <w:tr w14:paraId="5A690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Align w:val="center"/>
          </w:tcPr>
          <w:p w14:paraId="0769FA04">
            <w:pPr>
              <w:spacing w:line="240" w:lineRule="auto"/>
              <w:ind w:firstLine="0" w:firstLineChars="0"/>
              <w:jc w:val="center"/>
              <w:rPr>
                <w:rFonts w:ascii="黑体" w:hAnsi="黑体" w:eastAsia="黑体" w:cs="黑体"/>
                <w:sz w:val="24"/>
                <w:szCs w:val="32"/>
              </w:rPr>
            </w:pPr>
            <w:r>
              <w:rPr>
                <w:rFonts w:hint="eastAsia" w:ascii="黑体" w:hAnsi="黑体" w:eastAsia="黑体" w:cs="黑体"/>
                <w:sz w:val="24"/>
                <w:szCs w:val="32"/>
              </w:rPr>
              <w:t>类别</w:t>
            </w:r>
          </w:p>
        </w:tc>
        <w:tc>
          <w:tcPr>
            <w:tcW w:w="0" w:type="auto"/>
            <w:vAlign w:val="center"/>
          </w:tcPr>
          <w:p w14:paraId="617E3966">
            <w:pPr>
              <w:spacing w:line="240" w:lineRule="auto"/>
              <w:ind w:firstLine="0" w:firstLineChars="0"/>
              <w:jc w:val="center"/>
              <w:rPr>
                <w:rFonts w:ascii="黑体" w:hAnsi="黑体" w:eastAsia="黑体" w:cs="黑体"/>
                <w:sz w:val="24"/>
                <w:szCs w:val="32"/>
              </w:rPr>
            </w:pPr>
            <w:r>
              <w:rPr>
                <w:rFonts w:hint="eastAsia" w:ascii="黑体" w:hAnsi="黑体" w:eastAsia="黑体" w:cs="黑体"/>
                <w:sz w:val="24"/>
                <w:szCs w:val="32"/>
              </w:rPr>
              <w:t>序号</w:t>
            </w:r>
          </w:p>
        </w:tc>
        <w:tc>
          <w:tcPr>
            <w:tcW w:w="3122" w:type="dxa"/>
            <w:vAlign w:val="center"/>
          </w:tcPr>
          <w:p w14:paraId="2C757756">
            <w:pPr>
              <w:spacing w:line="240" w:lineRule="auto"/>
              <w:ind w:firstLine="0" w:firstLineChars="0"/>
              <w:jc w:val="center"/>
              <w:rPr>
                <w:rFonts w:ascii="黑体" w:hAnsi="黑体" w:eastAsia="黑体" w:cs="黑体"/>
                <w:sz w:val="24"/>
                <w:szCs w:val="32"/>
              </w:rPr>
            </w:pPr>
            <w:r>
              <w:rPr>
                <w:rFonts w:hint="eastAsia" w:ascii="黑体" w:hAnsi="黑体" w:eastAsia="黑体" w:cs="黑体"/>
                <w:sz w:val="24"/>
                <w:szCs w:val="32"/>
              </w:rPr>
              <w:t>指标名称</w:t>
            </w:r>
          </w:p>
        </w:tc>
        <w:tc>
          <w:tcPr>
            <w:tcW w:w="867" w:type="dxa"/>
            <w:vAlign w:val="center"/>
          </w:tcPr>
          <w:p w14:paraId="176D17D1">
            <w:pPr>
              <w:spacing w:line="240" w:lineRule="auto"/>
              <w:ind w:firstLine="0" w:firstLineChars="0"/>
              <w:jc w:val="center"/>
              <w:rPr>
                <w:rFonts w:ascii="黑体" w:hAnsi="黑体" w:eastAsia="黑体" w:cs="黑体"/>
                <w:sz w:val="24"/>
                <w:szCs w:val="32"/>
              </w:rPr>
            </w:pPr>
            <w:r>
              <w:rPr>
                <w:rFonts w:hint="eastAsia" w:ascii="黑体" w:hAnsi="黑体" w:eastAsia="黑体" w:cs="黑体"/>
                <w:sz w:val="24"/>
                <w:szCs w:val="32"/>
              </w:rPr>
              <w:t>单位</w:t>
            </w:r>
          </w:p>
        </w:tc>
        <w:tc>
          <w:tcPr>
            <w:tcW w:w="1445" w:type="dxa"/>
            <w:vAlign w:val="center"/>
          </w:tcPr>
          <w:p w14:paraId="1081D66E">
            <w:pPr>
              <w:spacing w:line="240" w:lineRule="auto"/>
              <w:ind w:firstLine="0" w:firstLineChars="0"/>
              <w:jc w:val="center"/>
              <w:rPr>
                <w:rFonts w:ascii="黑体" w:hAnsi="黑体" w:eastAsia="黑体" w:cs="黑体"/>
                <w:sz w:val="24"/>
                <w:szCs w:val="32"/>
              </w:rPr>
            </w:pPr>
            <w:r>
              <w:rPr>
                <w:rFonts w:hint="eastAsia" w:ascii="黑体" w:hAnsi="黑体" w:eastAsia="黑体" w:cs="黑体"/>
                <w:sz w:val="24"/>
                <w:szCs w:val="32"/>
              </w:rPr>
              <w:t>2030年</w:t>
            </w:r>
          </w:p>
        </w:tc>
        <w:tc>
          <w:tcPr>
            <w:tcW w:w="946" w:type="dxa"/>
            <w:vAlign w:val="center"/>
          </w:tcPr>
          <w:p w14:paraId="11E8319B">
            <w:pPr>
              <w:spacing w:line="240" w:lineRule="auto"/>
              <w:ind w:firstLine="0" w:firstLineChars="0"/>
              <w:jc w:val="center"/>
              <w:rPr>
                <w:rFonts w:ascii="黑体" w:hAnsi="黑体" w:eastAsia="黑体" w:cs="黑体"/>
                <w:sz w:val="24"/>
                <w:szCs w:val="32"/>
              </w:rPr>
            </w:pPr>
            <w:r>
              <w:rPr>
                <w:rFonts w:hint="eastAsia" w:ascii="黑体" w:hAnsi="黑体" w:eastAsia="黑体" w:cs="黑体"/>
                <w:sz w:val="24"/>
                <w:szCs w:val="32"/>
              </w:rPr>
              <w:t>属性</w:t>
            </w:r>
          </w:p>
        </w:tc>
      </w:tr>
      <w:tr w14:paraId="749F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restart"/>
            <w:vAlign w:val="center"/>
          </w:tcPr>
          <w:p w14:paraId="2DB728B3">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环境质量改善</w:t>
            </w:r>
          </w:p>
        </w:tc>
        <w:tc>
          <w:tcPr>
            <w:tcW w:w="0" w:type="auto"/>
            <w:vAlign w:val="center"/>
          </w:tcPr>
          <w:p w14:paraId="3B722D8B">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1</w:t>
            </w:r>
          </w:p>
        </w:tc>
        <w:tc>
          <w:tcPr>
            <w:tcW w:w="3122" w:type="dxa"/>
            <w:vAlign w:val="center"/>
          </w:tcPr>
          <w:p w14:paraId="21D3FEED">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细颗粒物（PM</w:t>
            </w:r>
            <w:r>
              <w:rPr>
                <w:rFonts w:ascii="Times New Roman" w:hAnsi="Times New Roman" w:cs="Times New Roman"/>
                <w:sz w:val="24"/>
                <w:szCs w:val="32"/>
                <w:vertAlign w:val="subscript"/>
              </w:rPr>
              <w:t>2.5</w:t>
            </w:r>
            <w:r>
              <w:rPr>
                <w:rFonts w:ascii="Times New Roman" w:hAnsi="Times New Roman" w:cs="Times New Roman"/>
                <w:sz w:val="24"/>
                <w:szCs w:val="32"/>
              </w:rPr>
              <w:t>）年均浓度</w:t>
            </w:r>
          </w:p>
        </w:tc>
        <w:tc>
          <w:tcPr>
            <w:tcW w:w="867" w:type="dxa"/>
            <w:vAlign w:val="center"/>
          </w:tcPr>
          <w:p w14:paraId="6BD57ECF">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微克/立方米</w:t>
            </w:r>
          </w:p>
        </w:tc>
        <w:tc>
          <w:tcPr>
            <w:tcW w:w="1445" w:type="dxa"/>
            <w:vAlign w:val="center"/>
          </w:tcPr>
          <w:p w14:paraId="0E83FFA5">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vAlign w:val="center"/>
          </w:tcPr>
          <w:p w14:paraId="1A614F69">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3A3A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17F56C74">
            <w:pPr>
              <w:spacing w:line="240" w:lineRule="auto"/>
              <w:ind w:firstLine="0" w:firstLineChars="0"/>
              <w:jc w:val="center"/>
              <w:rPr>
                <w:rFonts w:ascii="Times New Roman" w:hAnsi="Times New Roman" w:cs="Times New Roman"/>
                <w:sz w:val="24"/>
                <w:szCs w:val="32"/>
              </w:rPr>
            </w:pPr>
          </w:p>
        </w:tc>
        <w:tc>
          <w:tcPr>
            <w:tcW w:w="0" w:type="auto"/>
            <w:vAlign w:val="center"/>
          </w:tcPr>
          <w:p w14:paraId="47D22952">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2</w:t>
            </w:r>
          </w:p>
        </w:tc>
        <w:tc>
          <w:tcPr>
            <w:tcW w:w="3122" w:type="dxa"/>
            <w:vAlign w:val="center"/>
          </w:tcPr>
          <w:p w14:paraId="4494FD32">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空气质量优良天数比率</w:t>
            </w:r>
          </w:p>
        </w:tc>
        <w:tc>
          <w:tcPr>
            <w:tcW w:w="867" w:type="dxa"/>
            <w:vAlign w:val="center"/>
          </w:tcPr>
          <w:p w14:paraId="4F8E7196">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vAlign w:val="center"/>
          </w:tcPr>
          <w:p w14:paraId="736928EC">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vAlign w:val="center"/>
          </w:tcPr>
          <w:p w14:paraId="2E1221B5">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512C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32CB5B2F">
            <w:pPr>
              <w:spacing w:line="240" w:lineRule="auto"/>
              <w:ind w:firstLine="0" w:firstLineChars="0"/>
              <w:jc w:val="center"/>
              <w:rPr>
                <w:rFonts w:ascii="Times New Roman" w:hAnsi="Times New Roman" w:cs="Times New Roman"/>
                <w:sz w:val="24"/>
                <w:szCs w:val="32"/>
              </w:rPr>
            </w:pPr>
          </w:p>
        </w:tc>
        <w:tc>
          <w:tcPr>
            <w:tcW w:w="0" w:type="auto"/>
            <w:vAlign w:val="center"/>
          </w:tcPr>
          <w:p w14:paraId="34B344DF">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3</w:t>
            </w:r>
          </w:p>
        </w:tc>
        <w:tc>
          <w:tcPr>
            <w:tcW w:w="3122" w:type="dxa"/>
            <w:vAlign w:val="center"/>
          </w:tcPr>
          <w:p w14:paraId="7F13D863">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重度及以上污染天数比率</w:t>
            </w:r>
          </w:p>
        </w:tc>
        <w:tc>
          <w:tcPr>
            <w:tcW w:w="867" w:type="dxa"/>
            <w:vAlign w:val="center"/>
          </w:tcPr>
          <w:p w14:paraId="1C145D71">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shd w:val="clear" w:color="auto" w:fill="auto"/>
            <w:vAlign w:val="center"/>
          </w:tcPr>
          <w:p w14:paraId="209DC57F">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shd w:val="clear" w:color="auto" w:fill="auto"/>
            <w:vAlign w:val="center"/>
          </w:tcPr>
          <w:p w14:paraId="1BDF9D1F">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0BFE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39DF5AB9">
            <w:pPr>
              <w:spacing w:line="240" w:lineRule="auto"/>
              <w:ind w:firstLine="0" w:firstLineChars="0"/>
              <w:jc w:val="center"/>
              <w:rPr>
                <w:rFonts w:ascii="Times New Roman" w:hAnsi="Times New Roman" w:cs="Times New Roman"/>
                <w:sz w:val="24"/>
                <w:szCs w:val="32"/>
              </w:rPr>
            </w:pPr>
          </w:p>
        </w:tc>
        <w:tc>
          <w:tcPr>
            <w:tcW w:w="0" w:type="auto"/>
            <w:vAlign w:val="center"/>
          </w:tcPr>
          <w:p w14:paraId="64E59CF5">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4</w:t>
            </w:r>
          </w:p>
        </w:tc>
        <w:tc>
          <w:tcPr>
            <w:tcW w:w="3122" w:type="dxa"/>
            <w:vAlign w:val="center"/>
          </w:tcPr>
          <w:p w14:paraId="56B5E5F6">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28"/>
              </w:rPr>
              <w:t>优良水体比例</w:t>
            </w:r>
          </w:p>
        </w:tc>
        <w:tc>
          <w:tcPr>
            <w:tcW w:w="867" w:type="dxa"/>
            <w:vAlign w:val="center"/>
          </w:tcPr>
          <w:p w14:paraId="4D308334">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28"/>
              </w:rPr>
              <w:t>%</w:t>
            </w:r>
          </w:p>
        </w:tc>
        <w:tc>
          <w:tcPr>
            <w:tcW w:w="1445" w:type="dxa"/>
            <w:vAlign w:val="center"/>
          </w:tcPr>
          <w:p w14:paraId="00EF1973">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vAlign w:val="center"/>
          </w:tcPr>
          <w:p w14:paraId="61AAC764">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7262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617A6F47">
            <w:pPr>
              <w:spacing w:line="240" w:lineRule="auto"/>
              <w:ind w:firstLine="0" w:firstLineChars="0"/>
              <w:jc w:val="center"/>
              <w:rPr>
                <w:rFonts w:ascii="Times New Roman" w:hAnsi="Times New Roman" w:cs="Times New Roman"/>
                <w:sz w:val="24"/>
                <w:szCs w:val="32"/>
              </w:rPr>
            </w:pPr>
          </w:p>
        </w:tc>
        <w:tc>
          <w:tcPr>
            <w:tcW w:w="0" w:type="auto"/>
            <w:vAlign w:val="center"/>
          </w:tcPr>
          <w:p w14:paraId="590D5A89">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5</w:t>
            </w:r>
          </w:p>
        </w:tc>
        <w:tc>
          <w:tcPr>
            <w:tcW w:w="3122" w:type="dxa"/>
            <w:vAlign w:val="center"/>
          </w:tcPr>
          <w:p w14:paraId="1172E2EB">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好III水质比例</w:t>
            </w:r>
          </w:p>
        </w:tc>
        <w:tc>
          <w:tcPr>
            <w:tcW w:w="867" w:type="dxa"/>
            <w:vAlign w:val="center"/>
          </w:tcPr>
          <w:p w14:paraId="5D02E103">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shd w:val="clear" w:color="auto" w:fill="auto"/>
            <w:vAlign w:val="center"/>
          </w:tcPr>
          <w:p w14:paraId="07AEAFC9">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shd w:val="clear" w:color="auto" w:fill="auto"/>
            <w:vAlign w:val="center"/>
          </w:tcPr>
          <w:p w14:paraId="54AC7466">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3EE5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344BAC13">
            <w:pPr>
              <w:spacing w:line="240" w:lineRule="auto"/>
              <w:ind w:firstLine="0" w:firstLineChars="0"/>
              <w:jc w:val="center"/>
              <w:rPr>
                <w:rFonts w:ascii="Times New Roman" w:hAnsi="Times New Roman" w:cs="Times New Roman"/>
                <w:sz w:val="24"/>
                <w:szCs w:val="32"/>
              </w:rPr>
            </w:pPr>
          </w:p>
        </w:tc>
        <w:tc>
          <w:tcPr>
            <w:tcW w:w="0" w:type="auto"/>
            <w:vAlign w:val="center"/>
          </w:tcPr>
          <w:p w14:paraId="7E435ABE">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6</w:t>
            </w:r>
          </w:p>
        </w:tc>
        <w:tc>
          <w:tcPr>
            <w:tcW w:w="3122" w:type="dxa"/>
            <w:vAlign w:val="center"/>
          </w:tcPr>
          <w:p w14:paraId="193D5E79">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地下水优良水质比例</w:t>
            </w:r>
          </w:p>
        </w:tc>
        <w:tc>
          <w:tcPr>
            <w:tcW w:w="867" w:type="dxa"/>
            <w:vAlign w:val="center"/>
          </w:tcPr>
          <w:p w14:paraId="73A84130">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vAlign w:val="center"/>
          </w:tcPr>
          <w:p w14:paraId="47429B10">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完成</w:t>
            </w:r>
            <w:r>
              <w:rPr>
                <w:rFonts w:hint="eastAsia" w:ascii="Times New Roman" w:hAnsi="Times New Roman" w:cs="Times New Roman"/>
                <w:sz w:val="24"/>
                <w:szCs w:val="28"/>
              </w:rPr>
              <w:t>青岛市</w:t>
            </w:r>
            <w:r>
              <w:rPr>
                <w:rFonts w:ascii="Times New Roman" w:hAnsi="Times New Roman" w:cs="Times New Roman"/>
                <w:sz w:val="24"/>
                <w:szCs w:val="28"/>
              </w:rPr>
              <w:t>下达任务</w:t>
            </w:r>
          </w:p>
        </w:tc>
        <w:tc>
          <w:tcPr>
            <w:tcW w:w="946" w:type="dxa"/>
            <w:vAlign w:val="center"/>
          </w:tcPr>
          <w:p w14:paraId="7F2F18D1">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39A9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457BD4CD">
            <w:pPr>
              <w:spacing w:line="240" w:lineRule="auto"/>
              <w:ind w:firstLine="0" w:firstLineChars="0"/>
              <w:jc w:val="center"/>
              <w:rPr>
                <w:rFonts w:ascii="Times New Roman" w:hAnsi="Times New Roman" w:cs="Times New Roman"/>
                <w:sz w:val="24"/>
                <w:szCs w:val="32"/>
              </w:rPr>
            </w:pPr>
          </w:p>
        </w:tc>
        <w:tc>
          <w:tcPr>
            <w:tcW w:w="0" w:type="auto"/>
            <w:vAlign w:val="center"/>
          </w:tcPr>
          <w:p w14:paraId="06157CF8">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7</w:t>
            </w:r>
          </w:p>
        </w:tc>
        <w:tc>
          <w:tcPr>
            <w:tcW w:w="3122" w:type="dxa"/>
            <w:vAlign w:val="center"/>
          </w:tcPr>
          <w:p w14:paraId="3F6ACC11">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近岸海域优良水质比例</w:t>
            </w:r>
          </w:p>
        </w:tc>
        <w:tc>
          <w:tcPr>
            <w:tcW w:w="867" w:type="dxa"/>
            <w:vAlign w:val="center"/>
          </w:tcPr>
          <w:p w14:paraId="2241728E">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vAlign w:val="center"/>
          </w:tcPr>
          <w:p w14:paraId="623130E3">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完成</w:t>
            </w:r>
            <w:r>
              <w:rPr>
                <w:rFonts w:hint="eastAsia" w:ascii="Times New Roman" w:hAnsi="Times New Roman" w:cs="Times New Roman"/>
                <w:sz w:val="24"/>
                <w:szCs w:val="28"/>
              </w:rPr>
              <w:t>青岛市</w:t>
            </w:r>
            <w:r>
              <w:rPr>
                <w:rFonts w:ascii="Times New Roman" w:hAnsi="Times New Roman" w:cs="Times New Roman"/>
                <w:sz w:val="24"/>
                <w:szCs w:val="28"/>
              </w:rPr>
              <w:t>下达任务</w:t>
            </w:r>
          </w:p>
        </w:tc>
        <w:tc>
          <w:tcPr>
            <w:tcW w:w="946" w:type="dxa"/>
            <w:vAlign w:val="center"/>
          </w:tcPr>
          <w:p w14:paraId="47BE74F2">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031D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14F0DD85">
            <w:pPr>
              <w:spacing w:line="240" w:lineRule="auto"/>
              <w:ind w:firstLine="0" w:firstLineChars="0"/>
              <w:jc w:val="center"/>
              <w:rPr>
                <w:rFonts w:ascii="Times New Roman" w:hAnsi="Times New Roman" w:cs="Times New Roman"/>
                <w:sz w:val="24"/>
                <w:szCs w:val="32"/>
              </w:rPr>
            </w:pPr>
          </w:p>
        </w:tc>
        <w:tc>
          <w:tcPr>
            <w:tcW w:w="0" w:type="auto"/>
            <w:vAlign w:val="center"/>
          </w:tcPr>
          <w:p w14:paraId="23F45E98">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8</w:t>
            </w:r>
          </w:p>
        </w:tc>
        <w:tc>
          <w:tcPr>
            <w:tcW w:w="3122" w:type="dxa"/>
            <w:vAlign w:val="center"/>
          </w:tcPr>
          <w:p w14:paraId="034F0074">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农村生活污水治理率</w:t>
            </w:r>
          </w:p>
        </w:tc>
        <w:tc>
          <w:tcPr>
            <w:tcW w:w="867" w:type="dxa"/>
            <w:vAlign w:val="center"/>
          </w:tcPr>
          <w:p w14:paraId="1A77151E">
            <w:pPr>
              <w:spacing w:line="240" w:lineRule="auto"/>
              <w:ind w:firstLine="0" w:firstLineChars="0"/>
              <w:jc w:val="center"/>
              <w:rPr>
                <w:rFonts w:ascii="Times New Roman" w:hAnsi="Times New Roman" w:cs="Times New Roman"/>
                <w:sz w:val="24"/>
              </w:rPr>
            </w:pPr>
            <w:r>
              <w:rPr>
                <w:rFonts w:ascii="Times New Roman" w:hAnsi="Times New Roman" w:cs="Times New Roman"/>
                <w:sz w:val="24"/>
                <w:szCs w:val="28"/>
              </w:rPr>
              <w:t>%</w:t>
            </w:r>
          </w:p>
        </w:tc>
        <w:tc>
          <w:tcPr>
            <w:tcW w:w="1445" w:type="dxa"/>
            <w:vAlign w:val="center"/>
          </w:tcPr>
          <w:p w14:paraId="321DF31B">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vAlign w:val="center"/>
          </w:tcPr>
          <w:p w14:paraId="58264066">
            <w:pPr>
              <w:spacing w:line="240" w:lineRule="auto"/>
              <w:ind w:firstLine="0" w:firstLineChars="0"/>
              <w:jc w:val="center"/>
              <w:rPr>
                <w:rFonts w:ascii="Times New Roman" w:hAnsi="Times New Roman" w:cs="Times New Roman"/>
                <w:sz w:val="24"/>
              </w:rPr>
            </w:pPr>
            <w:r>
              <w:rPr>
                <w:rFonts w:ascii="Times New Roman" w:hAnsi="Times New Roman" w:cs="Times New Roman"/>
                <w:sz w:val="24"/>
                <w:szCs w:val="32"/>
              </w:rPr>
              <w:t>预期性</w:t>
            </w:r>
          </w:p>
        </w:tc>
      </w:tr>
      <w:tr w14:paraId="54E6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36AD0104">
            <w:pPr>
              <w:spacing w:line="240" w:lineRule="auto"/>
              <w:ind w:firstLine="0" w:firstLineChars="0"/>
              <w:jc w:val="center"/>
              <w:rPr>
                <w:rFonts w:ascii="Times New Roman" w:hAnsi="Times New Roman" w:cs="Times New Roman"/>
                <w:sz w:val="24"/>
                <w:szCs w:val="32"/>
              </w:rPr>
            </w:pPr>
          </w:p>
        </w:tc>
        <w:tc>
          <w:tcPr>
            <w:tcW w:w="0" w:type="auto"/>
            <w:vAlign w:val="center"/>
          </w:tcPr>
          <w:p w14:paraId="1F7456A6">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9</w:t>
            </w:r>
          </w:p>
        </w:tc>
        <w:tc>
          <w:tcPr>
            <w:tcW w:w="3122" w:type="dxa"/>
            <w:vAlign w:val="center"/>
          </w:tcPr>
          <w:p w14:paraId="203C70EF">
            <w:pPr>
              <w:spacing w:line="240" w:lineRule="auto"/>
              <w:ind w:firstLine="0" w:firstLineChars="0"/>
              <w:jc w:val="center"/>
              <w:rPr>
                <w:rFonts w:ascii="Times New Roman" w:hAnsi="Times New Roman" w:cs="Times New Roman"/>
                <w:sz w:val="24"/>
                <w:szCs w:val="28"/>
              </w:rPr>
            </w:pPr>
            <w:r>
              <w:rPr>
                <w:rFonts w:ascii="Times New Roman" w:hAnsi="Times New Roman"/>
                <w:color w:val="000000" w:themeColor="text1"/>
                <w:sz w:val="24"/>
                <w:szCs w:val="28"/>
                <w14:textFill>
                  <w14:solidFill>
                    <w14:schemeClr w14:val="tx1"/>
                  </w14:solidFill>
                </w14:textFill>
              </w:rPr>
              <w:t>声环境</w:t>
            </w:r>
            <w:r>
              <w:rPr>
                <w:rFonts w:hint="eastAsia" w:ascii="Times New Roman" w:hAnsi="Times New Roman"/>
                <w:color w:val="000000" w:themeColor="text1"/>
                <w:sz w:val="24"/>
                <w:szCs w:val="28"/>
                <w14:textFill>
                  <w14:solidFill>
                    <w14:schemeClr w14:val="tx1"/>
                  </w14:solidFill>
                </w14:textFill>
              </w:rPr>
              <w:t>功能区夜间达标率</w:t>
            </w:r>
          </w:p>
        </w:tc>
        <w:tc>
          <w:tcPr>
            <w:tcW w:w="867" w:type="dxa"/>
            <w:vAlign w:val="center"/>
          </w:tcPr>
          <w:p w14:paraId="79CE0704">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vAlign w:val="center"/>
          </w:tcPr>
          <w:p w14:paraId="38F9ED95">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vAlign w:val="center"/>
          </w:tcPr>
          <w:p w14:paraId="3A3BD4A0">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50A80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restart"/>
            <w:vAlign w:val="center"/>
          </w:tcPr>
          <w:p w14:paraId="2C0ED486">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减污降碳协同</w:t>
            </w:r>
          </w:p>
        </w:tc>
        <w:tc>
          <w:tcPr>
            <w:tcW w:w="0" w:type="auto"/>
            <w:vAlign w:val="center"/>
          </w:tcPr>
          <w:p w14:paraId="047551A5">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10</w:t>
            </w:r>
          </w:p>
        </w:tc>
        <w:tc>
          <w:tcPr>
            <w:tcW w:w="3122" w:type="dxa"/>
            <w:vAlign w:val="center"/>
          </w:tcPr>
          <w:p w14:paraId="2E8E77A2">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单位地区生产总值二氧化碳排放降低</w:t>
            </w:r>
          </w:p>
        </w:tc>
        <w:tc>
          <w:tcPr>
            <w:tcW w:w="867" w:type="dxa"/>
            <w:vAlign w:val="center"/>
          </w:tcPr>
          <w:p w14:paraId="54268BB7">
            <w:pPr>
              <w:spacing w:line="240" w:lineRule="auto"/>
              <w:ind w:firstLine="0" w:firstLineChars="0"/>
              <w:jc w:val="center"/>
              <w:rPr>
                <w:rFonts w:ascii="Times New Roman" w:hAnsi="Times New Roman" w:cs="Times New Roman"/>
                <w:sz w:val="24"/>
              </w:rPr>
            </w:pPr>
            <w:r>
              <w:rPr>
                <w:rFonts w:ascii="Times New Roman" w:hAnsi="Times New Roman" w:cs="Times New Roman"/>
                <w:sz w:val="24"/>
                <w:szCs w:val="28"/>
              </w:rPr>
              <w:t>%</w:t>
            </w:r>
          </w:p>
        </w:tc>
        <w:tc>
          <w:tcPr>
            <w:tcW w:w="1445" w:type="dxa"/>
            <w:vAlign w:val="center"/>
          </w:tcPr>
          <w:p w14:paraId="585BB1A7">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与《纲要》一致</w:t>
            </w:r>
          </w:p>
        </w:tc>
        <w:tc>
          <w:tcPr>
            <w:tcW w:w="946" w:type="dxa"/>
            <w:vAlign w:val="center"/>
          </w:tcPr>
          <w:p w14:paraId="500A2E46">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24B9C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4D8CC776">
            <w:pPr>
              <w:spacing w:line="240" w:lineRule="auto"/>
              <w:ind w:firstLine="0" w:firstLineChars="0"/>
              <w:jc w:val="center"/>
              <w:rPr>
                <w:rFonts w:ascii="Times New Roman" w:hAnsi="Times New Roman" w:cs="Times New Roman"/>
                <w:sz w:val="24"/>
                <w:szCs w:val="32"/>
              </w:rPr>
            </w:pPr>
          </w:p>
        </w:tc>
        <w:tc>
          <w:tcPr>
            <w:tcW w:w="0" w:type="auto"/>
            <w:vAlign w:val="center"/>
          </w:tcPr>
          <w:p w14:paraId="35D86238">
            <w:pPr>
              <w:spacing w:line="240" w:lineRule="auto"/>
              <w:ind w:firstLine="0" w:firstLineChars="0"/>
              <w:jc w:val="center"/>
              <w:rPr>
                <w:rFonts w:ascii="Times New Roman" w:hAnsi="Times New Roman" w:cs="Times New Roman"/>
                <w:sz w:val="24"/>
                <w:szCs w:val="32"/>
              </w:rPr>
            </w:pPr>
            <w:r>
              <w:rPr>
                <w:rFonts w:hint="eastAsia" w:ascii="Times New Roman" w:hAnsi="Times New Roman" w:cs="Times New Roman"/>
                <w:sz w:val="24"/>
                <w:szCs w:val="32"/>
              </w:rPr>
              <w:t>11</w:t>
            </w:r>
          </w:p>
        </w:tc>
        <w:tc>
          <w:tcPr>
            <w:tcW w:w="3122" w:type="dxa"/>
            <w:vAlign w:val="center"/>
          </w:tcPr>
          <w:p w14:paraId="5074F25B">
            <w:pPr>
              <w:spacing w:line="240" w:lineRule="auto"/>
              <w:ind w:firstLine="0" w:firstLineChars="0"/>
              <w:jc w:val="center"/>
              <w:rPr>
                <w:rFonts w:ascii="Times New Roman" w:hAnsi="Times New Roman" w:cs="Times New Roman"/>
                <w:sz w:val="24"/>
              </w:rPr>
            </w:pPr>
            <w:r>
              <w:rPr>
                <w:rFonts w:ascii="Times New Roman" w:hAnsi="Times New Roman" w:cs="Times New Roman"/>
                <w:sz w:val="24"/>
              </w:rPr>
              <w:t>非化石能源占能源消费总量比重</w:t>
            </w:r>
          </w:p>
        </w:tc>
        <w:tc>
          <w:tcPr>
            <w:tcW w:w="867" w:type="dxa"/>
            <w:vAlign w:val="center"/>
          </w:tcPr>
          <w:p w14:paraId="54C82372">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w:t>
            </w:r>
          </w:p>
        </w:tc>
        <w:tc>
          <w:tcPr>
            <w:tcW w:w="1445" w:type="dxa"/>
            <w:vAlign w:val="center"/>
          </w:tcPr>
          <w:p w14:paraId="01D776DD">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与《纲要》一致</w:t>
            </w:r>
          </w:p>
        </w:tc>
        <w:tc>
          <w:tcPr>
            <w:tcW w:w="946" w:type="dxa"/>
            <w:vAlign w:val="center"/>
          </w:tcPr>
          <w:p w14:paraId="19FADD00">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46A57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18D47FCE">
            <w:pPr>
              <w:spacing w:line="240" w:lineRule="auto"/>
              <w:ind w:firstLine="0" w:firstLineChars="0"/>
              <w:jc w:val="center"/>
              <w:rPr>
                <w:rFonts w:ascii="Times New Roman" w:hAnsi="Times New Roman" w:cs="Times New Roman"/>
                <w:sz w:val="24"/>
                <w:szCs w:val="32"/>
              </w:rPr>
            </w:pPr>
          </w:p>
        </w:tc>
        <w:tc>
          <w:tcPr>
            <w:tcW w:w="0" w:type="auto"/>
            <w:vMerge w:val="restart"/>
            <w:vAlign w:val="center"/>
          </w:tcPr>
          <w:p w14:paraId="612AB036">
            <w:pPr>
              <w:spacing w:line="240" w:lineRule="auto"/>
              <w:ind w:firstLine="0" w:firstLineChars="0"/>
              <w:jc w:val="center"/>
              <w:rPr>
                <w:rFonts w:ascii="Times New Roman" w:hAnsi="Times New Roman" w:cs="Times New Roman"/>
                <w:sz w:val="24"/>
                <w:szCs w:val="32"/>
              </w:rPr>
            </w:pPr>
            <w:r>
              <w:rPr>
                <w:rFonts w:hint="eastAsia" w:ascii="Times New Roman" w:hAnsi="Times New Roman" w:cs="Times New Roman"/>
                <w:sz w:val="24"/>
                <w:szCs w:val="32"/>
              </w:rPr>
              <w:t>12</w:t>
            </w:r>
          </w:p>
        </w:tc>
        <w:tc>
          <w:tcPr>
            <w:tcW w:w="3122" w:type="dxa"/>
            <w:vAlign w:val="center"/>
          </w:tcPr>
          <w:p w14:paraId="3257D69C">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氮氧化物重点工程减排量</w:t>
            </w:r>
          </w:p>
        </w:tc>
        <w:tc>
          <w:tcPr>
            <w:tcW w:w="867" w:type="dxa"/>
            <w:vAlign w:val="center"/>
          </w:tcPr>
          <w:p w14:paraId="203D2C33">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万吨</w:t>
            </w:r>
          </w:p>
        </w:tc>
        <w:tc>
          <w:tcPr>
            <w:tcW w:w="1445" w:type="dxa"/>
            <w:vMerge w:val="restart"/>
            <w:vAlign w:val="center"/>
          </w:tcPr>
          <w:p w14:paraId="2374C9CA">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32"/>
              </w:rPr>
              <w:t>完成</w:t>
            </w:r>
            <w:r>
              <w:rPr>
                <w:rFonts w:hint="eastAsia" w:ascii="Times New Roman" w:hAnsi="Times New Roman" w:cs="Times New Roman"/>
                <w:sz w:val="24"/>
                <w:szCs w:val="32"/>
              </w:rPr>
              <w:t>青岛市</w:t>
            </w:r>
            <w:r>
              <w:rPr>
                <w:rFonts w:ascii="Times New Roman" w:hAnsi="Times New Roman" w:cs="Times New Roman"/>
                <w:sz w:val="24"/>
                <w:szCs w:val="32"/>
              </w:rPr>
              <w:t>下达任务</w:t>
            </w:r>
          </w:p>
        </w:tc>
        <w:tc>
          <w:tcPr>
            <w:tcW w:w="946" w:type="dxa"/>
            <w:vAlign w:val="center"/>
          </w:tcPr>
          <w:p w14:paraId="50BC691F">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6CBD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4474002F">
            <w:pPr>
              <w:spacing w:line="240" w:lineRule="auto"/>
              <w:ind w:firstLine="0" w:firstLineChars="0"/>
              <w:jc w:val="center"/>
              <w:rPr>
                <w:rFonts w:ascii="Times New Roman" w:hAnsi="Times New Roman" w:cs="Times New Roman"/>
                <w:sz w:val="24"/>
                <w:szCs w:val="32"/>
              </w:rPr>
            </w:pPr>
          </w:p>
        </w:tc>
        <w:tc>
          <w:tcPr>
            <w:tcW w:w="0" w:type="auto"/>
            <w:vMerge w:val="continue"/>
            <w:vAlign w:val="center"/>
          </w:tcPr>
          <w:p w14:paraId="1185899F">
            <w:pPr>
              <w:spacing w:line="240" w:lineRule="auto"/>
              <w:ind w:firstLine="0" w:firstLineChars="0"/>
              <w:jc w:val="center"/>
              <w:rPr>
                <w:rFonts w:ascii="Times New Roman" w:hAnsi="Times New Roman" w:cs="Times New Roman"/>
                <w:sz w:val="24"/>
                <w:szCs w:val="32"/>
              </w:rPr>
            </w:pPr>
          </w:p>
        </w:tc>
        <w:tc>
          <w:tcPr>
            <w:tcW w:w="3122" w:type="dxa"/>
            <w:vAlign w:val="center"/>
          </w:tcPr>
          <w:p w14:paraId="1E2532A3">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挥发性有机物重点工程减排量</w:t>
            </w:r>
          </w:p>
        </w:tc>
        <w:tc>
          <w:tcPr>
            <w:tcW w:w="867" w:type="dxa"/>
            <w:vAlign w:val="center"/>
          </w:tcPr>
          <w:p w14:paraId="032FAEE6">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万吨</w:t>
            </w:r>
          </w:p>
        </w:tc>
        <w:tc>
          <w:tcPr>
            <w:tcW w:w="1445" w:type="dxa"/>
            <w:vMerge w:val="continue"/>
            <w:vAlign w:val="center"/>
          </w:tcPr>
          <w:p w14:paraId="10137895">
            <w:pPr>
              <w:spacing w:line="240" w:lineRule="auto"/>
              <w:ind w:firstLine="0" w:firstLineChars="0"/>
              <w:jc w:val="center"/>
              <w:rPr>
                <w:rFonts w:ascii="Times New Roman" w:hAnsi="Times New Roman" w:cs="Times New Roman"/>
                <w:sz w:val="24"/>
                <w:szCs w:val="28"/>
              </w:rPr>
            </w:pPr>
          </w:p>
        </w:tc>
        <w:tc>
          <w:tcPr>
            <w:tcW w:w="946" w:type="dxa"/>
            <w:vAlign w:val="center"/>
          </w:tcPr>
          <w:p w14:paraId="47177B4C">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773A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582D3A70">
            <w:pPr>
              <w:spacing w:line="240" w:lineRule="auto"/>
              <w:ind w:firstLine="0" w:firstLineChars="0"/>
              <w:jc w:val="center"/>
              <w:rPr>
                <w:rFonts w:ascii="Times New Roman" w:hAnsi="Times New Roman" w:cs="Times New Roman"/>
                <w:sz w:val="24"/>
                <w:szCs w:val="32"/>
              </w:rPr>
            </w:pPr>
          </w:p>
        </w:tc>
        <w:tc>
          <w:tcPr>
            <w:tcW w:w="0" w:type="auto"/>
            <w:vMerge w:val="continue"/>
            <w:vAlign w:val="center"/>
          </w:tcPr>
          <w:p w14:paraId="27AD70AC">
            <w:pPr>
              <w:spacing w:line="240" w:lineRule="auto"/>
              <w:ind w:firstLine="0" w:firstLineChars="0"/>
              <w:jc w:val="center"/>
              <w:rPr>
                <w:rFonts w:ascii="Times New Roman" w:hAnsi="Times New Roman" w:cs="Times New Roman"/>
                <w:sz w:val="24"/>
                <w:szCs w:val="32"/>
              </w:rPr>
            </w:pPr>
          </w:p>
        </w:tc>
        <w:tc>
          <w:tcPr>
            <w:tcW w:w="3122" w:type="dxa"/>
            <w:vAlign w:val="center"/>
          </w:tcPr>
          <w:p w14:paraId="4D79BA25">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化学需氧量重点工程减排量</w:t>
            </w:r>
          </w:p>
        </w:tc>
        <w:tc>
          <w:tcPr>
            <w:tcW w:w="867" w:type="dxa"/>
            <w:vAlign w:val="center"/>
          </w:tcPr>
          <w:p w14:paraId="1FB2949E">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万吨</w:t>
            </w:r>
          </w:p>
        </w:tc>
        <w:tc>
          <w:tcPr>
            <w:tcW w:w="1445" w:type="dxa"/>
            <w:vMerge w:val="continue"/>
            <w:vAlign w:val="center"/>
          </w:tcPr>
          <w:p w14:paraId="4C4FE7C1">
            <w:pPr>
              <w:spacing w:line="240" w:lineRule="auto"/>
              <w:ind w:firstLine="0" w:firstLineChars="0"/>
              <w:jc w:val="center"/>
              <w:rPr>
                <w:rFonts w:ascii="Times New Roman" w:hAnsi="Times New Roman" w:cs="Times New Roman"/>
                <w:sz w:val="24"/>
                <w:szCs w:val="28"/>
              </w:rPr>
            </w:pPr>
          </w:p>
        </w:tc>
        <w:tc>
          <w:tcPr>
            <w:tcW w:w="946" w:type="dxa"/>
            <w:vAlign w:val="center"/>
          </w:tcPr>
          <w:p w14:paraId="353A519A">
            <w:pPr>
              <w:spacing w:line="240" w:lineRule="auto"/>
              <w:ind w:firstLine="0" w:firstLineChars="0"/>
              <w:jc w:val="center"/>
              <w:rPr>
                <w:rFonts w:ascii="Times New Roman" w:hAnsi="Times New Roman" w:cs="Times New Roman"/>
                <w:sz w:val="24"/>
              </w:rPr>
            </w:pPr>
            <w:r>
              <w:rPr>
                <w:rFonts w:ascii="Times New Roman" w:hAnsi="Times New Roman" w:cs="Times New Roman"/>
                <w:sz w:val="24"/>
                <w:szCs w:val="32"/>
              </w:rPr>
              <w:t>约束性</w:t>
            </w:r>
          </w:p>
        </w:tc>
      </w:tr>
      <w:tr w14:paraId="41AC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505B279B">
            <w:pPr>
              <w:spacing w:line="240" w:lineRule="auto"/>
              <w:ind w:firstLine="0" w:firstLineChars="0"/>
              <w:jc w:val="center"/>
              <w:rPr>
                <w:rFonts w:ascii="Times New Roman" w:hAnsi="Times New Roman" w:cs="Times New Roman"/>
                <w:sz w:val="24"/>
                <w:szCs w:val="32"/>
              </w:rPr>
            </w:pPr>
          </w:p>
        </w:tc>
        <w:tc>
          <w:tcPr>
            <w:tcW w:w="0" w:type="auto"/>
            <w:vMerge w:val="continue"/>
            <w:vAlign w:val="center"/>
          </w:tcPr>
          <w:p w14:paraId="074DAA59">
            <w:pPr>
              <w:spacing w:line="240" w:lineRule="auto"/>
              <w:ind w:firstLine="0" w:firstLineChars="0"/>
              <w:jc w:val="center"/>
              <w:rPr>
                <w:rFonts w:ascii="Times New Roman" w:hAnsi="Times New Roman" w:cs="Times New Roman"/>
                <w:sz w:val="24"/>
                <w:szCs w:val="32"/>
              </w:rPr>
            </w:pPr>
          </w:p>
        </w:tc>
        <w:tc>
          <w:tcPr>
            <w:tcW w:w="3122" w:type="dxa"/>
            <w:vAlign w:val="center"/>
          </w:tcPr>
          <w:p w14:paraId="17755A3D">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总磷重点工程减排量</w:t>
            </w:r>
          </w:p>
        </w:tc>
        <w:tc>
          <w:tcPr>
            <w:tcW w:w="867" w:type="dxa"/>
            <w:vAlign w:val="center"/>
          </w:tcPr>
          <w:p w14:paraId="34887BCE">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rPr>
              <w:t>万吨</w:t>
            </w:r>
          </w:p>
        </w:tc>
        <w:tc>
          <w:tcPr>
            <w:tcW w:w="1445" w:type="dxa"/>
            <w:vMerge w:val="continue"/>
            <w:vAlign w:val="center"/>
          </w:tcPr>
          <w:p w14:paraId="3A67736A">
            <w:pPr>
              <w:spacing w:line="240" w:lineRule="auto"/>
              <w:ind w:firstLine="0" w:firstLineChars="0"/>
              <w:jc w:val="center"/>
              <w:rPr>
                <w:rFonts w:ascii="Times New Roman" w:hAnsi="Times New Roman" w:cs="Times New Roman"/>
                <w:sz w:val="24"/>
                <w:szCs w:val="28"/>
              </w:rPr>
            </w:pPr>
          </w:p>
        </w:tc>
        <w:tc>
          <w:tcPr>
            <w:tcW w:w="946" w:type="dxa"/>
            <w:vAlign w:val="center"/>
          </w:tcPr>
          <w:p w14:paraId="2B8E2B48">
            <w:pPr>
              <w:spacing w:line="240" w:lineRule="auto"/>
              <w:ind w:firstLine="0" w:firstLineChars="0"/>
              <w:jc w:val="center"/>
              <w:rPr>
                <w:rFonts w:ascii="Times New Roman" w:hAnsi="Times New Roman" w:cs="Times New Roman"/>
                <w:sz w:val="24"/>
              </w:rPr>
            </w:pPr>
            <w:r>
              <w:rPr>
                <w:rFonts w:ascii="Times New Roman" w:hAnsi="Times New Roman" w:cs="Times New Roman"/>
                <w:sz w:val="24"/>
                <w:szCs w:val="32"/>
              </w:rPr>
              <w:t>约束性</w:t>
            </w:r>
          </w:p>
        </w:tc>
      </w:tr>
      <w:tr w14:paraId="7557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restart"/>
            <w:vAlign w:val="center"/>
          </w:tcPr>
          <w:p w14:paraId="0AC81AC1">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生态保护监管</w:t>
            </w:r>
          </w:p>
        </w:tc>
        <w:tc>
          <w:tcPr>
            <w:tcW w:w="0" w:type="auto"/>
            <w:vAlign w:val="center"/>
          </w:tcPr>
          <w:p w14:paraId="45CD59D9">
            <w:pPr>
              <w:spacing w:line="240" w:lineRule="auto"/>
              <w:ind w:firstLine="0" w:firstLineChars="0"/>
              <w:jc w:val="center"/>
              <w:rPr>
                <w:rFonts w:ascii="Times New Roman" w:hAnsi="Times New Roman" w:cs="Times New Roman"/>
                <w:sz w:val="24"/>
                <w:szCs w:val="32"/>
              </w:rPr>
            </w:pPr>
            <w:r>
              <w:rPr>
                <w:rFonts w:hint="eastAsia" w:ascii="Times New Roman" w:hAnsi="Times New Roman" w:cs="Times New Roman"/>
                <w:sz w:val="24"/>
                <w:szCs w:val="32"/>
              </w:rPr>
              <w:t>13</w:t>
            </w:r>
          </w:p>
        </w:tc>
        <w:tc>
          <w:tcPr>
            <w:tcW w:w="3122" w:type="dxa"/>
            <w:vAlign w:val="center"/>
          </w:tcPr>
          <w:p w14:paraId="5130955A">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森林覆盖率</w:t>
            </w:r>
          </w:p>
        </w:tc>
        <w:tc>
          <w:tcPr>
            <w:tcW w:w="867" w:type="dxa"/>
            <w:vAlign w:val="center"/>
          </w:tcPr>
          <w:p w14:paraId="4787D408">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w:t>
            </w:r>
          </w:p>
        </w:tc>
        <w:tc>
          <w:tcPr>
            <w:tcW w:w="1445" w:type="dxa"/>
            <w:vAlign w:val="center"/>
          </w:tcPr>
          <w:p w14:paraId="6387817C">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与《纲要》一致</w:t>
            </w:r>
          </w:p>
        </w:tc>
        <w:tc>
          <w:tcPr>
            <w:tcW w:w="946" w:type="dxa"/>
            <w:vAlign w:val="center"/>
          </w:tcPr>
          <w:p w14:paraId="0F605A89">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约束性</w:t>
            </w:r>
          </w:p>
        </w:tc>
      </w:tr>
      <w:tr w14:paraId="5A874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761761D0">
            <w:pPr>
              <w:spacing w:line="240" w:lineRule="auto"/>
              <w:ind w:firstLine="0" w:firstLineChars="0"/>
              <w:jc w:val="center"/>
              <w:rPr>
                <w:rFonts w:ascii="Times New Roman" w:hAnsi="Times New Roman" w:cs="Times New Roman"/>
                <w:sz w:val="24"/>
                <w:szCs w:val="32"/>
              </w:rPr>
            </w:pPr>
          </w:p>
        </w:tc>
        <w:tc>
          <w:tcPr>
            <w:tcW w:w="0" w:type="auto"/>
            <w:vAlign w:val="center"/>
          </w:tcPr>
          <w:p w14:paraId="70E2E45D">
            <w:pPr>
              <w:spacing w:line="240" w:lineRule="auto"/>
              <w:ind w:firstLine="0" w:firstLineChars="0"/>
              <w:jc w:val="center"/>
              <w:rPr>
                <w:rFonts w:ascii="Times New Roman" w:hAnsi="Times New Roman" w:cs="Times New Roman"/>
                <w:sz w:val="24"/>
                <w:szCs w:val="32"/>
              </w:rPr>
            </w:pPr>
            <w:r>
              <w:rPr>
                <w:rFonts w:hint="eastAsia" w:ascii="Times New Roman" w:hAnsi="Times New Roman" w:cs="Times New Roman"/>
                <w:sz w:val="24"/>
                <w:szCs w:val="32"/>
              </w:rPr>
              <w:t>14</w:t>
            </w:r>
          </w:p>
        </w:tc>
        <w:tc>
          <w:tcPr>
            <w:tcW w:w="3122" w:type="dxa"/>
            <w:vAlign w:val="center"/>
          </w:tcPr>
          <w:p w14:paraId="33F3DFF7">
            <w:pPr>
              <w:spacing w:line="240" w:lineRule="auto"/>
              <w:ind w:firstLine="0" w:firstLineChars="0"/>
              <w:jc w:val="center"/>
              <w:rPr>
                <w:rFonts w:ascii="Times New Roman" w:hAnsi="Times New Roman" w:cs="Times New Roman"/>
                <w:sz w:val="24"/>
                <w:szCs w:val="28"/>
              </w:rPr>
            </w:pPr>
            <w:r>
              <w:rPr>
                <w:rFonts w:ascii="Times New Roman" w:hAnsi="Times New Roman"/>
                <w:color w:val="000000" w:themeColor="text1"/>
                <w:sz w:val="24"/>
                <w:szCs w:val="28"/>
                <w14:textFill>
                  <w14:solidFill>
                    <w14:schemeClr w14:val="tx1"/>
                  </w14:solidFill>
                </w14:textFill>
              </w:rPr>
              <w:t>生态</w:t>
            </w:r>
            <w:r>
              <w:rPr>
                <w:rFonts w:hint="eastAsia" w:ascii="Times New Roman" w:hAnsi="Times New Roman"/>
                <w:color w:val="000000" w:themeColor="text1"/>
                <w:sz w:val="24"/>
                <w:szCs w:val="28"/>
                <w14:textFill>
                  <w14:solidFill>
                    <w14:schemeClr w14:val="tx1"/>
                  </w14:solidFill>
                </w14:textFill>
              </w:rPr>
              <w:t>质量</w:t>
            </w:r>
            <w:r>
              <w:rPr>
                <w:rFonts w:ascii="Times New Roman" w:hAnsi="Times New Roman"/>
                <w:color w:val="000000" w:themeColor="text1"/>
                <w:sz w:val="24"/>
                <w:szCs w:val="28"/>
                <w14:textFill>
                  <w14:solidFill>
                    <w14:schemeClr w14:val="tx1"/>
                  </w14:solidFill>
                </w14:textFill>
              </w:rPr>
              <w:t>指数（E</w:t>
            </w:r>
            <w:r>
              <w:rPr>
                <w:rFonts w:hint="eastAsia" w:ascii="Times New Roman" w:hAnsi="Times New Roman"/>
                <w:color w:val="000000" w:themeColor="text1"/>
                <w:sz w:val="24"/>
                <w:szCs w:val="28"/>
                <w14:textFill>
                  <w14:solidFill>
                    <w14:schemeClr w14:val="tx1"/>
                  </w14:solidFill>
                </w14:textFill>
              </w:rPr>
              <w:t>Q</w:t>
            </w:r>
            <w:r>
              <w:rPr>
                <w:rFonts w:ascii="Times New Roman" w:hAnsi="Times New Roman"/>
                <w:color w:val="000000" w:themeColor="text1"/>
                <w:sz w:val="24"/>
                <w:szCs w:val="28"/>
                <w14:textFill>
                  <w14:solidFill>
                    <w14:schemeClr w14:val="tx1"/>
                  </w14:solidFill>
                </w14:textFill>
              </w:rPr>
              <w:t>I）</w:t>
            </w:r>
          </w:p>
        </w:tc>
        <w:tc>
          <w:tcPr>
            <w:tcW w:w="867" w:type="dxa"/>
            <w:vAlign w:val="center"/>
          </w:tcPr>
          <w:p w14:paraId="7323D41F">
            <w:pPr>
              <w:spacing w:line="240" w:lineRule="auto"/>
              <w:ind w:firstLine="0" w:firstLineChars="0"/>
              <w:jc w:val="center"/>
              <w:rPr>
                <w:rFonts w:ascii="Times New Roman" w:hAnsi="Times New Roman" w:cs="Times New Roman"/>
                <w:sz w:val="24"/>
              </w:rPr>
            </w:pPr>
            <w:r>
              <w:rPr>
                <w:rFonts w:ascii="Times New Roman" w:hAnsi="Times New Roman" w:cs="Times New Roman"/>
                <w:sz w:val="24"/>
              </w:rPr>
              <w:t>/</w:t>
            </w:r>
          </w:p>
        </w:tc>
        <w:tc>
          <w:tcPr>
            <w:tcW w:w="1445" w:type="dxa"/>
            <w:vAlign w:val="center"/>
          </w:tcPr>
          <w:p w14:paraId="1DAA96E6">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稳中向好</w:t>
            </w:r>
          </w:p>
        </w:tc>
        <w:tc>
          <w:tcPr>
            <w:tcW w:w="946" w:type="dxa"/>
            <w:vAlign w:val="center"/>
          </w:tcPr>
          <w:p w14:paraId="22CCC417">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581B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restart"/>
            <w:vAlign w:val="center"/>
          </w:tcPr>
          <w:p w14:paraId="703B2F99">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环境风险防控</w:t>
            </w:r>
          </w:p>
        </w:tc>
        <w:tc>
          <w:tcPr>
            <w:tcW w:w="0" w:type="auto"/>
            <w:vAlign w:val="center"/>
          </w:tcPr>
          <w:p w14:paraId="43608E77">
            <w:pPr>
              <w:spacing w:line="240" w:lineRule="auto"/>
              <w:ind w:firstLine="0" w:firstLineChars="0"/>
              <w:jc w:val="center"/>
              <w:rPr>
                <w:rFonts w:ascii="Times New Roman" w:hAnsi="Times New Roman" w:cs="Times New Roman"/>
                <w:sz w:val="24"/>
                <w:szCs w:val="32"/>
              </w:rPr>
            </w:pPr>
            <w:r>
              <w:rPr>
                <w:rFonts w:hint="eastAsia" w:ascii="Times New Roman" w:hAnsi="Times New Roman" w:cs="Times New Roman"/>
                <w:sz w:val="24"/>
                <w:szCs w:val="32"/>
              </w:rPr>
              <w:t>15</w:t>
            </w:r>
          </w:p>
        </w:tc>
        <w:tc>
          <w:tcPr>
            <w:tcW w:w="3122" w:type="dxa"/>
            <w:vAlign w:val="center"/>
          </w:tcPr>
          <w:p w14:paraId="2A92C36F">
            <w:pPr>
              <w:spacing w:line="240" w:lineRule="auto"/>
              <w:ind w:firstLine="0" w:firstLineChars="0"/>
              <w:jc w:val="center"/>
              <w:rPr>
                <w:rFonts w:ascii="Times New Roman" w:hAnsi="Times New Roman" w:cs="Times New Roman"/>
                <w:sz w:val="24"/>
                <w:szCs w:val="28"/>
              </w:rPr>
            </w:pPr>
            <w:r>
              <w:rPr>
                <w:rFonts w:ascii="Times New Roman" w:hAnsi="Times New Roman" w:cs="Times New Roman"/>
                <w:sz w:val="24"/>
                <w:szCs w:val="28"/>
              </w:rPr>
              <w:t>建设用地安全利用</w:t>
            </w:r>
          </w:p>
        </w:tc>
        <w:tc>
          <w:tcPr>
            <w:tcW w:w="867" w:type="dxa"/>
            <w:vAlign w:val="center"/>
          </w:tcPr>
          <w:p w14:paraId="68DBDD58">
            <w:pPr>
              <w:spacing w:line="240" w:lineRule="auto"/>
              <w:ind w:firstLine="0" w:firstLineChars="0"/>
              <w:jc w:val="center"/>
              <w:rPr>
                <w:rFonts w:ascii="Times New Roman" w:hAnsi="Times New Roman" w:eastAsia="宋体" w:cs="Times New Roman"/>
                <w:sz w:val="24"/>
              </w:rPr>
            </w:pPr>
            <w:r>
              <w:rPr>
                <w:rFonts w:ascii="Times New Roman" w:hAnsi="Times New Roman" w:cs="Times New Roman"/>
                <w:sz w:val="24"/>
              </w:rPr>
              <w:t>/</w:t>
            </w:r>
          </w:p>
        </w:tc>
        <w:tc>
          <w:tcPr>
            <w:tcW w:w="1445" w:type="dxa"/>
            <w:vAlign w:val="center"/>
          </w:tcPr>
          <w:p w14:paraId="29F2D258">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有效保障</w:t>
            </w:r>
          </w:p>
        </w:tc>
        <w:tc>
          <w:tcPr>
            <w:tcW w:w="946" w:type="dxa"/>
            <w:vAlign w:val="center"/>
          </w:tcPr>
          <w:p w14:paraId="575BD1C0">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r w14:paraId="4328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0" w:type="auto"/>
            <w:vMerge w:val="continue"/>
            <w:vAlign w:val="center"/>
          </w:tcPr>
          <w:p w14:paraId="40BA195C">
            <w:pPr>
              <w:spacing w:line="240" w:lineRule="auto"/>
              <w:ind w:firstLine="0" w:firstLineChars="0"/>
              <w:jc w:val="center"/>
              <w:rPr>
                <w:rFonts w:ascii="Times New Roman" w:hAnsi="Times New Roman" w:cs="Times New Roman"/>
                <w:sz w:val="24"/>
                <w:szCs w:val="32"/>
              </w:rPr>
            </w:pPr>
          </w:p>
        </w:tc>
        <w:tc>
          <w:tcPr>
            <w:tcW w:w="0" w:type="auto"/>
            <w:vAlign w:val="center"/>
          </w:tcPr>
          <w:p w14:paraId="6DE82131">
            <w:pPr>
              <w:spacing w:line="240" w:lineRule="auto"/>
              <w:ind w:firstLine="0" w:firstLineChars="0"/>
              <w:jc w:val="center"/>
              <w:rPr>
                <w:rFonts w:ascii="Times New Roman" w:hAnsi="Times New Roman" w:cs="Times New Roman"/>
                <w:sz w:val="24"/>
                <w:szCs w:val="32"/>
              </w:rPr>
            </w:pPr>
            <w:r>
              <w:rPr>
                <w:rFonts w:hint="eastAsia" w:ascii="Times New Roman" w:hAnsi="Times New Roman" w:cs="Times New Roman"/>
                <w:sz w:val="24"/>
                <w:szCs w:val="32"/>
              </w:rPr>
              <w:t>16</w:t>
            </w:r>
          </w:p>
        </w:tc>
        <w:tc>
          <w:tcPr>
            <w:tcW w:w="3122" w:type="dxa"/>
            <w:vAlign w:val="center"/>
          </w:tcPr>
          <w:p w14:paraId="1D0EBCF4">
            <w:pPr>
              <w:spacing w:line="240" w:lineRule="auto"/>
              <w:ind w:firstLine="0" w:firstLineChars="0"/>
              <w:jc w:val="center"/>
              <w:rPr>
                <w:rFonts w:ascii="Times New Roman" w:hAnsi="Times New Roman" w:cs="Times New Roman"/>
                <w:sz w:val="24"/>
                <w:szCs w:val="28"/>
              </w:rPr>
            </w:pPr>
            <w:r>
              <w:rPr>
                <w:rFonts w:ascii="Times New Roman" w:hAnsi="Times New Roman"/>
                <w:color w:val="000000" w:themeColor="text1"/>
                <w:sz w:val="24"/>
                <w:szCs w:val="28"/>
                <w14:textFill>
                  <w14:solidFill>
                    <w14:schemeClr w14:val="tx1"/>
                  </w14:solidFill>
                </w14:textFill>
              </w:rPr>
              <w:t>固体废物非法倾倒和</w:t>
            </w:r>
            <w:r>
              <w:rPr>
                <w:rFonts w:hint="eastAsia" w:ascii="Times New Roman" w:hAnsi="Times New Roman"/>
                <w:color w:val="000000" w:themeColor="text1"/>
                <w:sz w:val="24"/>
                <w:szCs w:val="28"/>
                <w14:textFill>
                  <w14:solidFill>
                    <w14:schemeClr w14:val="tx1"/>
                  </w14:solidFill>
                </w14:textFill>
              </w:rPr>
              <w:t>违规</w:t>
            </w:r>
            <w:r>
              <w:rPr>
                <w:rFonts w:ascii="Times New Roman" w:hAnsi="Times New Roman"/>
                <w:color w:val="000000" w:themeColor="text1"/>
                <w:sz w:val="24"/>
                <w:szCs w:val="28"/>
                <w14:textFill>
                  <w14:solidFill>
                    <w14:schemeClr w14:val="tx1"/>
                  </w14:solidFill>
                </w14:textFill>
              </w:rPr>
              <w:t>处置</w:t>
            </w:r>
            <w:r>
              <w:rPr>
                <w:rFonts w:hint="eastAsia" w:ascii="Times New Roman" w:hAnsi="Times New Roman"/>
                <w:color w:val="000000" w:themeColor="text1"/>
                <w:sz w:val="24"/>
                <w:szCs w:val="28"/>
                <w14:textFill>
                  <w14:solidFill>
                    <w14:schemeClr w14:val="tx1"/>
                  </w14:solidFill>
                </w14:textFill>
              </w:rPr>
              <w:t>状况</w:t>
            </w:r>
          </w:p>
        </w:tc>
        <w:tc>
          <w:tcPr>
            <w:tcW w:w="867" w:type="dxa"/>
            <w:vAlign w:val="center"/>
          </w:tcPr>
          <w:p w14:paraId="43F825EA">
            <w:pPr>
              <w:spacing w:line="240" w:lineRule="auto"/>
              <w:ind w:firstLine="0" w:firstLineChars="0"/>
              <w:jc w:val="center"/>
              <w:rPr>
                <w:rFonts w:ascii="Times New Roman" w:hAnsi="Times New Roman" w:cs="Times New Roman"/>
                <w:sz w:val="24"/>
              </w:rPr>
            </w:pPr>
          </w:p>
        </w:tc>
        <w:tc>
          <w:tcPr>
            <w:tcW w:w="1445" w:type="dxa"/>
            <w:vAlign w:val="center"/>
          </w:tcPr>
          <w:p w14:paraId="368B8F67">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大幅减少</w:t>
            </w:r>
          </w:p>
        </w:tc>
        <w:tc>
          <w:tcPr>
            <w:tcW w:w="946" w:type="dxa"/>
            <w:vAlign w:val="center"/>
          </w:tcPr>
          <w:p w14:paraId="641B00B0">
            <w:pPr>
              <w:spacing w:line="240" w:lineRule="auto"/>
              <w:ind w:firstLine="0" w:firstLineChars="0"/>
              <w:jc w:val="center"/>
              <w:rPr>
                <w:rFonts w:ascii="Times New Roman" w:hAnsi="Times New Roman" w:cs="Times New Roman"/>
                <w:sz w:val="24"/>
                <w:szCs w:val="32"/>
              </w:rPr>
            </w:pPr>
            <w:r>
              <w:rPr>
                <w:rFonts w:ascii="Times New Roman" w:hAnsi="Times New Roman" w:cs="Times New Roman"/>
                <w:sz w:val="24"/>
                <w:szCs w:val="32"/>
              </w:rPr>
              <w:t>预期性</w:t>
            </w:r>
          </w:p>
        </w:tc>
      </w:tr>
    </w:tbl>
    <w:p w14:paraId="6A932CC7">
      <w:pPr>
        <w:pStyle w:val="4"/>
        <w:numPr>
          <w:ilvl w:val="0"/>
          <w:numId w:val="1"/>
        </w:numPr>
        <w:ind w:firstLine="643"/>
        <w:rPr>
          <w:rFonts w:ascii="Times New Roman" w:hAnsi="Times New Roman" w:cs="Times New Roman"/>
        </w:rPr>
      </w:pPr>
      <w:r>
        <w:rPr>
          <w:rFonts w:ascii="Times New Roman" w:hAnsi="Times New Roman" w:cs="Times New Roman"/>
        </w:rPr>
        <w:t>重点任务</w:t>
      </w:r>
    </w:p>
    <w:p w14:paraId="4DA248D2">
      <w:pPr>
        <w:pStyle w:val="5"/>
        <w:spacing w:beforeLines="0" w:afterLines="0"/>
        <w:ind w:firstLine="640"/>
        <w:rPr>
          <w:rFonts w:ascii="Times New Roman" w:hAnsi="Times New Roman" w:cs="Times New Roman"/>
        </w:rPr>
      </w:pPr>
      <w:r>
        <w:rPr>
          <w:rFonts w:ascii="Times New Roman" w:hAnsi="Times New Roman" w:cs="Times New Roman"/>
        </w:rPr>
        <w:t>（一）</w:t>
      </w:r>
      <w:r>
        <w:rPr>
          <w:rFonts w:hint="eastAsia" w:ascii="Times New Roman" w:hAnsi="Times New Roman" w:cs="Times New Roman"/>
        </w:rPr>
        <w:t>加速绿色低碳全域转型，壮大新区绿色发展动能</w:t>
      </w:r>
    </w:p>
    <w:p w14:paraId="235E6E86">
      <w:pPr>
        <w:ind w:firstLine="640"/>
        <w:rPr>
          <w:rFonts w:ascii="Times New Roman" w:hAnsi="Times New Roman" w:cs="Times New Roman"/>
        </w:rPr>
      </w:pPr>
      <w:r>
        <w:rPr>
          <w:rFonts w:hint="eastAsia" w:ascii="Times New Roman" w:hAnsi="Times New Roman" w:cs="Times New Roman"/>
        </w:rPr>
        <w:t>积极稳妥推进碳达峰碳中和。严格落实碳排放总量和强度双控制度要求，全面贯彻碳达峰碳中和相关政策体系，科学谋划、有计划分步骤推进碳达峰各项行动。依托园区深化绿色低碳发展试点，落地碳减排举措。强化非二氧化碳温室气体管控，统筹多污染物与碳排放协同治理，健全配套标准、机制与管理体系。依托试点平台总结推广可复制碳足迹治理经验。</w:t>
      </w:r>
    </w:p>
    <w:p w14:paraId="59ABC9F8">
      <w:pPr>
        <w:pStyle w:val="2"/>
        <w:spacing w:after="0"/>
        <w:ind w:firstLine="640"/>
        <w:rPr>
          <w:rFonts w:ascii="Times New Roman" w:hAnsi="Times New Roman" w:cs="Times New Roman"/>
        </w:rPr>
      </w:pPr>
      <w:r>
        <w:rPr>
          <w:rFonts w:hint="eastAsia" w:ascii="Times New Roman" w:hAnsi="Times New Roman" w:cs="Times New Roman"/>
        </w:rPr>
        <w:t>强化减污降碳协同增效。推进园区循环化改造，探索重点行业减污降碳路径。加速产业绿色转型，健全绿色制造体系，培育绿色工厂、绿色园区。落实生态环境分区管控，严控项目准入，严控高碳低效项目上马。推动环保产业数字化、智能化、高端化升级。落实全面节约战略，实施节能降碳改造，提升重点领域能效、水效，完善废弃物循环利用体系，提高资源综合利用效率。</w:t>
      </w:r>
    </w:p>
    <w:p w14:paraId="12016773">
      <w:pPr>
        <w:pStyle w:val="2"/>
        <w:ind w:firstLine="640"/>
      </w:pPr>
      <w:r>
        <w:rPr>
          <w:rFonts w:ascii="Times New Roman" w:hAnsi="Times New Roman" w:cs="Times New Roman"/>
        </w:rPr>
        <w:t>持续激发海洋蓝色动能</w:t>
      </w:r>
      <w:r>
        <w:rPr>
          <w:rFonts w:hint="eastAsia" w:ascii="Times New Roman" w:hAnsi="Times New Roman" w:cs="Times New Roman"/>
        </w:rPr>
        <w:t>。构建“三轮驱动、多湾支撑、轴带贯通”的海洋发展空间格局，</w:t>
      </w:r>
      <w:r>
        <w:rPr>
          <w:rFonts w:hint="eastAsia"/>
        </w:rPr>
        <w:t>发挥好海洋增汇固碳作用，积极探索海洋碳汇相关交易模式，推进相关交易平台建设。深入开展相关试点工作，建立健全碳普惠等激励机制，引导全社会参与绿色低碳发展。积极探索海洋相关产业融合创新发展路径，推动各类新能源与海洋产业深度融合。推进能源领域相关试点项目建设，推动港口等重点区域绿色低碳转型，打造绿色低碳示范标杆。</w:t>
      </w:r>
    </w:p>
    <w:p w14:paraId="017E3312">
      <w:pPr>
        <w:ind w:firstLine="640"/>
        <w:rPr>
          <w:rFonts w:ascii="Times New Roman" w:hAnsi="Times New Roman" w:cs="Times New Roman"/>
        </w:rPr>
      </w:pPr>
      <w:bookmarkStart w:id="2" w:name="OLE_LINK18"/>
      <w:r>
        <w:rPr>
          <w:rFonts w:hint="eastAsia" w:ascii="Times New Roman" w:hAnsi="Times New Roman" w:cs="Times New Roman"/>
        </w:rPr>
        <w:t>构建绿色清洁能源体系</w:t>
      </w:r>
      <w:bookmarkEnd w:id="2"/>
      <w:r>
        <w:rPr>
          <w:rFonts w:hint="eastAsia" w:ascii="Times New Roman" w:hAnsi="Times New Roman" w:cs="Times New Roman"/>
        </w:rPr>
        <w:t>。构建“三轮驱动、多湾支撑、轴带贯通”海洋发展格局，挖掘海洋固碳增汇潜力，探索海洋碳汇交易路径、搭建交易平台。开展试点示范，完善碳普惠激励机制，引导全民践行绿色低碳。推动海洋产业融合创新，促进新能源与海洋产业深度耦合。落地能源示范项目，推进港口等重点区域绿色低碳改造，打造蓝色低碳示范标杆。</w:t>
      </w:r>
    </w:p>
    <w:p w14:paraId="5AC04C27">
      <w:pPr>
        <w:ind w:firstLine="640"/>
        <w:rPr>
          <w:rFonts w:ascii="Times New Roman" w:hAnsi="Times New Roman" w:cs="Times New Roman"/>
        </w:rPr>
      </w:pPr>
      <w:r>
        <w:rPr>
          <w:rFonts w:ascii="Times New Roman" w:hAnsi="Times New Roman" w:cs="Times New Roman"/>
        </w:rPr>
        <w:t>构建绿色低碳交通体系</w:t>
      </w:r>
      <w:r>
        <w:rPr>
          <w:rFonts w:hint="eastAsia" w:ascii="Times New Roman" w:hAnsi="Times New Roman" w:cs="Times New Roman"/>
        </w:rPr>
        <w:t>。严格执行各类机动车和非道路移动机械相关排放标准，有序推进高排放老旧设备淘汰工作。推广交通工具清洁能源替代，加密新能源配套基础设施布局。推进港口等交通枢纽绿色改造，扩大绿色能源交通应用。优化运输结构，大力发展多式联运，提高绿色货运比重，推动交通行业低碳转型。</w:t>
      </w:r>
    </w:p>
    <w:p w14:paraId="54CFCF5F">
      <w:pPr>
        <w:ind w:firstLine="640"/>
        <w:rPr>
          <w:rFonts w:ascii="Times New Roman" w:hAnsi="Times New Roman" w:cs="Times New Roman"/>
        </w:rPr>
      </w:pPr>
      <w:r>
        <w:rPr>
          <w:rFonts w:hint="eastAsia" w:ascii="Times New Roman" w:hAnsi="Times New Roman" w:cs="Times New Roman"/>
        </w:rPr>
        <w:t>持续提升绿色建筑发展水平。推广各类绿色低碳建筑类型，鼓励建设低碳、零碳相关建筑项目。落实建筑绿色标准，新建建筑全面执行绿色设计规范。打造绿色施工示范，推进施工环节绿色转型。严守建筑节能标准，普及超低能耗建筑，实施既有建筑节能绿色改造，推动重点建筑先行达标，全域提升建筑业低碳发展质效。</w:t>
      </w:r>
    </w:p>
    <w:p w14:paraId="0463812B">
      <w:pPr>
        <w:pStyle w:val="5"/>
        <w:spacing w:beforeLines="0" w:afterLines="0"/>
        <w:ind w:firstLine="640"/>
        <w:rPr>
          <w:rFonts w:ascii="Times New Roman" w:hAnsi="Times New Roman" w:cs="Times New Roman"/>
        </w:rPr>
      </w:pPr>
      <w:r>
        <w:rPr>
          <w:rFonts w:ascii="Times New Roman" w:hAnsi="Times New Roman" w:cs="Times New Roman"/>
        </w:rPr>
        <w:t>（二）</w:t>
      </w:r>
      <w:r>
        <w:rPr>
          <w:rFonts w:hint="eastAsia" w:ascii="Times New Roman" w:hAnsi="Times New Roman" w:cs="Times New Roman"/>
        </w:rPr>
        <w:t>纵深推进大气综合治理，持续深入打好蓝天保卫战</w:t>
      </w:r>
    </w:p>
    <w:p w14:paraId="2C29CEC7">
      <w:pPr>
        <w:ind w:firstLine="640"/>
        <w:rPr>
          <w:rFonts w:ascii="Times New Roman" w:hAnsi="Times New Roman" w:cs="Times New Roman"/>
        </w:rPr>
      </w:pPr>
      <w:r>
        <w:rPr>
          <w:rFonts w:ascii="Times New Roman" w:hAnsi="Times New Roman" w:cs="Times New Roman"/>
        </w:rPr>
        <w:t>聚力加强多污染物协同治理</w:t>
      </w:r>
      <w:r>
        <w:rPr>
          <w:rFonts w:hint="eastAsia" w:ascii="Times New Roman" w:hAnsi="Times New Roman" w:cs="Times New Roman"/>
        </w:rPr>
        <w:t>。</w:t>
      </w:r>
      <w:r>
        <w:rPr>
          <w:rFonts w:ascii="Times New Roman" w:hAnsi="Times New Roman" w:cs="Times New Roman"/>
        </w:rPr>
        <w:t>深化工业污染</w:t>
      </w:r>
      <w:r>
        <w:rPr>
          <w:rFonts w:hint="eastAsia" w:ascii="Times New Roman" w:hAnsi="Times New Roman" w:cs="Times New Roman"/>
        </w:rPr>
        <w:t>精细化管控，</w:t>
      </w:r>
      <w:r>
        <w:rPr>
          <w:rFonts w:ascii="Times New Roman" w:hAnsi="Times New Roman" w:cs="Times New Roman"/>
        </w:rPr>
        <w:t>降低区域污染负荷。</w:t>
      </w:r>
      <w:r>
        <w:rPr>
          <w:rFonts w:hint="eastAsia" w:ascii="Times New Roman" w:hAnsi="Times New Roman" w:cs="Times New Roman"/>
        </w:rPr>
        <w:t>统筹推进细颗粒物（</w:t>
      </w:r>
      <w:r>
        <w:rPr>
          <w:rFonts w:ascii="Times New Roman" w:hAnsi="Times New Roman" w:cs="Times New Roman"/>
        </w:rPr>
        <w:t>PM</w:t>
      </w:r>
      <w:r>
        <w:rPr>
          <w:rFonts w:ascii="Times New Roman" w:hAnsi="Times New Roman" w:cs="Times New Roman"/>
          <w:vertAlign w:val="subscript"/>
        </w:rPr>
        <w:t>2.5</w:t>
      </w:r>
      <w:r>
        <w:rPr>
          <w:rFonts w:hint="eastAsia" w:ascii="Times New Roman" w:hAnsi="Times New Roman" w:cs="Times New Roman"/>
        </w:rPr>
        <w:t>）与臭氧协同减排增效，强化重点行业</w:t>
      </w:r>
      <w:r>
        <w:rPr>
          <w:rFonts w:ascii="Times New Roman" w:hAnsi="Times New Roman" w:cs="Times New Roman"/>
        </w:rPr>
        <w:t>挥发性有机物（VOCs）与氮氧化物（NOx）</w:t>
      </w:r>
      <w:r>
        <w:rPr>
          <w:rFonts w:hint="eastAsia" w:ascii="Times New Roman" w:hAnsi="Times New Roman" w:cs="Times New Roman"/>
        </w:rPr>
        <w:t>区域协同管控与减排，落实差异化精准管控措施。统筹推进恶臭、氨等其他涉气污染物综合治理，全面提升大气环境管控质效。</w:t>
      </w:r>
    </w:p>
    <w:p w14:paraId="29A9E6EA">
      <w:pPr>
        <w:ind w:firstLine="640"/>
        <w:rPr>
          <w:rFonts w:ascii="Times New Roman" w:hAnsi="Times New Roman" w:cs="Times New Roman"/>
        </w:rPr>
      </w:pPr>
      <w:r>
        <w:rPr>
          <w:rFonts w:ascii="Times New Roman" w:hAnsi="Times New Roman" w:cs="Times New Roman"/>
        </w:rPr>
        <w:t>强化重点源污染管控。</w:t>
      </w:r>
      <w:r>
        <w:rPr>
          <w:rFonts w:hint="eastAsia" w:ascii="Times New Roman" w:hAnsi="Times New Roman" w:cs="Times New Roman"/>
        </w:rPr>
        <w:t>紧盯重点时段大气污染防治关键任务，构建源头防控、过程管控、末端治理的全流程污染管控体系。规范工业企业无组织排放管理，深化重点行业大气污染专项整治。完善区域大气联防联控机制，推行涉气企业绩效分级差异化管控，靶向开展重点领域污染治理，持续削减重点污染源排放总量。</w:t>
      </w:r>
    </w:p>
    <w:p w14:paraId="71E0C28D">
      <w:pPr>
        <w:ind w:firstLine="640"/>
        <w:jc w:val="left"/>
        <w:rPr>
          <w:rFonts w:ascii="Times New Roman" w:hAnsi="Times New Roman" w:cs="Times New Roman"/>
          <w:kern w:val="32"/>
          <w:szCs w:val="32"/>
        </w:rPr>
      </w:pPr>
      <w:r>
        <w:rPr>
          <w:rFonts w:ascii="Times New Roman" w:hAnsi="Times New Roman" w:cs="Times New Roman"/>
        </w:rPr>
        <w:t>持续推进结构优化调整。</w:t>
      </w:r>
      <w:r>
        <w:rPr>
          <w:rFonts w:hint="eastAsia" w:ascii="Times New Roman" w:hAnsi="Times New Roman" w:cs="Times New Roman"/>
        </w:rPr>
        <w:t>规范工业企业无组织排放管理，深化重点行业大气污染专项整治。完善区域大气联防联控机制，推行涉气企业绩效分级差异化管控，靶向开展重点领域污染治理，持续削减重点污染源排放总量。</w:t>
      </w:r>
    </w:p>
    <w:p w14:paraId="1F2CF581">
      <w:pPr>
        <w:ind w:firstLine="640"/>
        <w:rPr>
          <w:rFonts w:ascii="Times New Roman" w:hAnsi="Times New Roman" w:cs="Times New Roman"/>
        </w:rPr>
      </w:pPr>
      <w:r>
        <w:rPr>
          <w:rFonts w:ascii="Times New Roman" w:hAnsi="Times New Roman" w:cs="Times New Roman"/>
        </w:rPr>
        <w:t>严控扬尘面源排放。</w:t>
      </w:r>
      <w:r>
        <w:rPr>
          <w:rFonts w:hint="eastAsia" w:ascii="Times New Roman" w:hAnsi="Times New Roman" w:cs="Times New Roman"/>
        </w:rPr>
        <w:t>构建全域全覆盖扬尘管控体系，强化建筑工地扬尘规范化管理，推进工地智能监控设备全覆盖、全联网。提升道路保洁机械化、精细化水平，扩大机械化清扫覆盖范围。规范物料运输、工业堆场扬尘管理，全面落实运输车辆密闭运输要求，多措并举压降扬尘面源污染。</w:t>
      </w:r>
    </w:p>
    <w:p w14:paraId="5CBA4D6C">
      <w:pPr>
        <w:ind w:firstLine="640"/>
        <w:jc w:val="left"/>
        <w:rPr>
          <w:rFonts w:ascii="Times New Roman" w:hAnsi="Times New Roman" w:cs="Times New Roman"/>
          <w:szCs w:val="32"/>
        </w:rPr>
      </w:pPr>
      <w:r>
        <w:rPr>
          <w:rFonts w:hint="eastAsia" w:ascii="Times New Roman" w:hAnsi="Times New Roman" w:cs="Times New Roman"/>
          <w:szCs w:val="32"/>
        </w:rPr>
        <w:t>补齐恶臭与噪声治理短板。强化恶臭污染全流程闭环监管，因地制宜应用先进除臭工艺，提升废气收集处置能力，切实保障群众生态环境权益。健全噪声常态化监管机制，严格规范夜间施工审批及监管，严控夜间违规高噪声作业。聚焦工业、商业、交通三大重点领域开展噪声专项整治，推广低噪声生产设备，落实降噪减振工程措施，科学划定噪声管控分区，有效降低噪声环境影响。</w:t>
      </w:r>
    </w:p>
    <w:p w14:paraId="0EFB2487">
      <w:pPr>
        <w:pStyle w:val="5"/>
        <w:numPr>
          <w:ilvl w:val="255"/>
          <w:numId w:val="0"/>
        </w:numPr>
        <w:spacing w:beforeLines="0" w:afterLines="0"/>
        <w:ind w:firstLine="640" w:firstLineChars="200"/>
        <w:rPr>
          <w:rFonts w:ascii="Times New Roman" w:hAnsi="Times New Roman" w:cs="Times New Roman"/>
          <w:color w:val="FF0000"/>
        </w:rPr>
      </w:pPr>
      <w:bookmarkStart w:id="3" w:name="_Toc31495"/>
      <w:r>
        <w:rPr>
          <w:rFonts w:ascii="Times New Roman" w:hAnsi="Times New Roman" w:cs="Times New Roman"/>
        </w:rPr>
        <w:t>（</w:t>
      </w:r>
      <w:r>
        <w:rPr>
          <w:rFonts w:hint="eastAsia" w:ascii="Times New Roman" w:hAnsi="Times New Roman" w:cs="Times New Roman"/>
        </w:rPr>
        <w:t>三</w:t>
      </w:r>
      <w:r>
        <w:rPr>
          <w:rFonts w:ascii="Times New Roman" w:hAnsi="Times New Roman" w:cs="Times New Roman"/>
        </w:rPr>
        <w:t>）</w:t>
      </w:r>
      <w:bookmarkStart w:id="4" w:name="OLE_LINK11"/>
      <w:r>
        <w:rPr>
          <w:rFonts w:hint="eastAsia" w:ascii="Times New Roman" w:hAnsi="Times New Roman" w:cs="Times New Roman"/>
        </w:rPr>
        <w:t>全域攻坚水环境综合治理，</w:t>
      </w:r>
      <w:r>
        <w:rPr>
          <w:rFonts w:ascii="Times New Roman" w:hAnsi="Times New Roman" w:cs="Times New Roman"/>
          <w:color w:val="000000" w:themeColor="text1"/>
          <w14:textFill>
            <w14:solidFill>
              <w14:schemeClr w14:val="tx1"/>
            </w14:solidFill>
          </w14:textFill>
        </w:rPr>
        <w:t>持续深入打好碧水保卫战</w:t>
      </w:r>
      <w:bookmarkEnd w:id="3"/>
      <w:bookmarkEnd w:id="4"/>
    </w:p>
    <w:p w14:paraId="6F284237">
      <w:pPr>
        <w:ind w:firstLine="640"/>
        <w:rPr>
          <w:rFonts w:ascii="仿宋_GB2312" w:hAnsi="仿宋" w:cs="Times New Roman"/>
          <w:szCs w:val="32"/>
        </w:rPr>
      </w:pPr>
      <w:bookmarkStart w:id="5" w:name="OLE_LINK10"/>
      <w:r>
        <w:rPr>
          <w:rFonts w:hint="eastAsia" w:ascii="仿宋_GB2312" w:hAnsi="宋体" w:cs="Times New Roman"/>
          <w:szCs w:val="32"/>
        </w:rPr>
        <w:t>积极推进美丽河湖建设。</w:t>
      </w:r>
      <w:r>
        <w:rPr>
          <w:rFonts w:hint="eastAsia" w:ascii="仿宋_GB2312" w:hAnsi="仿宋"/>
          <w:szCs w:val="32"/>
        </w:rPr>
        <w:t>统筹推进美丽河湖示范创建与提质增效，持续改善重点流域水生态环境质量。落实流域精细化管控要求，保障重点地表水断面稳定达标，持续推进入河排污口排查整治与长效管控，巩固水环境质量改善成果。常态化开展饮用水水源地环境隐患排查与规范化建设，完善水源地保护配套设施，统筹推进流域周边农村环境综合整治，强化水源地环境风险防范，全力保障饮用水水源水质安全。推进重点河道生态综合治理，稳步提升美丽河湖建设覆盖比例。</w:t>
      </w:r>
    </w:p>
    <w:p w14:paraId="3BB07F30">
      <w:pPr>
        <w:pStyle w:val="29"/>
        <w:spacing w:after="0"/>
        <w:ind w:left="0" w:leftChars="0" w:firstLine="640"/>
        <w:rPr>
          <w:rFonts w:ascii="仿宋_GB2312" w:hAnsi="仿宋" w:cs="黑体"/>
          <w:szCs w:val="32"/>
        </w:rPr>
      </w:pPr>
      <w:r>
        <w:rPr>
          <w:rFonts w:hint="eastAsia" w:ascii="Times New Roman" w:hAnsi="Times New Roman"/>
          <w:szCs w:val="32"/>
        </w:rPr>
        <w:t>加强工业园区水污染防治。</w:t>
      </w:r>
      <w:r>
        <w:rPr>
          <w:rFonts w:hint="eastAsia" w:ascii="仿宋_GB2312" w:hAnsi="仿宋" w:cs="黑体"/>
          <w:szCs w:val="32"/>
        </w:rPr>
        <w:t>完善工业园区污水处理及配套管网建设，提升污水集中收集处置与稳定达标运行能力，聚焦重点产业园区，常态化开展水环境问题排查整治，健全园区水环境风险防控体系。深化化工园区水环境应急防控体系建设，构建全过程、多层次的突发水污染事件防控网络，切实防范园区水环境风险，保障流域水环境安全。</w:t>
      </w:r>
    </w:p>
    <w:p w14:paraId="2385B7CA">
      <w:pPr>
        <w:ind w:firstLine="640"/>
        <w:rPr>
          <w:rFonts w:ascii="Times New Roman" w:hAnsi="Times New Roman" w:cs="Times New Roman"/>
        </w:rPr>
      </w:pPr>
      <w:r>
        <w:rPr>
          <w:rFonts w:ascii="Times New Roman" w:hAnsi="Times New Roman" w:cs="Times New Roman"/>
        </w:rPr>
        <w:t>持续提升城镇污水处理水平。统筹</w:t>
      </w:r>
      <w:r>
        <w:rPr>
          <w:rFonts w:hint="eastAsia" w:ascii="Times New Roman" w:hAnsi="Times New Roman" w:cs="Times New Roman"/>
        </w:rPr>
        <w:t>“</w:t>
      </w:r>
      <w:r>
        <w:rPr>
          <w:rFonts w:ascii="Times New Roman" w:hAnsi="Times New Roman" w:cs="Times New Roman"/>
        </w:rPr>
        <w:t>水环境、水资源、水生态</w:t>
      </w:r>
      <w:r>
        <w:rPr>
          <w:rFonts w:hint="eastAsia" w:ascii="Times New Roman" w:hAnsi="Times New Roman" w:cs="Times New Roman"/>
        </w:rPr>
        <w:t>”</w:t>
      </w:r>
      <w:r>
        <w:rPr>
          <w:rFonts w:ascii="Times New Roman" w:hAnsi="Times New Roman" w:cs="Times New Roman"/>
        </w:rPr>
        <w:t>要求，科学规划、合理布局城市污水处理设施。按照厂网协调、统筹规划、合理布局的原则，根据污水处理量增长情况适时扩建污水处理厂；统筹污水处理及再生水利用设施建设，扩大再生水管网覆盖范围</w:t>
      </w:r>
      <w:r>
        <w:rPr>
          <w:rFonts w:hint="eastAsia" w:ascii="Times New Roman" w:hAnsi="Times New Roman" w:cs="Times New Roman"/>
        </w:rPr>
        <w:t>，</w:t>
      </w:r>
      <w:r>
        <w:rPr>
          <w:rFonts w:hint="eastAsia" w:ascii="仿宋_GB2312"/>
          <w:szCs w:val="32"/>
        </w:rPr>
        <w:t>逐步提高新区再生水利用率</w:t>
      </w:r>
      <w:r>
        <w:rPr>
          <w:rFonts w:ascii="Times New Roman" w:hAnsi="Times New Roman" w:cs="Times New Roman"/>
        </w:rPr>
        <w:t>。</w:t>
      </w:r>
    </w:p>
    <w:p w14:paraId="13020617">
      <w:pPr>
        <w:ind w:firstLine="640"/>
        <w:rPr>
          <w:rFonts w:ascii="Times New Roman" w:hAnsi="Times New Roman" w:cs="Times New Roman"/>
        </w:rPr>
      </w:pPr>
      <w:r>
        <w:rPr>
          <w:rFonts w:ascii="Times New Roman" w:hAnsi="Times New Roman" w:cs="Times New Roman"/>
        </w:rPr>
        <w:t>提升</w:t>
      </w:r>
      <w:r>
        <w:rPr>
          <w:rFonts w:hint="eastAsia" w:ascii="Times New Roman" w:hAnsi="Times New Roman" w:cs="Times New Roman"/>
        </w:rPr>
        <w:t>农业面源污染</w:t>
      </w:r>
      <w:r>
        <w:rPr>
          <w:rFonts w:ascii="Times New Roman" w:hAnsi="Times New Roman" w:cs="Times New Roman"/>
        </w:rPr>
        <w:t>防治水平。</w:t>
      </w:r>
      <w:r>
        <w:rPr>
          <w:rFonts w:hint="eastAsia" w:ascii="Times New Roman" w:hAnsi="Times New Roman" w:cs="Times New Roman"/>
        </w:rPr>
        <w:t>因地制宜推进农村生活污水分类治理，推广污水就地资源化利用模式，实现农村污水处理设施长效稳定运行。推进畜禽粪污资源化利用，规范水产养殖污染管控。健全农村黑臭水体动态监管机制，保持动态清零，严防黑臭水体反弹。</w:t>
      </w:r>
    </w:p>
    <w:p w14:paraId="7EF8CA48">
      <w:pPr>
        <w:ind w:firstLine="640"/>
        <w:rPr>
          <w:rFonts w:ascii="Times New Roman" w:hAnsi="Times New Roman" w:cs="Times New Roman"/>
        </w:rPr>
      </w:pPr>
      <w:r>
        <w:rPr>
          <w:rFonts w:hint="eastAsia" w:ascii="Times New Roman" w:hAnsi="Times New Roman" w:cs="Times New Roman"/>
        </w:rPr>
        <w:t>加强生态环境基础设施建设</w:t>
      </w:r>
      <w:r>
        <w:rPr>
          <w:rFonts w:ascii="Times New Roman" w:hAnsi="Times New Roman" w:cs="Times New Roman"/>
        </w:rPr>
        <w:t>。</w:t>
      </w:r>
      <w:r>
        <w:rPr>
          <w:rFonts w:hint="eastAsia" w:ascii="Times New Roman" w:hAnsi="Times New Roman" w:cs="Times New Roman"/>
        </w:rPr>
        <w:t>推动城乡环境基础设施一体化规划、一体化建设、一体化运维，构建城乡全域联通的环境基础设施网络。扎实做好“两个清零、一个提标”工作回头看。加快排水管网改造和雨污分流体系建设，全面推进城镇雨污分流改造，夯实城乡水环境治理硬件保障基础。</w:t>
      </w:r>
    </w:p>
    <w:bookmarkEnd w:id="5"/>
    <w:p w14:paraId="7C0367AA">
      <w:pPr>
        <w:numPr>
          <w:ilvl w:val="255"/>
          <w:numId w:val="0"/>
        </w:numPr>
        <w:ind w:firstLine="640"/>
        <w:outlineLvl w:val="1"/>
        <w:rPr>
          <w:rFonts w:ascii="Times New Roman" w:hAnsi="Times New Roman" w:cs="Times New Roman"/>
        </w:rPr>
      </w:pPr>
      <w:r>
        <w:rPr>
          <w:rFonts w:ascii="Times New Roman" w:hAnsi="Times New Roman" w:eastAsia="楷体" w:cs="Times New Roman"/>
        </w:rPr>
        <w:t>（四）</w:t>
      </w:r>
      <w:r>
        <w:rPr>
          <w:rFonts w:hint="eastAsia" w:ascii="Times New Roman" w:hAnsi="Times New Roman" w:eastAsia="楷体" w:cs="Times New Roman"/>
        </w:rPr>
        <w:t>全链条管控土壤环境风险，</w:t>
      </w:r>
      <w:r>
        <w:rPr>
          <w:rFonts w:ascii="Times New Roman" w:hAnsi="Times New Roman" w:eastAsia="楷体" w:cs="Times New Roman"/>
        </w:rPr>
        <w:t>持续深入打好净土保卫战</w:t>
      </w:r>
    </w:p>
    <w:p w14:paraId="084DE00C">
      <w:pPr>
        <w:ind w:firstLine="640"/>
        <w:rPr>
          <w:rFonts w:ascii="Times New Roman" w:hAnsi="Times New Roman" w:cs="Times New Roman"/>
        </w:rPr>
      </w:pPr>
      <w:bookmarkStart w:id="6" w:name="OLE_LINK12"/>
      <w:r>
        <w:rPr>
          <w:rFonts w:ascii="Times New Roman" w:hAnsi="Times New Roman" w:cs="Times New Roman"/>
        </w:rPr>
        <w:t>实施土壤污染源头防控行动。</w:t>
      </w:r>
      <w:r>
        <w:rPr>
          <w:rFonts w:hint="eastAsia" w:ascii="Times New Roman" w:hAnsi="Times New Roman" w:cs="Times New Roman"/>
        </w:rPr>
        <w:t>动态更新土壤污染重点监管单位清单，从严落实源头管控。严格建设用地土壤污染风险管控与修复报告审核，遵循“发现一块、管控一块”原则，有序推进地块风险管控与修复，保障建设用地开发利用安全。依托土壤污染详查结果，划定全区“十五五”土壤防治重点区域与领域，推行绿色低碳土壤修复模式，规范开展土壤污染治理修复工作。</w:t>
      </w:r>
    </w:p>
    <w:p w14:paraId="1AAC883C">
      <w:pPr>
        <w:ind w:firstLine="640"/>
        <w:rPr>
          <w:rFonts w:ascii="Times New Roman" w:hAnsi="Times New Roman" w:cs="Times New Roman"/>
        </w:rPr>
      </w:pPr>
      <w:r>
        <w:rPr>
          <w:rFonts w:hint="eastAsia" w:ascii="Times New Roman" w:hAnsi="Times New Roman" w:cs="Times New Roman"/>
        </w:rPr>
        <w:t>持续深入推进“无废城市”建设。</w:t>
      </w:r>
      <w:bookmarkStart w:id="7" w:name="OLE_LINK20"/>
      <w:r>
        <w:rPr>
          <w:rFonts w:hint="eastAsia" w:ascii="Times New Roman" w:hAnsi="Times New Roman" w:cs="Times New Roman"/>
        </w:rPr>
        <w:t>统筹固体废物全域综合治理，完善再生资源回收利用体系，提升固废综合处置能力。搭建危险废物全流程信息化监管平台，覆盖产生、贮存、转移、处置全环节，严厉打击危废环境违法行为。推动农业固废资源化利用，推广绿色农资，从源头降低农业固体废物污染。</w:t>
      </w:r>
    </w:p>
    <w:p w14:paraId="65FF29B2">
      <w:pPr>
        <w:ind w:firstLine="640"/>
        <w:rPr>
          <w:rFonts w:ascii="Times New Roman" w:hAnsi="Times New Roman" w:cs="Times New Roman"/>
        </w:rPr>
      </w:pPr>
      <w:r>
        <w:rPr>
          <w:rFonts w:ascii="Times New Roman" w:hAnsi="Times New Roman" w:cs="Times New Roman"/>
        </w:rPr>
        <w:t>推进城乡垃圾分类处置</w:t>
      </w:r>
      <w:r>
        <w:rPr>
          <w:rFonts w:hint="eastAsia" w:ascii="Times New Roman" w:hAnsi="Times New Roman" w:cs="Times New Roman"/>
        </w:rPr>
        <w:t>。补齐生活垃圾分类处置设施短板，搭建全域一体化垃圾收运处置网络及废旧物资循环利用体系。推进建筑垃圾减量化、资源化、无害化处置，规范装修垃圾收运全流程管理。落实农村生活垃圾“户集、村收、区运、区处理”模式，实现农村生活垃圾无害化处理全覆盖，稳步推动原生垃圾零填埋，全面提升城乡生活垃圾治理效能。</w:t>
      </w:r>
    </w:p>
    <w:bookmarkEnd w:id="7"/>
    <w:p w14:paraId="348F6758">
      <w:pPr>
        <w:ind w:firstLine="640"/>
        <w:rPr>
          <w:rFonts w:ascii="Times New Roman" w:hAnsi="Times New Roman" w:cs="Times New Roman"/>
        </w:rPr>
      </w:pPr>
      <w:r>
        <w:rPr>
          <w:rFonts w:hint="eastAsia" w:ascii="Times New Roman" w:hAnsi="Times New Roman" w:cs="Times New Roman"/>
        </w:rPr>
        <w:t>持续</w:t>
      </w:r>
      <w:r>
        <w:rPr>
          <w:rFonts w:ascii="Times New Roman" w:hAnsi="Times New Roman" w:cs="Times New Roman"/>
        </w:rPr>
        <w:t>强化土壤和地下水污染协同防治。</w:t>
      </w:r>
      <w:r>
        <w:rPr>
          <w:rFonts w:hint="eastAsia" w:ascii="Times New Roman" w:hAnsi="Times New Roman" w:cs="Times New Roman"/>
        </w:rPr>
        <w:t>健全地下水环境监测网络，完善地下水污染风险防控体系。农用地、污染建设用地地块开展调查评估、风险管控及修复治理时，同步纳入地下水防控内容。聚焦重金属、有机污染物、新污染物等易迁移污染物，研发适配修复技术，布局地下水污染修复试点工程。</w:t>
      </w:r>
    </w:p>
    <w:p w14:paraId="7BF6D7FD">
      <w:pPr>
        <w:pStyle w:val="7"/>
        <w:ind w:firstLine="640"/>
        <w:rPr>
          <w:rFonts w:ascii="Times New Roman" w:hAnsi="Times New Roman" w:cs="Times New Roman"/>
        </w:rPr>
      </w:pPr>
      <w:r>
        <w:rPr>
          <w:rFonts w:hint="eastAsia" w:ascii="Times New Roman" w:hAnsi="Times New Roman" w:cs="Times New Roman"/>
        </w:rPr>
        <w:t>深入推进美丽乡村建设。争创国家级美丽乡村先行区。持续推进化肥农药减量增效，稳住化肥农药使用量零增长态势。健全农膜、农药包装废弃物回收处置体系，提升秸秆综合利用水平。因地制宜发展乡村文旅、森林康养等特色产业，培育多元化乡村绿色业态。持续推进乡村绿化美化，抓实农村四旁绿化与村庄公共空间整治，修复乡村水生态环境，还原乡村亲水宜居风貌。​</w:t>
      </w:r>
    </w:p>
    <w:bookmarkEnd w:id="6"/>
    <w:p w14:paraId="1A590AB0">
      <w:pPr>
        <w:pStyle w:val="5"/>
        <w:numPr>
          <w:ilvl w:val="255"/>
          <w:numId w:val="0"/>
        </w:numPr>
        <w:spacing w:beforeLines="0" w:afterLines="0"/>
        <w:ind w:firstLine="640" w:firstLineChars="200"/>
        <w:rPr>
          <w:rFonts w:ascii="Times New Roman" w:hAnsi="Times New Roman" w:cs="Times New Roman"/>
          <w:color w:val="FF0000"/>
        </w:rPr>
      </w:pPr>
      <w:bookmarkStart w:id="8" w:name="_Toc31436"/>
      <w:r>
        <w:rPr>
          <w:rFonts w:ascii="Times New Roman" w:hAnsi="Times New Roman" w:cs="Times New Roman"/>
        </w:rPr>
        <w:t>（</w:t>
      </w:r>
      <w:r>
        <w:rPr>
          <w:rFonts w:hint="eastAsia" w:ascii="Times New Roman" w:hAnsi="Times New Roman" w:cs="Times New Roman"/>
        </w:rPr>
        <w:t>五</w:t>
      </w:r>
      <w:r>
        <w:rPr>
          <w:rFonts w:ascii="Times New Roman" w:hAnsi="Times New Roman" w:cs="Times New Roman"/>
        </w:rPr>
        <w:t>）</w:t>
      </w:r>
      <w:r>
        <w:rPr>
          <w:rFonts w:hint="eastAsia" w:ascii="Times New Roman" w:hAnsi="Times New Roman" w:cs="Times New Roman"/>
        </w:rPr>
        <w:t>坚持陆海统筹河海共治，</w:t>
      </w:r>
      <w:r>
        <w:rPr>
          <w:rFonts w:ascii="Times New Roman" w:hAnsi="Times New Roman" w:cs="Times New Roman"/>
          <w:color w:val="000000" w:themeColor="text1"/>
          <w14:textFill>
            <w14:solidFill>
              <w14:schemeClr w14:val="tx1"/>
            </w14:solidFill>
          </w14:textFill>
        </w:rPr>
        <w:t>系统推进美丽海湾建设</w:t>
      </w:r>
      <w:bookmarkEnd w:id="8"/>
      <w:bookmarkStart w:id="9" w:name="OLE_LINK7"/>
    </w:p>
    <w:bookmarkEnd w:id="9"/>
    <w:p w14:paraId="0CDB19D2">
      <w:pPr>
        <w:ind w:firstLine="640"/>
        <w:rPr>
          <w:rFonts w:ascii="Times New Roman" w:hAnsi="Times New Roman" w:cs="Times New Roman"/>
          <w:color w:val="000000" w:themeColor="text1"/>
          <w14:textFill>
            <w14:solidFill>
              <w14:schemeClr w14:val="tx1"/>
            </w14:solidFill>
          </w14:textFill>
        </w:rPr>
      </w:pPr>
      <w:bookmarkStart w:id="10" w:name="OLE_LINK13"/>
      <w:r>
        <w:rPr>
          <w:rFonts w:ascii="Times New Roman" w:hAnsi="Times New Roman" w:cs="Times New Roman"/>
          <w:color w:val="000000" w:themeColor="text1"/>
          <w14:textFill>
            <w14:solidFill>
              <w14:schemeClr w14:val="tx1"/>
            </w14:solidFill>
          </w14:textFill>
        </w:rPr>
        <w:t>推进全域美丽海湾建设。</w:t>
      </w:r>
      <w:r>
        <w:rPr>
          <w:rFonts w:hint="eastAsia" w:ascii="Times New Roman" w:hAnsi="Times New Roman" w:cs="Times New Roman"/>
          <w:color w:val="000000" w:themeColor="text1"/>
          <w14:textFill>
            <w14:solidFill>
              <w14:schemeClr w14:val="tx1"/>
            </w14:solidFill>
          </w14:textFill>
        </w:rPr>
        <w:t>紧扣美丽海湾建设目标，常态化开展岸滩环境整治与海湾巡查管控，完善亲海空间配套设施，优化亲海海域环境品质。构建海洋生态环境立体监测预警网络，提升海洋生态突发事件应急处置能力，分区分步推进美丽海湾全域创建，持续改善海湾生态环境，构建人海和谐发展格局。</w:t>
      </w:r>
    </w:p>
    <w:p w14:paraId="453ECC6A">
      <w:pPr>
        <w:ind w:firstLine="64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纵深推进海洋生态环境保护</w:t>
      </w:r>
      <w:r>
        <w:rPr>
          <w:rFonts w:hint="eastAsia" w:ascii="Times New Roman" w:hAnsi="Times New Roman" w:cs="Times New Roman"/>
          <w:color w:val="000000" w:themeColor="text1"/>
          <w14:textFill>
            <w14:solidFill>
              <w14:schemeClr w14:val="tx1"/>
            </w14:solidFill>
          </w14:textFill>
        </w:rPr>
        <w:t>。全面压实湾长制管理责任，实施海岸带分段精细化管控，开展岸线生态整治，强化海岛保护与合理利用。综合治理入海河流及近岸海域垃圾，严守海洋生态保护红线。实施滨海湿地修复工程，复原湿地生态功能；从严监管船舶污染物排放与渔港环境，合理管控海洋捕捞强度，稳固海洋生态系统平衡。</w:t>
      </w:r>
    </w:p>
    <w:p w14:paraId="5824EBD3">
      <w:pPr>
        <w:ind w:firstLine="640"/>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深化陆海统筹总氮管控。</w:t>
      </w:r>
      <w:r>
        <w:rPr>
          <w:rFonts w:hint="eastAsia" w:ascii="Times New Roman" w:hAnsi="Times New Roman" w:cs="Times New Roman"/>
          <w:color w:val="000000" w:themeColor="text1"/>
          <w14:textFill>
            <w14:solidFill>
              <w14:schemeClr w14:val="tx1"/>
            </w14:solidFill>
          </w14:textFill>
        </w:rPr>
        <w:t>研判入海河流总氮污染特征，强化重点河段、城镇污水厂及涉氮排污企业执法监管，严格落实入海河流总氮管控方案。构建陆海一体化污染治理模式，建立全链条监管体系。</w:t>
      </w:r>
    </w:p>
    <w:p w14:paraId="7F5AF332">
      <w:pPr>
        <w:ind w:firstLine="640"/>
        <w:rPr>
          <w:rFonts w:ascii="仿宋_GB2312" w:hAnsi="仿宋" w:cs="Times New Roman"/>
          <w:szCs w:val="32"/>
        </w:rPr>
      </w:pPr>
      <w:r>
        <w:rPr>
          <w:rFonts w:ascii="Times New Roman" w:hAnsi="Times New Roman" w:cs="Times New Roman"/>
          <w:color w:val="000000" w:themeColor="text1"/>
          <w14:textFill>
            <w14:solidFill>
              <w14:schemeClr w14:val="tx1"/>
            </w14:solidFill>
          </w14:textFill>
        </w:rPr>
        <w:t>持续推进入海排污口整治</w:t>
      </w:r>
      <w:r>
        <w:rPr>
          <w:rFonts w:hint="eastAsia" w:ascii="Times New Roman" w:hAnsi="Times New Roman" w:cs="Times New Roman"/>
          <w:color w:val="000000" w:themeColor="text1"/>
          <w14:textFill>
            <w14:solidFill>
              <w14:schemeClr w14:val="tx1"/>
            </w14:solidFill>
          </w14:textFill>
        </w:rPr>
        <w:t>。</w:t>
      </w:r>
      <w:r>
        <w:rPr>
          <w:rFonts w:hint="eastAsia" w:ascii="仿宋_GB2312" w:hAnsi="仿宋" w:cs="Times New Roman"/>
          <w:szCs w:val="32"/>
        </w:rPr>
        <w:t>坚持应查尽查，常态化开展入海排污口溯源排查，动态更新排污口信息化管理台账。聚焦重点海湾、重点海域的关键排污口开展专项整治，健全权责明确、监控完备、管理规范的入海排污口常态化管控机制。</w:t>
      </w:r>
    </w:p>
    <w:p w14:paraId="135EA2C2">
      <w:pPr>
        <w:pStyle w:val="31"/>
        <w:spacing w:line="560" w:lineRule="exact"/>
        <w:ind w:firstLine="640"/>
        <w:rPr>
          <w:rFonts w:ascii="仿宋_GB2312" w:hAnsi="仿宋" w:cs="Times New Roman"/>
          <w:sz w:val="32"/>
          <w:szCs w:val="32"/>
        </w:rPr>
      </w:pPr>
      <w:r>
        <w:rPr>
          <w:rFonts w:hint="eastAsia" w:ascii="仿宋_GB2312" w:hAnsi="仿宋" w:cs="Times New Roman"/>
          <w:sz w:val="32"/>
          <w:szCs w:val="32"/>
        </w:rPr>
        <w:t>加强海水养殖污染防治。严把海水养殖环境准入关口，严控养殖尾水达标排放，规范养殖管理。优化近海养殖空间布局，清理整治违规养殖，推广深远海生态养殖模式，推动海水养殖与新能源产业融合发展，打造近海绿色养殖示范样板。</w:t>
      </w:r>
    </w:p>
    <w:p w14:paraId="3E6F0B7C">
      <w:pPr>
        <w:pStyle w:val="31"/>
        <w:spacing w:line="560" w:lineRule="exact"/>
        <w:ind w:firstLine="640"/>
        <w:rPr>
          <w:rFonts w:ascii="仿宋_GB2312" w:hAnsi="仿宋" w:cs="Times New Roman"/>
          <w:sz w:val="32"/>
          <w:szCs w:val="32"/>
        </w:rPr>
      </w:pPr>
      <w:r>
        <w:rPr>
          <w:rFonts w:hint="eastAsia" w:ascii="仿宋_GB2312" w:hAnsi="仿宋" w:cs="Times New Roman"/>
          <w:sz w:val="32"/>
          <w:szCs w:val="32"/>
        </w:rPr>
        <w:t>加强海洋风险防范和应急能力建设。</w:t>
      </w:r>
      <w:bookmarkEnd w:id="10"/>
      <w:r>
        <w:rPr>
          <w:rFonts w:hint="eastAsia" w:ascii="仿宋_GB2312" w:hAnsi="仿宋" w:cs="Times New Roman"/>
          <w:sz w:val="32"/>
          <w:szCs w:val="32"/>
        </w:rPr>
        <w:t>升级重点敏感海域、高风险海域智能监控体系，提升海上溢油早期预警、风险预判与应急处置能力。强化浒苔常态化应急打捞处置，探索浒苔无害化治理与资源化利用路径。排查评估大型港口等重点区域环境风险，提升工业园区及涉海企业环境风险防范能力。</w:t>
      </w:r>
    </w:p>
    <w:p w14:paraId="4E294132">
      <w:pPr>
        <w:pStyle w:val="5"/>
        <w:spacing w:beforeLines="0" w:afterLines="0"/>
        <w:ind w:firstLine="640"/>
        <w:rPr>
          <w:rFonts w:ascii="Times New Roman" w:hAnsi="Times New Roman" w:cs="Times New Roman"/>
        </w:rPr>
      </w:pPr>
      <w:bookmarkStart w:id="11" w:name="_Toc28100"/>
      <w:r>
        <w:rPr>
          <w:rFonts w:ascii="Times New Roman" w:hAnsi="Times New Roman" w:cs="Times New Roman"/>
        </w:rPr>
        <w:t>（</w:t>
      </w:r>
      <w:r>
        <w:rPr>
          <w:rFonts w:hint="eastAsia" w:ascii="Times New Roman" w:hAnsi="Times New Roman" w:cs="Times New Roman"/>
        </w:rPr>
        <w:t>六</w:t>
      </w:r>
      <w:r>
        <w:rPr>
          <w:rFonts w:ascii="Times New Roman" w:hAnsi="Times New Roman" w:cs="Times New Roman"/>
        </w:rPr>
        <w:t>）</w:t>
      </w:r>
      <w:r>
        <w:rPr>
          <w:rFonts w:hint="eastAsia" w:ascii="Times New Roman" w:hAnsi="Times New Roman" w:cs="Times New Roman"/>
        </w:rPr>
        <w:t>持续加强生态环境风险防控，守牢生态环境安全底线</w:t>
      </w:r>
      <w:bookmarkEnd w:id="11"/>
    </w:p>
    <w:p w14:paraId="716DE612">
      <w:pPr>
        <w:snapToGrid w:val="0"/>
        <w:ind w:firstLine="640" w:firstLineChars="0"/>
        <w:rPr>
          <w:rFonts w:ascii="Times New Roman" w:hAnsi="Times New Roman" w:cs="Times New Roman"/>
          <w:color w:val="000000" w:themeColor="text1"/>
          <w:szCs w:val="32"/>
          <w14:textFill>
            <w14:solidFill>
              <w14:schemeClr w14:val="tx1"/>
            </w14:solidFill>
          </w14:textFill>
        </w:rPr>
      </w:pPr>
      <w:bookmarkStart w:id="12" w:name="OLE_LINK14"/>
      <w:r>
        <w:rPr>
          <w:rFonts w:hint="eastAsia" w:ascii="Times New Roman" w:hAnsi="Times New Roman" w:cs="Times New Roman"/>
        </w:rPr>
        <w:t>严密防控环境风险。</w:t>
      </w:r>
      <w:r>
        <w:rPr>
          <w:rFonts w:hint="eastAsia" w:ascii="Times New Roman" w:hAnsi="Times New Roman" w:cs="Times New Roman"/>
          <w:color w:val="000000" w:themeColor="text1"/>
          <w:szCs w:val="32"/>
          <w14:textFill>
            <w14:solidFill>
              <w14:schemeClr w14:val="tx1"/>
            </w14:solidFill>
          </w14:textFill>
        </w:rPr>
        <w:t>规范突发环境事件应急预案审核与备案管理，常态化抽查较大及以上环境风险企业预案落实情况，指导企业优化应急处置方案。督促企业常态化开展环境风险隐患排查，补齐应急管理与源头防控短板，推动化工园区、流域“一园一策一图”“一河一策一图”联动衔接。稳步推进新污染物风险管控，落实新化学物质环境登记管理制度，有序开展新污染物摸底统计、风险评估与分类管控。健全固废全链条监管体系，推广工业固废点对点定向利用，保障危险废物全过程安全合规处置。</w:t>
      </w:r>
    </w:p>
    <w:p w14:paraId="32924783">
      <w:pPr>
        <w:ind w:firstLine="640" w:firstLineChars="0"/>
        <w:rPr>
          <w:rFonts w:ascii="Times New Roman" w:hAnsi="Times New Roman" w:cs="Times New Roman"/>
        </w:rPr>
      </w:pPr>
      <w:r>
        <w:rPr>
          <w:rFonts w:hint="eastAsia" w:ascii="Times New Roman" w:hAnsi="Times New Roman" w:cs="Times New Roman"/>
        </w:rPr>
        <w:t>强化生态安全风险防范。统筹解决外来入侵物种和有害生物防控。完善生物安全防控协调机制和管理制度体系，加强外来物种引入、生物技术产品环境释放的审批管理与风险评价，健全口岸生物安全防范体系。定期开展外来入侵物种调查，重点推进农田、森林、湿地、近岸海域等区域的监测预警、控制清除及生态修复，提升防治精准规范水平。</w:t>
      </w:r>
    </w:p>
    <w:p w14:paraId="4306D3CB">
      <w:pPr>
        <w:pStyle w:val="2"/>
        <w:ind w:firstLine="640"/>
        <w:rPr>
          <w:rFonts w:ascii="Times New Roman" w:hAnsi="Times New Roman" w:cs="Times New Roman"/>
        </w:rPr>
      </w:pPr>
      <w:r>
        <w:rPr>
          <w:rFonts w:hint="eastAsia" w:ascii="Times New Roman" w:hAnsi="Times New Roman" w:cs="Times New Roman"/>
        </w:rPr>
        <w:t>完善适应气候变化工作体系。提升应对气候变化特别是极端天气能力，健全防洪减灾、海岸带防灾减灾工程体系，</w:t>
      </w:r>
      <w:r>
        <w:rPr>
          <w:rFonts w:hint="eastAsia" w:ascii="Times New Roman" w:hAnsi="Times New Roman" w:cs="Times New Roman"/>
          <w:szCs w:val="40"/>
        </w:rPr>
        <w:t>构建</w:t>
      </w:r>
      <w:r>
        <w:rPr>
          <w:rFonts w:hint="eastAsia" w:ascii="Times New Roman" w:hAnsi="Times New Roman" w:cs="Times New Roman"/>
          <w:szCs w:val="32"/>
        </w:rPr>
        <w:t>跨部门、跨区域联防联控的常态化管理体系，制定完善极端天气气候事件应急预案，完善应急处置和救灾响应机制。</w:t>
      </w:r>
    </w:p>
    <w:p w14:paraId="3E6E37B6">
      <w:pPr>
        <w:ind w:firstLine="640"/>
        <w:rPr>
          <w:rFonts w:ascii="Times New Roman" w:hAnsi="Times New Roman" w:cs="Times New Roman"/>
        </w:rPr>
      </w:pPr>
      <w:r>
        <w:rPr>
          <w:rFonts w:hint="eastAsia" w:ascii="Times New Roman" w:hAnsi="Times New Roman" w:cs="Times New Roman"/>
        </w:rPr>
        <w:t>确保核与辐射安全。</w:t>
      </w:r>
      <w:r>
        <w:rPr>
          <w:rFonts w:ascii="Times New Roman" w:hAnsi="Times New Roman" w:cs="Times New Roman"/>
        </w:rPr>
        <w:t>建立健全核与辐射安全监管、安全许可、环境监测、应急响应等制度体系，提升核与辐射安全监管水平。</w:t>
      </w:r>
      <w:r>
        <w:rPr>
          <w:rFonts w:hint="eastAsia" w:ascii="Times New Roman" w:hAnsi="Times New Roman" w:cs="Times New Roman"/>
          <w:szCs w:val="32"/>
        </w:rPr>
        <w:t>严格落实核与辐射安全监管、安全许可、环境监测、应急响应等管理要求，保障核技术利用安全，形成多部门协同联动工作机制。制定各级辐射应急预案，完善应急预案体系。</w:t>
      </w:r>
      <w:r>
        <w:rPr>
          <w:rFonts w:hint="eastAsia" w:ascii="Times New Roman" w:hAnsi="Times New Roman" w:cs="Times New Roman"/>
          <w:szCs w:val="40"/>
        </w:rPr>
        <w:t>持续开展辐射安全隐患排查和核技术利用企业的专项检查。</w:t>
      </w:r>
      <w:bookmarkEnd w:id="12"/>
    </w:p>
    <w:p w14:paraId="29D83AC4">
      <w:pPr>
        <w:pStyle w:val="5"/>
        <w:spacing w:beforeLines="0" w:afterLines="0"/>
        <w:ind w:firstLine="64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七</w:t>
      </w:r>
      <w:r>
        <w:rPr>
          <w:rFonts w:ascii="Times New Roman" w:hAnsi="Times New Roman" w:cs="Times New Roman"/>
        </w:rPr>
        <w:t>）</w:t>
      </w:r>
      <w:bookmarkStart w:id="13" w:name="OLE_LINK15"/>
      <w:r>
        <w:rPr>
          <w:rFonts w:hint="eastAsia" w:ascii="Times New Roman" w:hAnsi="Times New Roman" w:cs="Times New Roman"/>
        </w:rPr>
        <w:t>加大生态保护和修复力度</w:t>
      </w:r>
      <w:bookmarkEnd w:id="13"/>
      <w:r>
        <w:rPr>
          <w:rFonts w:hint="eastAsia" w:ascii="Times New Roman" w:hAnsi="Times New Roman" w:cs="Times New Roman"/>
        </w:rPr>
        <w:t>，夯实区域生态本底基底</w:t>
      </w:r>
    </w:p>
    <w:p w14:paraId="7B7DCC70">
      <w:pPr>
        <w:ind w:firstLine="640"/>
        <w:rPr>
          <w:rFonts w:ascii="Times New Roman" w:hAnsi="Times New Roman" w:cs="Times New Roman"/>
        </w:rPr>
      </w:pPr>
      <w:bookmarkStart w:id="14" w:name="OLE_LINK16"/>
      <w:r>
        <w:rPr>
          <w:rFonts w:hint="eastAsia" w:ascii="仿宋_GB2312" w:hAnsi="仿宋_GB2312" w:cs="仿宋_GB2312"/>
          <w:snapToGrid w:val="0"/>
          <w:kern w:val="0"/>
          <w:szCs w:val="32"/>
        </w:rPr>
        <w:t>筑牢西海岸自然生态屏障</w:t>
      </w:r>
      <w:bookmarkEnd w:id="14"/>
      <w:r>
        <w:rPr>
          <w:rFonts w:hint="eastAsia" w:ascii="仿宋_GB2312" w:hAnsi="仿宋_GB2312" w:cs="仿宋_GB2312"/>
          <w:snapToGrid w:val="0"/>
          <w:kern w:val="0"/>
          <w:szCs w:val="32"/>
        </w:rPr>
        <w:t>。</w:t>
      </w:r>
      <w:r>
        <w:rPr>
          <w:rFonts w:hint="eastAsia" w:ascii="Times New Roman" w:hAnsi="Times New Roman" w:cs="Times New Roman"/>
        </w:rPr>
        <w:t>推进自然保护地整合优化与规划管控，落实</w:t>
      </w:r>
      <w:r>
        <w:rPr>
          <w:rFonts w:ascii="Times New Roman" w:hAnsi="Times New Roman" w:cs="Times New Roman"/>
        </w:rPr>
        <w:t>《青岛市国土空间总体规划（2021—2035年）》，构建新区</w:t>
      </w:r>
      <w:r>
        <w:rPr>
          <w:rFonts w:hint="eastAsia" w:ascii="Times New Roman" w:hAnsi="Times New Roman" w:cs="Times New Roman"/>
        </w:rPr>
        <w:t>“</w:t>
      </w:r>
      <w:r>
        <w:rPr>
          <w:rFonts w:ascii="Times New Roman" w:hAnsi="Times New Roman" w:cs="Times New Roman"/>
        </w:rPr>
        <w:t>一带、两区、七廊道</w:t>
      </w:r>
      <w:r>
        <w:rPr>
          <w:rFonts w:hint="eastAsia" w:ascii="Times New Roman" w:hAnsi="Times New Roman" w:cs="Times New Roman"/>
        </w:rPr>
        <w:t>”</w:t>
      </w:r>
      <w:r>
        <w:rPr>
          <w:rFonts w:ascii="Times New Roman" w:hAnsi="Times New Roman" w:cs="Times New Roman"/>
        </w:rPr>
        <w:t>的</w:t>
      </w:r>
      <w:r>
        <w:rPr>
          <w:rFonts w:hint="eastAsia" w:ascii="Times New Roman" w:hAnsi="Times New Roman" w:cs="Times New Roman"/>
        </w:rPr>
        <w:t>生态</w:t>
      </w:r>
      <w:r>
        <w:rPr>
          <w:rFonts w:ascii="Times New Roman" w:hAnsi="Times New Roman" w:cs="Times New Roman"/>
        </w:rPr>
        <w:t>空间格局。</w:t>
      </w:r>
      <w:r>
        <w:rPr>
          <w:rFonts w:hint="eastAsia" w:ascii="Times New Roman" w:hAnsi="Times New Roman" w:cs="Times New Roman"/>
        </w:rPr>
        <w:t>严守生态保护红线，深入推进生态环境分区管控，加强同国土空间规划衔接。</w:t>
      </w:r>
    </w:p>
    <w:p w14:paraId="37AC5331">
      <w:pPr>
        <w:ind w:firstLine="640"/>
        <w:rPr>
          <w:rFonts w:ascii="Times New Roman" w:hAnsi="Times New Roman" w:cs="Times New Roman"/>
        </w:rPr>
      </w:pPr>
      <w:r>
        <w:rPr>
          <w:rFonts w:hint="eastAsia" w:ascii="Times New Roman" w:hAnsi="Times New Roman" w:cs="Times New Roman"/>
        </w:rPr>
        <w:t>强化生态空间保护监管。</w:t>
      </w:r>
      <w:r>
        <w:rPr>
          <w:rFonts w:ascii="Times New Roman" w:hAnsi="Times New Roman" w:cs="Times New Roman"/>
        </w:rPr>
        <w:t>持续开展重点区域生态状况调查评估，组织开展自然保护地和生态保护红线人为活动遥感监测等生态保护修复工程监督评估。</w:t>
      </w:r>
      <w:bookmarkStart w:id="15" w:name="OLE_LINK252"/>
      <w:r>
        <w:rPr>
          <w:rFonts w:hint="eastAsia" w:ascii="仿宋_GB2312" w:hAnsi="仿宋_GB2312" w:cs="仿宋_GB2312"/>
          <w:snapToGrid w:val="0"/>
          <w:kern w:val="0"/>
          <w:szCs w:val="32"/>
        </w:rPr>
        <w:t>按规定逐步推进非重点区域自然资源统一确权登记工作</w:t>
      </w:r>
      <w:bookmarkEnd w:id="15"/>
      <w:r>
        <w:rPr>
          <w:rFonts w:hint="eastAsia" w:ascii="仿宋_GB2312" w:hAnsi="仿宋_GB2312" w:cs="仿宋_GB2312"/>
          <w:snapToGrid w:val="0"/>
          <w:kern w:val="0"/>
          <w:szCs w:val="32"/>
        </w:rPr>
        <w:t>。建立重要生态空间生态破坏问题协同监管工作机制，及时发现并依法依规处理处置生态破坏问题，对于</w:t>
      </w:r>
      <w:r>
        <w:rPr>
          <w:rFonts w:ascii="Times New Roman" w:hAnsi="Times New Roman" w:cs="Times New Roman"/>
        </w:rPr>
        <w:t>历史遗留问题，</w:t>
      </w:r>
      <w:r>
        <w:rPr>
          <w:rFonts w:hint="eastAsia" w:ascii="Times New Roman" w:hAnsi="Times New Roman" w:cs="Times New Roman"/>
        </w:rPr>
        <w:t>结合实际逐步整改。</w:t>
      </w:r>
    </w:p>
    <w:p w14:paraId="09A46EB4">
      <w:pPr>
        <w:ind w:firstLine="640"/>
        <w:rPr>
          <w:rFonts w:ascii="Times New Roman" w:hAnsi="Times New Roman" w:cs="Times New Roman"/>
          <w:kern w:val="0"/>
          <w:szCs w:val="32"/>
        </w:rPr>
      </w:pPr>
      <w:r>
        <w:rPr>
          <w:rFonts w:ascii="Times New Roman" w:hAnsi="Times New Roman" w:cs="Times New Roman"/>
        </w:rPr>
        <w:t>坚持</w:t>
      </w:r>
      <w:r>
        <w:rPr>
          <w:rFonts w:hint="eastAsia" w:ascii="Times New Roman" w:hAnsi="Times New Roman" w:cs="Times New Roman"/>
        </w:rPr>
        <w:t>山水林田海岛湾</w:t>
      </w:r>
      <w:r>
        <w:rPr>
          <w:rFonts w:ascii="Times New Roman" w:hAnsi="Times New Roman" w:cs="Times New Roman"/>
        </w:rPr>
        <w:t>一体化保护</w:t>
      </w:r>
      <w:r>
        <w:rPr>
          <w:rFonts w:hint="eastAsia" w:ascii="Times New Roman" w:hAnsi="Times New Roman" w:cs="Times New Roman"/>
        </w:rPr>
        <w:t>修复。</w:t>
      </w:r>
      <w:r>
        <w:rPr>
          <w:rFonts w:hint="eastAsia" w:ascii="Times New Roman" w:hAnsi="Times New Roman" w:cs="Times New Roman"/>
          <w:kern w:val="0"/>
          <w:szCs w:val="32"/>
        </w:rPr>
        <w:t>实施重点生态林区、山体生态修复工程，推进重点流域生态保护与绿化提升，严禁非法侵占湿地滩涂，强化海岛生态系统保护修复，推进水土流失综合治理与水源涵养能力建设，全面提升生态系统稳定性和服务功能。</w:t>
      </w:r>
    </w:p>
    <w:p w14:paraId="0A9C5185">
      <w:pPr>
        <w:ind w:firstLine="640"/>
        <w:rPr>
          <w:rFonts w:ascii="Times New Roman" w:hAnsi="Times New Roman" w:cs="Times New Roman"/>
        </w:rPr>
      </w:pPr>
      <w:r>
        <w:rPr>
          <w:rFonts w:ascii="Times New Roman" w:hAnsi="Times New Roman" w:cs="Times New Roman"/>
        </w:rPr>
        <w:t>加强生物多样性保护</w:t>
      </w:r>
      <w:r>
        <w:rPr>
          <w:rFonts w:hint="eastAsia" w:ascii="Times New Roman" w:hAnsi="Times New Roman" w:cs="Times New Roman"/>
        </w:rPr>
        <w:t>。</w:t>
      </w:r>
      <w:r>
        <w:rPr>
          <w:rFonts w:ascii="Times New Roman" w:hAnsi="Times New Roman" w:cs="Times New Roman"/>
        </w:rPr>
        <w:t>贯彻</w:t>
      </w:r>
      <w:r>
        <w:rPr>
          <w:rFonts w:hint="eastAsia" w:ascii="Times New Roman" w:hAnsi="Times New Roman" w:cs="Times New Roman"/>
        </w:rPr>
        <w:t>落</w:t>
      </w:r>
      <w:r>
        <w:rPr>
          <w:rFonts w:ascii="Times New Roman" w:hAnsi="Times New Roman" w:cs="Times New Roman"/>
        </w:rPr>
        <w:t>实《青岛市生物多样性保护战略与行动计划</w:t>
      </w:r>
      <w:r>
        <w:rPr>
          <w:rFonts w:hint="eastAsia" w:ascii="Times New Roman" w:hAnsi="Times New Roman" w:cs="Times New Roman"/>
        </w:rPr>
        <w:t>（</w:t>
      </w:r>
      <w:r>
        <w:rPr>
          <w:rFonts w:ascii="Times New Roman" w:hAnsi="Times New Roman" w:cs="Times New Roman"/>
        </w:rPr>
        <w:t>2023-2030年</w:t>
      </w:r>
      <w:r>
        <w:rPr>
          <w:rFonts w:hint="eastAsia" w:ascii="Times New Roman" w:hAnsi="Times New Roman" w:cs="Times New Roman"/>
        </w:rPr>
        <w:t>）</w:t>
      </w:r>
      <w:r>
        <w:rPr>
          <w:rFonts w:ascii="Times New Roman" w:hAnsi="Times New Roman" w:cs="Times New Roman"/>
        </w:rPr>
        <w:t>》，建立生物多样性保护协调机制，分解确定各部门年度重点工作</w:t>
      </w:r>
      <w:r>
        <w:rPr>
          <w:rFonts w:hint="eastAsia" w:ascii="Times New Roman" w:hAnsi="Times New Roman" w:cs="Times New Roman"/>
        </w:rPr>
        <w:t>。</w:t>
      </w:r>
      <w:r>
        <w:rPr>
          <w:rFonts w:hint="eastAsia" w:ascii="仿宋_GB2312" w:hAnsi="仿宋" w:cs="Times New Roman"/>
          <w:szCs w:val="32"/>
        </w:rPr>
        <w:t>加强海洋生物多样性保护，建设近海人工鱼礁，合理开发近海养殖，加强湿地、海草床、牡蛎礁等典型生态系统的生物多样性监测与保护。加强生物多样性保护知识宣传。</w:t>
      </w:r>
    </w:p>
    <w:p w14:paraId="1834C962">
      <w:pPr>
        <w:pStyle w:val="5"/>
        <w:spacing w:beforeLines="0" w:afterLines="0"/>
        <w:ind w:firstLine="64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八</w:t>
      </w:r>
      <w:r>
        <w:rPr>
          <w:rFonts w:ascii="Times New Roman" w:hAnsi="Times New Roman" w:cs="Times New Roman"/>
        </w:rPr>
        <w:t>）</w:t>
      </w:r>
      <w:r>
        <w:rPr>
          <w:rFonts w:hint="eastAsia" w:ascii="Times New Roman" w:hAnsi="Times New Roman" w:cs="Times New Roman"/>
        </w:rPr>
        <w:t>深化生态环境治理体系和治理能力建设</w:t>
      </w:r>
    </w:p>
    <w:p w14:paraId="10D0F7CF">
      <w:pPr>
        <w:ind w:firstLine="640"/>
        <w:rPr>
          <w:rFonts w:ascii="Times New Roman" w:hAnsi="Times New Roman" w:cs="Times New Roman"/>
        </w:rPr>
      </w:pPr>
      <w:bookmarkStart w:id="16" w:name="OLE_LINK17"/>
      <w:r>
        <w:rPr>
          <w:rFonts w:ascii="Times New Roman" w:hAnsi="Times New Roman" w:cs="Times New Roman"/>
        </w:rPr>
        <w:t>完善生态环境保护领导责任体系</w:t>
      </w:r>
      <w:bookmarkEnd w:id="16"/>
      <w:r>
        <w:rPr>
          <w:rFonts w:hint="eastAsia" w:ascii="Times New Roman" w:hAnsi="Times New Roman" w:cs="Times New Roman"/>
        </w:rPr>
        <w:t>。严格落实党政同责、一岗双责，充分发挥生态环境委员会统筹协调作用，推进环委会实体化运行。健全领导干部自然资源资产离任审计、生态环保督察整改长效机制，压实各级各部门生态环境保护管理与行业监管责任。</w:t>
      </w:r>
    </w:p>
    <w:p w14:paraId="4D6BFDB2">
      <w:pPr>
        <w:ind w:firstLine="640"/>
        <w:rPr>
          <w:rFonts w:ascii="Times New Roman" w:hAnsi="Times New Roman" w:cs="Times New Roman"/>
        </w:rPr>
      </w:pPr>
      <w:r>
        <w:rPr>
          <w:rFonts w:ascii="Times New Roman" w:hAnsi="Times New Roman" w:cs="Times New Roman"/>
        </w:rPr>
        <w:t>强化企业绿色发展责任</w:t>
      </w:r>
      <w:r>
        <w:rPr>
          <w:rFonts w:hint="eastAsia" w:ascii="Times New Roman" w:hAnsi="Times New Roman" w:cs="Times New Roman"/>
        </w:rPr>
        <w:t>。构建以排污许可制为核心的固定污染源监管体系，完善企业环境信息公开、环境信用评价及奖惩联动机制，强化行业自律，引导企业践行绿色生产方式，规范绿色经营行为。</w:t>
      </w:r>
    </w:p>
    <w:p w14:paraId="147F430B">
      <w:pPr>
        <w:ind w:firstLine="640"/>
        <w:rPr>
          <w:rFonts w:ascii="Times New Roman" w:hAnsi="Times New Roman" w:cs="Times New Roman"/>
        </w:rPr>
      </w:pPr>
      <w:r>
        <w:rPr>
          <w:rFonts w:hint="eastAsia" w:ascii="Times New Roman" w:hAnsi="Times New Roman" w:cs="Times New Roman"/>
        </w:rPr>
        <w:t>开展美丽建设</w:t>
      </w:r>
      <w:r>
        <w:rPr>
          <w:rFonts w:ascii="Times New Roman" w:hAnsi="Times New Roman" w:cs="Times New Roman"/>
        </w:rPr>
        <w:t>全民行动</w:t>
      </w:r>
      <w:r>
        <w:rPr>
          <w:rFonts w:hint="eastAsia" w:ascii="Times New Roman" w:hAnsi="Times New Roman" w:cs="Times New Roman"/>
        </w:rPr>
        <w:t>。推动生态环境数据公开共享，拓宽公众监督渠道。完善绿色消费激励机制，普及绿色低碳生活方式。引导群团组织、社会力量参与生态环境治理，常态化推进环保设施公众开放，构建全民共治格局。</w:t>
      </w:r>
    </w:p>
    <w:p w14:paraId="3990AA38">
      <w:pPr>
        <w:ind w:firstLine="640"/>
        <w:rPr>
          <w:rFonts w:ascii="Times New Roman" w:hAnsi="Times New Roman" w:cs="Times New Roman"/>
        </w:rPr>
      </w:pPr>
      <w:r>
        <w:rPr>
          <w:rFonts w:hint="eastAsia" w:ascii="Times New Roman" w:hAnsi="Times New Roman" w:cs="Times New Roman"/>
        </w:rPr>
        <w:t>强化生态环境监管执法效能。构建全方位、立体化生态环境监管体系，夯实基层执法能力，优化柔性执法方式，科学规范入企检查，推广非现场执法、智慧扫码执法新模式。覆盖事前预防、事中管控、事后追责全监管链条，完善空天地海一体化生态环境监测网络，强化污染源自动监控与监测机构监管，深化跨部门联合执法，全面提升监管智能化、规范化水平。</w:t>
      </w:r>
    </w:p>
    <w:p w14:paraId="797B7334">
      <w:pPr>
        <w:ind w:firstLine="640"/>
        <w:rPr>
          <w:rFonts w:ascii="Times New Roman" w:hAnsi="Times New Roman" w:cs="Times New Roman"/>
        </w:rPr>
      </w:pPr>
      <w:r>
        <w:rPr>
          <w:rFonts w:ascii="Times New Roman" w:hAnsi="Times New Roman" w:cs="Times New Roman"/>
        </w:rPr>
        <w:t>健全生态环境治理信用体系。</w:t>
      </w:r>
      <w:r>
        <w:rPr>
          <w:rFonts w:hint="eastAsia" w:ascii="Times New Roman" w:hAnsi="Times New Roman" w:cs="Times New Roman"/>
        </w:rPr>
        <w:t>强化环保政务诚信建设，完善政务失信信息归集共享机制。搭建全域统一企业环境信用体系，推动环境信用与行政审批、政策扶持、金融信贷等联动挂钩，营造企业守法诚信、自觉治污的良好环境。</w:t>
      </w:r>
    </w:p>
    <w:p w14:paraId="133F6319">
      <w:pPr>
        <w:ind w:firstLine="640"/>
        <w:rPr>
          <w:rFonts w:ascii="Times New Roman" w:hAnsi="Times New Roman" w:cs="Times New Roman"/>
        </w:rPr>
      </w:pPr>
      <w:r>
        <w:rPr>
          <w:rFonts w:hint="eastAsia" w:ascii="Times New Roman" w:hAnsi="Times New Roman" w:cs="Times New Roman"/>
        </w:rPr>
        <w:t>健全生态产品价值实现机制。推广生态产品价值实现机制试点经验，探索生态产品价值实现的多元路径，提高优质生态产品供给能力。拓宽“绿水青山就是金山银山”转化通道，打造特色鲜明的生态产品区域公用品牌。</w:t>
      </w:r>
    </w:p>
    <w:p w14:paraId="1B5C94CC">
      <w:pPr>
        <w:ind w:firstLine="640"/>
        <w:rPr>
          <w:rFonts w:ascii="Times New Roman" w:hAnsi="Times New Roman" w:cs="Times New Roman"/>
        </w:rPr>
      </w:pPr>
      <w:r>
        <w:rPr>
          <w:rFonts w:hint="eastAsia" w:ascii="Times New Roman" w:hAnsi="Times New Roman" w:cs="Times New Roman"/>
        </w:rPr>
        <w:t>完善生态补偿和损害赔偿制度。健全多领域横向、纵向生态保护补偿制度。打通生态环境损害民事、刑事、公益诉讼衔接通道，建立多部门生态修复联动机制。打造生态环境损害赔偿示范点位与示范基地，推动损害赔偿工作常态化、制度化、规范化。</w:t>
      </w:r>
    </w:p>
    <w:p w14:paraId="0DD7C393">
      <w:pPr>
        <w:ind w:firstLine="640"/>
        <w:rPr>
          <w:rFonts w:ascii="Times New Roman" w:hAnsi="Times New Roman" w:cs="Times New Roman"/>
        </w:rPr>
      </w:pPr>
      <w:r>
        <w:rPr>
          <w:rFonts w:hint="eastAsia" w:ascii="Times New Roman" w:hAnsi="Times New Roman" w:cs="Times New Roman"/>
        </w:rPr>
        <w:t>深化绿色金融改革创新。创新绿色低碳项目融资模式，加码生态环保与低碳转型金融扶持力度。放大气候投融资试点成效，搭建专属绿色金融服务平台，完善绿色项目甄别机制，深耕绿色信贷、绿色保险、环境权益融资等金融产品创新，完善多元碳普惠体系，赋能区域低碳绿色发展。</w:t>
      </w:r>
    </w:p>
    <w:p w14:paraId="6600B914">
      <w:pPr>
        <w:ind w:firstLine="640" w:firstLineChars="0"/>
        <w:rPr>
          <w:rFonts w:ascii="Times New Roman" w:hAnsi="Times New Roman" w:cs="Times New Roman"/>
        </w:rPr>
      </w:pPr>
      <w:r>
        <w:rPr>
          <w:rFonts w:hint="eastAsia" w:ascii="Times New Roman" w:hAnsi="Times New Roman" w:cs="Times New Roman"/>
        </w:rPr>
        <w:t>加强生态环境科技支撑。深化产学研协同创新，加快环保低碳技术研发与成果落地转化，搭建绿色低碳产业创新平台。聚焦生态环境重难点核心技术开展攻关，培育专业复合型环保人才队伍，以科技创新赋能生态环保产业高质量发展。</w:t>
      </w:r>
    </w:p>
    <w:p w14:paraId="58638135">
      <w:pPr>
        <w:pStyle w:val="4"/>
        <w:ind w:firstLine="643"/>
        <w:rPr>
          <w:rFonts w:ascii="Times New Roman" w:hAnsi="Times New Roman" w:cs="Times New Roman"/>
        </w:rPr>
      </w:pPr>
      <w:bookmarkStart w:id="17" w:name="OLE_LINK1"/>
      <w:r>
        <w:rPr>
          <w:rFonts w:hint="eastAsia" w:ascii="Times New Roman" w:hAnsi="Times New Roman" w:cs="Times New Roman"/>
        </w:rPr>
        <w:t>三、</w:t>
      </w:r>
      <w:r>
        <w:rPr>
          <w:rFonts w:ascii="Times New Roman" w:hAnsi="Times New Roman" w:cs="Times New Roman"/>
        </w:rPr>
        <w:t>保障措施</w:t>
      </w:r>
    </w:p>
    <w:bookmarkEnd w:id="17"/>
    <w:p w14:paraId="2C56F378">
      <w:pPr>
        <w:ind w:firstLine="640"/>
        <w:rPr>
          <w:rFonts w:ascii="Times New Roman" w:hAnsi="Times New Roman" w:cs="Times New Roman"/>
        </w:rPr>
      </w:pPr>
      <w:r>
        <w:rPr>
          <w:rFonts w:ascii="Times New Roman" w:hAnsi="Times New Roman" w:cs="Times New Roman"/>
        </w:rPr>
        <w:t>（一）加强组织领导</w:t>
      </w:r>
    </w:p>
    <w:p w14:paraId="0D02F5CA">
      <w:pPr>
        <w:ind w:firstLine="640"/>
        <w:rPr>
          <w:rFonts w:ascii="Times New Roman" w:hAnsi="Times New Roman" w:cs="Times New Roman"/>
        </w:rPr>
      </w:pPr>
      <w:r>
        <w:rPr>
          <w:rFonts w:ascii="Times New Roman" w:hAnsi="Times New Roman" w:cs="Times New Roman"/>
        </w:rPr>
        <w:t>建立健全新区管委统一领导，各部门相互协调上下互动的环境保护推进机制。各级各部</w:t>
      </w:r>
      <w:r>
        <w:rPr>
          <w:rFonts w:hint="eastAsia" w:ascii="Times New Roman" w:hAnsi="Times New Roman" w:cs="Times New Roman"/>
        </w:rPr>
        <w:t>门要</w:t>
      </w:r>
      <w:r>
        <w:rPr>
          <w:rFonts w:ascii="Times New Roman" w:hAnsi="Times New Roman" w:cs="Times New Roman"/>
        </w:rPr>
        <w:t>将生态环境规划任务纳入本部门的重要工作内容</w:t>
      </w:r>
      <w:r>
        <w:rPr>
          <w:rFonts w:hint="eastAsia" w:ascii="Times New Roman" w:hAnsi="Times New Roman" w:cs="Times New Roman"/>
        </w:rPr>
        <w:t>，</w:t>
      </w:r>
      <w:r>
        <w:rPr>
          <w:rFonts w:ascii="Times New Roman" w:hAnsi="Times New Roman" w:cs="Times New Roman"/>
        </w:rPr>
        <w:t>制定规划实施细则和评估，强化质量目标导向，</w:t>
      </w:r>
      <w:r>
        <w:rPr>
          <w:rFonts w:hint="eastAsia" w:ascii="Times New Roman" w:hAnsi="Times New Roman" w:cs="Times New Roman"/>
        </w:rPr>
        <w:t>科学</w:t>
      </w:r>
      <w:r>
        <w:rPr>
          <w:rFonts w:ascii="Times New Roman" w:hAnsi="Times New Roman" w:cs="Times New Roman"/>
        </w:rPr>
        <w:t>完善以生态环境质量改善为核心的目标及</w:t>
      </w:r>
      <w:r>
        <w:rPr>
          <w:rFonts w:hint="eastAsia" w:ascii="Times New Roman" w:hAnsi="Times New Roman" w:cs="Times New Roman"/>
        </w:rPr>
        <w:t>责任</w:t>
      </w:r>
      <w:r>
        <w:rPr>
          <w:rFonts w:ascii="Times New Roman" w:hAnsi="Times New Roman" w:cs="Times New Roman"/>
        </w:rPr>
        <w:t>体系。以污染减排、重点任务</w:t>
      </w:r>
      <w:r>
        <w:rPr>
          <w:rFonts w:hint="eastAsia" w:ascii="Times New Roman" w:hAnsi="Times New Roman" w:cs="Times New Roman"/>
        </w:rPr>
        <w:t>推进</w:t>
      </w:r>
      <w:r>
        <w:rPr>
          <w:rFonts w:ascii="Times New Roman" w:hAnsi="Times New Roman" w:cs="Times New Roman"/>
        </w:rPr>
        <w:t>为辅，建立重大环境事件和污染事故的问责机制和责任追究机制。</w:t>
      </w:r>
    </w:p>
    <w:p w14:paraId="47EAFCD7">
      <w:pPr>
        <w:ind w:firstLine="640"/>
        <w:rPr>
          <w:rFonts w:ascii="Times New Roman" w:hAnsi="Times New Roman" w:cs="Times New Roman"/>
        </w:rPr>
      </w:pPr>
      <w:r>
        <w:rPr>
          <w:rFonts w:ascii="Times New Roman" w:hAnsi="Times New Roman" w:cs="Times New Roman"/>
        </w:rPr>
        <w:t>（二）加大投入保障</w:t>
      </w:r>
    </w:p>
    <w:p w14:paraId="554938D2">
      <w:pPr>
        <w:ind w:firstLine="640"/>
        <w:rPr>
          <w:rFonts w:ascii="Times New Roman" w:hAnsi="Times New Roman" w:cs="Times New Roman"/>
          <w:color w:val="000000" w:themeColor="text1"/>
          <w14:textFill>
            <w14:solidFill>
              <w14:schemeClr w14:val="tx1"/>
            </w14:solidFill>
          </w14:textFill>
        </w:rPr>
      </w:pPr>
      <w:r>
        <w:rPr>
          <w:rFonts w:ascii="Times New Roman" w:hAnsi="Times New Roman" w:cs="Times New Roman"/>
        </w:rPr>
        <w:t>按照财政事权与支出责任相匹配原则，落实新区生态环境保护建设支出责任。把</w:t>
      </w:r>
      <w:r>
        <w:rPr>
          <w:rFonts w:hint="eastAsia" w:ascii="Times New Roman" w:hAnsi="Times New Roman" w:cs="Times New Roman"/>
          <w:color w:val="000000" w:themeColor="text1"/>
          <w14:textFill>
            <w14:solidFill>
              <w14:schemeClr w14:val="tx1"/>
            </w14:solidFill>
          </w14:textFill>
        </w:rPr>
        <w:t>生态环境保护经费</w:t>
      </w:r>
      <w:r>
        <w:rPr>
          <w:rFonts w:ascii="Times New Roman" w:hAnsi="Times New Roman" w:cs="Times New Roman"/>
          <w:color w:val="000000" w:themeColor="text1"/>
          <w14:textFill>
            <w14:solidFill>
              <w14:schemeClr w14:val="tx1"/>
            </w14:solidFill>
          </w14:textFill>
        </w:rPr>
        <w:t>列入</w:t>
      </w:r>
      <w:r>
        <w:rPr>
          <w:rFonts w:hint="eastAsia" w:ascii="Times New Roman" w:hAnsi="Times New Roman" w:cs="Times New Roman"/>
          <w:color w:val="000000" w:themeColor="text1"/>
          <w14:textFill>
            <w14:solidFill>
              <w14:schemeClr w14:val="tx1"/>
            </w14:solidFill>
          </w14:textFill>
        </w:rPr>
        <w:t>各部门</w:t>
      </w:r>
      <w:r>
        <w:rPr>
          <w:rFonts w:ascii="Times New Roman" w:hAnsi="Times New Roman" w:cs="Times New Roman"/>
        </w:rPr>
        <w:t>年度财政预算，根据年度需求保障生态环境重点领域支出。积极争取国家、省、市</w:t>
      </w:r>
      <w:r>
        <w:rPr>
          <w:rFonts w:ascii="Times New Roman" w:hAnsi="Times New Roman" w:cs="Times New Roman"/>
          <w:color w:val="000000" w:themeColor="text1"/>
          <w14:textFill>
            <w14:solidFill>
              <w14:schemeClr w14:val="tx1"/>
            </w14:solidFill>
          </w14:textFill>
        </w:rPr>
        <w:t>生态环境</w:t>
      </w:r>
      <w:r>
        <w:rPr>
          <w:rFonts w:hint="eastAsia" w:ascii="Times New Roman" w:hAnsi="Times New Roman" w:cs="Times New Roman"/>
          <w:color w:val="000000" w:themeColor="text1"/>
          <w14:textFill>
            <w14:solidFill>
              <w14:schemeClr w14:val="tx1"/>
            </w14:solidFill>
          </w14:textFill>
        </w:rPr>
        <w:t>专项</w:t>
      </w:r>
      <w:r>
        <w:rPr>
          <w:rFonts w:ascii="Times New Roman" w:hAnsi="Times New Roman" w:cs="Times New Roman"/>
          <w:color w:val="000000" w:themeColor="text1"/>
          <w14:textFill>
            <w14:solidFill>
              <w14:schemeClr w14:val="tx1"/>
            </w14:solidFill>
          </w14:textFill>
        </w:rPr>
        <w:t>资金支持。</w:t>
      </w:r>
    </w:p>
    <w:p w14:paraId="4AC84A29">
      <w:pPr>
        <w:ind w:firstLine="640"/>
        <w:rPr>
          <w:rFonts w:ascii="Times New Roman" w:hAnsi="Times New Roman" w:cs="Times New Roman"/>
        </w:rPr>
      </w:pPr>
      <w:r>
        <w:rPr>
          <w:rFonts w:ascii="Times New Roman" w:hAnsi="Times New Roman" w:cs="Times New Roman"/>
        </w:rPr>
        <w:t>（三）</w:t>
      </w:r>
      <w:r>
        <w:rPr>
          <w:rFonts w:hint="eastAsia" w:ascii="Times New Roman" w:hAnsi="Times New Roman" w:cs="Times New Roman"/>
        </w:rPr>
        <w:t>加强</w:t>
      </w:r>
      <w:r>
        <w:rPr>
          <w:rFonts w:ascii="Times New Roman" w:hAnsi="Times New Roman" w:cs="Times New Roman"/>
        </w:rPr>
        <w:t>宣传引导</w:t>
      </w:r>
    </w:p>
    <w:p w14:paraId="34004A01">
      <w:pPr>
        <w:ind w:firstLine="640"/>
        <w:rPr>
          <w:rFonts w:ascii="Times New Roman" w:hAnsi="Times New Roman" w:cs="Times New Roman"/>
          <w:color w:val="000000" w:themeColor="text1"/>
          <w14:textFill>
            <w14:solidFill>
              <w14:schemeClr w14:val="tx1"/>
            </w14:solidFill>
          </w14:textFill>
        </w:rPr>
      </w:pPr>
      <w:r>
        <w:rPr>
          <w:rFonts w:ascii="Times New Roman" w:hAnsi="Times New Roman" w:cs="Times New Roman"/>
        </w:rPr>
        <w:t>充分借力各类媒体、各方平台，深入开展规划实施的重大举措、政策、行动和成效宣传。建立全社会深度参与模式，形成人人参与的生态环境保护局面。</w:t>
      </w:r>
      <w:r>
        <w:rPr>
          <w:rFonts w:hint="eastAsia" w:ascii="Times New Roman" w:hAnsi="Times New Roman" w:cs="Times New Roman"/>
          <w:color w:val="000000" w:themeColor="text1"/>
          <w14:textFill>
            <w14:solidFill>
              <w14:schemeClr w14:val="tx1"/>
            </w14:solidFill>
          </w14:textFill>
        </w:rPr>
        <w:t>加强生态文化体系建设，以海洋生态文化建设为核心，充分挖掘特色生态文化符号，开展多种形式的生态文化教育活动，持续扩大美丽新区影响力。</w:t>
      </w:r>
    </w:p>
    <w:p w14:paraId="4A9B28C7">
      <w:pPr>
        <w:ind w:firstLine="640"/>
        <w:rPr>
          <w:rFonts w:ascii="Times New Roman" w:hAnsi="Times New Roman" w:cs="Times New Roman"/>
        </w:rPr>
      </w:pPr>
      <w:r>
        <w:rPr>
          <w:rFonts w:ascii="Times New Roman" w:hAnsi="Times New Roman" w:cs="Times New Roman"/>
        </w:rPr>
        <w:t>（四）完善评估制度</w:t>
      </w:r>
    </w:p>
    <w:p w14:paraId="0E5E9598">
      <w:pPr>
        <w:ind w:firstLine="640"/>
        <w:rPr>
          <w:rFonts w:ascii="Times New Roman" w:hAnsi="Times New Roman" w:cs="Times New Roman"/>
          <w:sz w:val="24"/>
        </w:rPr>
      </w:pPr>
      <w:r>
        <w:rPr>
          <w:rFonts w:ascii="Times New Roman" w:hAnsi="Times New Roman" w:cs="Times New Roman"/>
        </w:rPr>
        <w:t>各级各部门要积极推进任务落实，及时对规划执行情况进行总结。</w:t>
      </w:r>
      <w:r>
        <w:rPr>
          <w:rFonts w:hint="eastAsia" w:ascii="Times New Roman" w:hAnsi="Times New Roman" w:cs="Times New Roman"/>
        </w:rPr>
        <w:t>区环委会</w:t>
      </w:r>
      <w:r>
        <w:rPr>
          <w:rFonts w:ascii="Times New Roman" w:hAnsi="Times New Roman" w:cs="Times New Roman"/>
        </w:rPr>
        <w:t>围绕规划目标、指标、任务进展情况进行调度，全面掌握规划实施情况，及时发现和解决规划执行中的突出问题，对发生重大变化的情况，及时做出调整。</w:t>
      </w:r>
    </w:p>
    <w:sectPr>
      <w:footerReference r:id="rId5" w:type="default"/>
      <w:pgSz w:w="11906" w:h="16838"/>
      <w:pgMar w:top="1587" w:right="1587" w:bottom="1587" w:left="1587" w:header="851" w:footer="992" w:gutter="0"/>
      <w:pgNumType w:fmt="numberInDash"/>
      <w:cols w:space="0" w:num="1"/>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51CF69-45A8-431B-A4C7-36B47F8C40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9763885-303F-4681-AA80-C1C9EBE8B84D}"/>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embedRegular r:id="rId3" w:fontKey="{1AE8E658-63E8-49E8-8FBB-4FC215C6F689}"/>
  </w:font>
  <w:font w:name="方正小标宋_GBK">
    <w:panose1 w:val="03000509000000000000"/>
    <w:charset w:val="86"/>
    <w:family w:val="script"/>
    <w:pitch w:val="default"/>
    <w:sig w:usb0="00000001" w:usb1="080E0000" w:usb2="00000000" w:usb3="00000000" w:csb0="00040000" w:csb1="00000000"/>
    <w:embedRegular r:id="rId4" w:fontKey="{8EB2E09E-A8D4-414D-AC3E-C6BFD0DED710}"/>
  </w:font>
  <w:font w:name="楷体_GB2312">
    <w:panose1 w:val="02010609030101010101"/>
    <w:charset w:val="86"/>
    <w:family w:val="modern"/>
    <w:pitch w:val="default"/>
    <w:sig w:usb0="00000001" w:usb1="080E0000" w:usb2="00000000" w:usb3="00000000" w:csb0="00040000" w:csb1="00000000"/>
    <w:embedRegular r:id="rId5" w:fontKey="{C5E398D8-6727-435B-BCC2-5251885AE3ED}"/>
  </w:font>
  <w:font w:name="仿宋">
    <w:panose1 w:val="02010609060101010101"/>
    <w:charset w:val="86"/>
    <w:family w:val="modern"/>
    <w:pitch w:val="default"/>
    <w:sig w:usb0="800002BF" w:usb1="38CF7CFA" w:usb2="00000016" w:usb3="00000000" w:csb0="00040001" w:csb1="00000000"/>
    <w:embedRegular r:id="rId6" w:fontKey="{28DEBD6B-C711-4CD2-9A96-49B88CA8FD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F7A5E1">
    <w:pPr>
      <w:pStyle w:val="1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F426E3">
                          <w:pPr>
                            <w:pStyle w:val="10"/>
                            <w:ind w:firstLine="56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- 14 -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0F426E3">
                    <w:pPr>
                      <w:pStyle w:val="10"/>
                      <w:ind w:firstLine="560"/>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- 14 -</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DF591B"/>
    <w:multiLevelType w:val="singleLevel"/>
    <w:tmpl w:val="94DF591B"/>
    <w:lvl w:ilvl="0" w:tentative="0">
      <w:start w:val="1"/>
      <w:numFmt w:val="chineseCounting"/>
      <w:suff w:val="nothing"/>
      <w:lvlText w:val="%1、"/>
      <w:lvlJc w:val="left"/>
      <w:rPr>
        <w:rFonts w:hint="eastAsia"/>
      </w:rPr>
    </w:lvl>
  </w:abstractNum>
  <w:abstractNum w:abstractNumId="1">
    <w:nsid w:val="0D564B24"/>
    <w:multiLevelType w:val="singleLevel"/>
    <w:tmpl w:val="0D564B2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420"/>
  <w:drawingGridVerticalSpacing w:val="218"/>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NmZmM1ZGMxMzZiNDhlZGFlNGU2YzE4MjUwZTA5YTIifQ=="/>
  </w:docVars>
  <w:rsids>
    <w:rsidRoot w:val="7C6161EE"/>
    <w:rsid w:val="000028C3"/>
    <w:rsid w:val="00013742"/>
    <w:rsid w:val="000164CF"/>
    <w:rsid w:val="000233EB"/>
    <w:rsid w:val="00025EEE"/>
    <w:rsid w:val="00055108"/>
    <w:rsid w:val="00056462"/>
    <w:rsid w:val="00090554"/>
    <w:rsid w:val="000C422A"/>
    <w:rsid w:val="000D3307"/>
    <w:rsid w:val="000D3EBD"/>
    <w:rsid w:val="000E65B9"/>
    <w:rsid w:val="000F5A56"/>
    <w:rsid w:val="00106AEC"/>
    <w:rsid w:val="001229BD"/>
    <w:rsid w:val="0012441F"/>
    <w:rsid w:val="00147CD0"/>
    <w:rsid w:val="00155925"/>
    <w:rsid w:val="00170F5C"/>
    <w:rsid w:val="00172981"/>
    <w:rsid w:val="001E5759"/>
    <w:rsid w:val="002003EA"/>
    <w:rsid w:val="002145B1"/>
    <w:rsid w:val="002A28A4"/>
    <w:rsid w:val="002A6556"/>
    <w:rsid w:val="002C388B"/>
    <w:rsid w:val="002D0823"/>
    <w:rsid w:val="002F7D8F"/>
    <w:rsid w:val="0031470F"/>
    <w:rsid w:val="00327CBE"/>
    <w:rsid w:val="00343135"/>
    <w:rsid w:val="00346798"/>
    <w:rsid w:val="003624AE"/>
    <w:rsid w:val="00374BCF"/>
    <w:rsid w:val="00376F35"/>
    <w:rsid w:val="00386D9F"/>
    <w:rsid w:val="003B31E3"/>
    <w:rsid w:val="003E60C3"/>
    <w:rsid w:val="003F4628"/>
    <w:rsid w:val="0040210E"/>
    <w:rsid w:val="00423C84"/>
    <w:rsid w:val="00454B37"/>
    <w:rsid w:val="004575AC"/>
    <w:rsid w:val="00462AD9"/>
    <w:rsid w:val="0048365F"/>
    <w:rsid w:val="004845E8"/>
    <w:rsid w:val="004B043B"/>
    <w:rsid w:val="004B5214"/>
    <w:rsid w:val="004C7AB5"/>
    <w:rsid w:val="005004D3"/>
    <w:rsid w:val="0051614A"/>
    <w:rsid w:val="00534F70"/>
    <w:rsid w:val="00555BE0"/>
    <w:rsid w:val="00556980"/>
    <w:rsid w:val="00565AE3"/>
    <w:rsid w:val="00580C57"/>
    <w:rsid w:val="005B0DF3"/>
    <w:rsid w:val="005D4F90"/>
    <w:rsid w:val="005D602F"/>
    <w:rsid w:val="006311D3"/>
    <w:rsid w:val="006567A2"/>
    <w:rsid w:val="00657B11"/>
    <w:rsid w:val="00683FAD"/>
    <w:rsid w:val="00685061"/>
    <w:rsid w:val="0069296C"/>
    <w:rsid w:val="0070075D"/>
    <w:rsid w:val="007054F1"/>
    <w:rsid w:val="007058EB"/>
    <w:rsid w:val="00732589"/>
    <w:rsid w:val="007421DE"/>
    <w:rsid w:val="007453F5"/>
    <w:rsid w:val="0076692D"/>
    <w:rsid w:val="007736BF"/>
    <w:rsid w:val="00777DDF"/>
    <w:rsid w:val="00777DFC"/>
    <w:rsid w:val="007C0AD5"/>
    <w:rsid w:val="007F1D7F"/>
    <w:rsid w:val="008836FB"/>
    <w:rsid w:val="00891BDF"/>
    <w:rsid w:val="008B2062"/>
    <w:rsid w:val="008C0CEE"/>
    <w:rsid w:val="008F3CAB"/>
    <w:rsid w:val="00901E5D"/>
    <w:rsid w:val="00914CE5"/>
    <w:rsid w:val="009227BA"/>
    <w:rsid w:val="009512D8"/>
    <w:rsid w:val="009876F2"/>
    <w:rsid w:val="009943D9"/>
    <w:rsid w:val="009B4FAA"/>
    <w:rsid w:val="009C78AE"/>
    <w:rsid w:val="009D6BAE"/>
    <w:rsid w:val="009D6D80"/>
    <w:rsid w:val="009F08AB"/>
    <w:rsid w:val="00A07F41"/>
    <w:rsid w:val="00A21280"/>
    <w:rsid w:val="00A26BC4"/>
    <w:rsid w:val="00A762B1"/>
    <w:rsid w:val="00AA1FBA"/>
    <w:rsid w:val="00AB54AE"/>
    <w:rsid w:val="00AE5AFB"/>
    <w:rsid w:val="00AE7591"/>
    <w:rsid w:val="00AF0E6C"/>
    <w:rsid w:val="00AF48BD"/>
    <w:rsid w:val="00B10D2D"/>
    <w:rsid w:val="00B13C24"/>
    <w:rsid w:val="00B319C7"/>
    <w:rsid w:val="00B70867"/>
    <w:rsid w:val="00B81AE6"/>
    <w:rsid w:val="00BA5313"/>
    <w:rsid w:val="00BA7D75"/>
    <w:rsid w:val="00BC072F"/>
    <w:rsid w:val="00BE0D3C"/>
    <w:rsid w:val="00BE3042"/>
    <w:rsid w:val="00C125ED"/>
    <w:rsid w:val="00C220D9"/>
    <w:rsid w:val="00C43486"/>
    <w:rsid w:val="00C635B4"/>
    <w:rsid w:val="00C93666"/>
    <w:rsid w:val="00C97D95"/>
    <w:rsid w:val="00C97DBC"/>
    <w:rsid w:val="00CB700B"/>
    <w:rsid w:val="00CD5942"/>
    <w:rsid w:val="00CD6D8D"/>
    <w:rsid w:val="00CE3941"/>
    <w:rsid w:val="00CE5AA4"/>
    <w:rsid w:val="00CF2F58"/>
    <w:rsid w:val="00D04512"/>
    <w:rsid w:val="00D31333"/>
    <w:rsid w:val="00D326B3"/>
    <w:rsid w:val="00D466B3"/>
    <w:rsid w:val="00D5041A"/>
    <w:rsid w:val="00D5304D"/>
    <w:rsid w:val="00D805BD"/>
    <w:rsid w:val="00D85A67"/>
    <w:rsid w:val="00D9798D"/>
    <w:rsid w:val="00DA5DE9"/>
    <w:rsid w:val="00DC09DA"/>
    <w:rsid w:val="00DC5228"/>
    <w:rsid w:val="00DF57DE"/>
    <w:rsid w:val="00E0073A"/>
    <w:rsid w:val="00E11AF2"/>
    <w:rsid w:val="00E40476"/>
    <w:rsid w:val="00E504F5"/>
    <w:rsid w:val="00E5672D"/>
    <w:rsid w:val="00E90B60"/>
    <w:rsid w:val="00EC76F5"/>
    <w:rsid w:val="00ED4307"/>
    <w:rsid w:val="00F353DC"/>
    <w:rsid w:val="00F4555E"/>
    <w:rsid w:val="00F67A93"/>
    <w:rsid w:val="00F738E5"/>
    <w:rsid w:val="00F81B40"/>
    <w:rsid w:val="00F85341"/>
    <w:rsid w:val="00F85B7C"/>
    <w:rsid w:val="00F8601F"/>
    <w:rsid w:val="00F940CD"/>
    <w:rsid w:val="00FA4517"/>
    <w:rsid w:val="00FC47BC"/>
    <w:rsid w:val="00FF08BB"/>
    <w:rsid w:val="00FF792A"/>
    <w:rsid w:val="010578EB"/>
    <w:rsid w:val="01105289"/>
    <w:rsid w:val="015425AD"/>
    <w:rsid w:val="018855FF"/>
    <w:rsid w:val="01B632F8"/>
    <w:rsid w:val="020B6A0C"/>
    <w:rsid w:val="03345AEF"/>
    <w:rsid w:val="0338719F"/>
    <w:rsid w:val="033D79A9"/>
    <w:rsid w:val="034247DC"/>
    <w:rsid w:val="03676CED"/>
    <w:rsid w:val="03B768A0"/>
    <w:rsid w:val="047541A6"/>
    <w:rsid w:val="04BA30E0"/>
    <w:rsid w:val="04D53301"/>
    <w:rsid w:val="050B18F2"/>
    <w:rsid w:val="052D7D7C"/>
    <w:rsid w:val="053E4A03"/>
    <w:rsid w:val="063127B9"/>
    <w:rsid w:val="064D6E62"/>
    <w:rsid w:val="069F2A08"/>
    <w:rsid w:val="06B01930"/>
    <w:rsid w:val="07016C7F"/>
    <w:rsid w:val="0757640C"/>
    <w:rsid w:val="07644509"/>
    <w:rsid w:val="07874483"/>
    <w:rsid w:val="07C06824"/>
    <w:rsid w:val="08116DC1"/>
    <w:rsid w:val="08172D56"/>
    <w:rsid w:val="08494BAC"/>
    <w:rsid w:val="086D184F"/>
    <w:rsid w:val="08814104"/>
    <w:rsid w:val="089D2561"/>
    <w:rsid w:val="08D84A58"/>
    <w:rsid w:val="093E2345"/>
    <w:rsid w:val="095A1103"/>
    <w:rsid w:val="098D76E7"/>
    <w:rsid w:val="0A1454A4"/>
    <w:rsid w:val="0A3F5E5E"/>
    <w:rsid w:val="0A7C131C"/>
    <w:rsid w:val="0AA27E70"/>
    <w:rsid w:val="0AB87005"/>
    <w:rsid w:val="0ABE7709"/>
    <w:rsid w:val="0AC91212"/>
    <w:rsid w:val="0AE41BA8"/>
    <w:rsid w:val="0B521752"/>
    <w:rsid w:val="0B78350C"/>
    <w:rsid w:val="0C1C2E6D"/>
    <w:rsid w:val="0C2E56F4"/>
    <w:rsid w:val="0C8C03AB"/>
    <w:rsid w:val="0C9D1CAC"/>
    <w:rsid w:val="0CCD5DA4"/>
    <w:rsid w:val="0D093B48"/>
    <w:rsid w:val="0D1411E7"/>
    <w:rsid w:val="0D625F83"/>
    <w:rsid w:val="0DEB4808"/>
    <w:rsid w:val="0DFF4FB6"/>
    <w:rsid w:val="0E8A6F0A"/>
    <w:rsid w:val="0ED87093"/>
    <w:rsid w:val="0F317386"/>
    <w:rsid w:val="0F701273"/>
    <w:rsid w:val="0F9938D6"/>
    <w:rsid w:val="0FFE370C"/>
    <w:rsid w:val="101E1275"/>
    <w:rsid w:val="1027242B"/>
    <w:rsid w:val="103F3491"/>
    <w:rsid w:val="107000B2"/>
    <w:rsid w:val="10AB1F43"/>
    <w:rsid w:val="111A7F8C"/>
    <w:rsid w:val="122E4051"/>
    <w:rsid w:val="125F245C"/>
    <w:rsid w:val="12903CF7"/>
    <w:rsid w:val="12FF65AD"/>
    <w:rsid w:val="13393708"/>
    <w:rsid w:val="13394223"/>
    <w:rsid w:val="13525B1D"/>
    <w:rsid w:val="139B5716"/>
    <w:rsid w:val="13A5321E"/>
    <w:rsid w:val="13A9398F"/>
    <w:rsid w:val="13B7528F"/>
    <w:rsid w:val="1442240F"/>
    <w:rsid w:val="14542E35"/>
    <w:rsid w:val="14BD3386"/>
    <w:rsid w:val="14FA49A2"/>
    <w:rsid w:val="150025DA"/>
    <w:rsid w:val="1504385E"/>
    <w:rsid w:val="151A52C7"/>
    <w:rsid w:val="152407DB"/>
    <w:rsid w:val="15995646"/>
    <w:rsid w:val="15B37A16"/>
    <w:rsid w:val="15C40F54"/>
    <w:rsid w:val="15E80A95"/>
    <w:rsid w:val="16132FFA"/>
    <w:rsid w:val="16315EBE"/>
    <w:rsid w:val="166660F6"/>
    <w:rsid w:val="177249E0"/>
    <w:rsid w:val="17B7144C"/>
    <w:rsid w:val="1816180F"/>
    <w:rsid w:val="18822A00"/>
    <w:rsid w:val="18B47137"/>
    <w:rsid w:val="194F2C74"/>
    <w:rsid w:val="199E6EAC"/>
    <w:rsid w:val="19B7611D"/>
    <w:rsid w:val="19D9020B"/>
    <w:rsid w:val="1A925F42"/>
    <w:rsid w:val="1AD969F1"/>
    <w:rsid w:val="1AFC2F3E"/>
    <w:rsid w:val="1AFC55F3"/>
    <w:rsid w:val="1B375D24"/>
    <w:rsid w:val="1B3B7236"/>
    <w:rsid w:val="1B5A58A3"/>
    <w:rsid w:val="1B751025"/>
    <w:rsid w:val="1BBD6F43"/>
    <w:rsid w:val="1BBF7A6D"/>
    <w:rsid w:val="1BE04690"/>
    <w:rsid w:val="1BEA1FB6"/>
    <w:rsid w:val="1C45090C"/>
    <w:rsid w:val="1C4D151A"/>
    <w:rsid w:val="1C694209"/>
    <w:rsid w:val="1C9D5011"/>
    <w:rsid w:val="1CE30439"/>
    <w:rsid w:val="1CEC52B9"/>
    <w:rsid w:val="1D344C11"/>
    <w:rsid w:val="1DA17DCD"/>
    <w:rsid w:val="1DAE190B"/>
    <w:rsid w:val="1DD74FBA"/>
    <w:rsid w:val="1DE90ED8"/>
    <w:rsid w:val="1E6441C4"/>
    <w:rsid w:val="1E6E2207"/>
    <w:rsid w:val="1E7B6FC5"/>
    <w:rsid w:val="1E9562B8"/>
    <w:rsid w:val="1E9E2A39"/>
    <w:rsid w:val="1EA835D9"/>
    <w:rsid w:val="1EB54F58"/>
    <w:rsid w:val="1EF4434E"/>
    <w:rsid w:val="1F12627D"/>
    <w:rsid w:val="1F7245E5"/>
    <w:rsid w:val="1F770DE5"/>
    <w:rsid w:val="2000644E"/>
    <w:rsid w:val="20A42F44"/>
    <w:rsid w:val="220744FE"/>
    <w:rsid w:val="224142A7"/>
    <w:rsid w:val="22B45A81"/>
    <w:rsid w:val="22B53D0C"/>
    <w:rsid w:val="22E31D98"/>
    <w:rsid w:val="22E816E2"/>
    <w:rsid w:val="23785572"/>
    <w:rsid w:val="23FB0751"/>
    <w:rsid w:val="24282F85"/>
    <w:rsid w:val="24751DF3"/>
    <w:rsid w:val="24E602C8"/>
    <w:rsid w:val="250D194F"/>
    <w:rsid w:val="25515EE6"/>
    <w:rsid w:val="259A4CB3"/>
    <w:rsid w:val="25D4275E"/>
    <w:rsid w:val="25F3318F"/>
    <w:rsid w:val="26A52FA8"/>
    <w:rsid w:val="26B9799E"/>
    <w:rsid w:val="26D07F08"/>
    <w:rsid w:val="26F1782D"/>
    <w:rsid w:val="26F56E18"/>
    <w:rsid w:val="27620A84"/>
    <w:rsid w:val="27787BB5"/>
    <w:rsid w:val="27A6670B"/>
    <w:rsid w:val="27BF6310"/>
    <w:rsid w:val="28327F9F"/>
    <w:rsid w:val="28EC33E3"/>
    <w:rsid w:val="29B64BD1"/>
    <w:rsid w:val="2A28520D"/>
    <w:rsid w:val="2B381D70"/>
    <w:rsid w:val="2B5813C7"/>
    <w:rsid w:val="2B8A4253"/>
    <w:rsid w:val="2BBA5828"/>
    <w:rsid w:val="2BD47F48"/>
    <w:rsid w:val="2BF32162"/>
    <w:rsid w:val="2C655036"/>
    <w:rsid w:val="2C7C3EDF"/>
    <w:rsid w:val="2C8C7EB8"/>
    <w:rsid w:val="2CBA4A07"/>
    <w:rsid w:val="2CD8161B"/>
    <w:rsid w:val="2CF25F4F"/>
    <w:rsid w:val="2D1565AB"/>
    <w:rsid w:val="2D7C1CBC"/>
    <w:rsid w:val="2DD5350C"/>
    <w:rsid w:val="2DFE5EAE"/>
    <w:rsid w:val="2E4C45E1"/>
    <w:rsid w:val="2E527EAE"/>
    <w:rsid w:val="2E613F8B"/>
    <w:rsid w:val="2EAB6E76"/>
    <w:rsid w:val="2EE4222F"/>
    <w:rsid w:val="2EF22236"/>
    <w:rsid w:val="2F171C9D"/>
    <w:rsid w:val="2F666395"/>
    <w:rsid w:val="2F7E7921"/>
    <w:rsid w:val="306A3478"/>
    <w:rsid w:val="30A85B97"/>
    <w:rsid w:val="30E402A4"/>
    <w:rsid w:val="30ED53AB"/>
    <w:rsid w:val="31576CC8"/>
    <w:rsid w:val="315E1206"/>
    <w:rsid w:val="316C56D9"/>
    <w:rsid w:val="31780D89"/>
    <w:rsid w:val="31880E9B"/>
    <w:rsid w:val="31B71E96"/>
    <w:rsid w:val="31BF13AC"/>
    <w:rsid w:val="31EC3F76"/>
    <w:rsid w:val="32536F4E"/>
    <w:rsid w:val="327042CF"/>
    <w:rsid w:val="32B204F9"/>
    <w:rsid w:val="3305C16A"/>
    <w:rsid w:val="33473A99"/>
    <w:rsid w:val="33934949"/>
    <w:rsid w:val="34052DCE"/>
    <w:rsid w:val="341276CC"/>
    <w:rsid w:val="341730B9"/>
    <w:rsid w:val="34692F9B"/>
    <w:rsid w:val="34842CBD"/>
    <w:rsid w:val="34AD2E5E"/>
    <w:rsid w:val="34AE1CE2"/>
    <w:rsid w:val="34ED1A82"/>
    <w:rsid w:val="3529097C"/>
    <w:rsid w:val="353223A6"/>
    <w:rsid w:val="35971BC4"/>
    <w:rsid w:val="35A31760"/>
    <w:rsid w:val="35C22690"/>
    <w:rsid w:val="360D08DB"/>
    <w:rsid w:val="3633433C"/>
    <w:rsid w:val="37AF3530"/>
    <w:rsid w:val="37CB35D5"/>
    <w:rsid w:val="37D11076"/>
    <w:rsid w:val="37E7223C"/>
    <w:rsid w:val="38554823"/>
    <w:rsid w:val="388C261F"/>
    <w:rsid w:val="3934169D"/>
    <w:rsid w:val="397C551E"/>
    <w:rsid w:val="39B06724"/>
    <w:rsid w:val="3A036DB6"/>
    <w:rsid w:val="3A285272"/>
    <w:rsid w:val="3A495A23"/>
    <w:rsid w:val="3A5B66B7"/>
    <w:rsid w:val="3A757E0C"/>
    <w:rsid w:val="3A7C32FC"/>
    <w:rsid w:val="3AB24463"/>
    <w:rsid w:val="3AC42900"/>
    <w:rsid w:val="3AF86E26"/>
    <w:rsid w:val="3B2A027C"/>
    <w:rsid w:val="3B5401DE"/>
    <w:rsid w:val="3C410B7E"/>
    <w:rsid w:val="3CB3000D"/>
    <w:rsid w:val="3D697FF6"/>
    <w:rsid w:val="3D995F73"/>
    <w:rsid w:val="3DDE247E"/>
    <w:rsid w:val="3E2E7C58"/>
    <w:rsid w:val="3E4B3E81"/>
    <w:rsid w:val="3E825ED6"/>
    <w:rsid w:val="3E92219C"/>
    <w:rsid w:val="3EB23790"/>
    <w:rsid w:val="3ED6350C"/>
    <w:rsid w:val="3F7B6B61"/>
    <w:rsid w:val="3FA55BCF"/>
    <w:rsid w:val="3FF837B9"/>
    <w:rsid w:val="40326EFA"/>
    <w:rsid w:val="40925627"/>
    <w:rsid w:val="41272213"/>
    <w:rsid w:val="4139427C"/>
    <w:rsid w:val="416A0654"/>
    <w:rsid w:val="420D2C9B"/>
    <w:rsid w:val="42EF3C69"/>
    <w:rsid w:val="434B12A1"/>
    <w:rsid w:val="43787911"/>
    <w:rsid w:val="43946CE4"/>
    <w:rsid w:val="441F5424"/>
    <w:rsid w:val="44564BBE"/>
    <w:rsid w:val="4464656D"/>
    <w:rsid w:val="44EF22A8"/>
    <w:rsid w:val="44F60E4B"/>
    <w:rsid w:val="44F93E06"/>
    <w:rsid w:val="452A38AE"/>
    <w:rsid w:val="45921323"/>
    <w:rsid w:val="46145F39"/>
    <w:rsid w:val="462B73F3"/>
    <w:rsid w:val="46396D86"/>
    <w:rsid w:val="46A15226"/>
    <w:rsid w:val="47036316"/>
    <w:rsid w:val="47044DF9"/>
    <w:rsid w:val="475632A7"/>
    <w:rsid w:val="4775028A"/>
    <w:rsid w:val="477B022D"/>
    <w:rsid w:val="47A91886"/>
    <w:rsid w:val="480E16DC"/>
    <w:rsid w:val="480F3A01"/>
    <w:rsid w:val="484B33D6"/>
    <w:rsid w:val="49107A23"/>
    <w:rsid w:val="49572EEE"/>
    <w:rsid w:val="49647D7D"/>
    <w:rsid w:val="49753A4B"/>
    <w:rsid w:val="49800A8A"/>
    <w:rsid w:val="4A054466"/>
    <w:rsid w:val="4A195BDF"/>
    <w:rsid w:val="4A31387D"/>
    <w:rsid w:val="4A9204FC"/>
    <w:rsid w:val="4A931F6E"/>
    <w:rsid w:val="4ABB577A"/>
    <w:rsid w:val="4AF173EE"/>
    <w:rsid w:val="4B017ED9"/>
    <w:rsid w:val="4B0829C6"/>
    <w:rsid w:val="4B344B0A"/>
    <w:rsid w:val="4B3E3482"/>
    <w:rsid w:val="4BB01057"/>
    <w:rsid w:val="4BEC7CA8"/>
    <w:rsid w:val="4BFB1C38"/>
    <w:rsid w:val="4D30238E"/>
    <w:rsid w:val="4D3B65C6"/>
    <w:rsid w:val="4D686135"/>
    <w:rsid w:val="4D814A59"/>
    <w:rsid w:val="4DB27309"/>
    <w:rsid w:val="4E1672E6"/>
    <w:rsid w:val="4E7E7D39"/>
    <w:rsid w:val="4E996EF8"/>
    <w:rsid w:val="4EA0791F"/>
    <w:rsid w:val="4EC619CA"/>
    <w:rsid w:val="4EC87A74"/>
    <w:rsid w:val="4FA35979"/>
    <w:rsid w:val="506202F9"/>
    <w:rsid w:val="50747CF1"/>
    <w:rsid w:val="5076286F"/>
    <w:rsid w:val="50A90D34"/>
    <w:rsid w:val="50D112E9"/>
    <w:rsid w:val="50F72E46"/>
    <w:rsid w:val="51530CF5"/>
    <w:rsid w:val="51634D6A"/>
    <w:rsid w:val="522A0C67"/>
    <w:rsid w:val="524F491E"/>
    <w:rsid w:val="529B480F"/>
    <w:rsid w:val="52A90EB8"/>
    <w:rsid w:val="532D18E3"/>
    <w:rsid w:val="53727EC6"/>
    <w:rsid w:val="541A324C"/>
    <w:rsid w:val="541E514D"/>
    <w:rsid w:val="54332825"/>
    <w:rsid w:val="54573DE2"/>
    <w:rsid w:val="545A24A8"/>
    <w:rsid w:val="54C72A94"/>
    <w:rsid w:val="55204356"/>
    <w:rsid w:val="55D87E1A"/>
    <w:rsid w:val="563B4F82"/>
    <w:rsid w:val="563E32A2"/>
    <w:rsid w:val="56B55774"/>
    <w:rsid w:val="57081257"/>
    <w:rsid w:val="573754A1"/>
    <w:rsid w:val="57DF2EF2"/>
    <w:rsid w:val="58953AAF"/>
    <w:rsid w:val="59BF2328"/>
    <w:rsid w:val="5A524D35"/>
    <w:rsid w:val="5AF54CD9"/>
    <w:rsid w:val="5B074F49"/>
    <w:rsid w:val="5B7C71A8"/>
    <w:rsid w:val="5BFA2998"/>
    <w:rsid w:val="5C4020EE"/>
    <w:rsid w:val="5D17210E"/>
    <w:rsid w:val="5E053485"/>
    <w:rsid w:val="5E095792"/>
    <w:rsid w:val="5E47584B"/>
    <w:rsid w:val="5E5941B5"/>
    <w:rsid w:val="5EEB782B"/>
    <w:rsid w:val="5F4D50E3"/>
    <w:rsid w:val="5F4E105B"/>
    <w:rsid w:val="5F847142"/>
    <w:rsid w:val="60027209"/>
    <w:rsid w:val="60AC1681"/>
    <w:rsid w:val="60DC6F0C"/>
    <w:rsid w:val="60E40AB4"/>
    <w:rsid w:val="61733CD6"/>
    <w:rsid w:val="61C77E2B"/>
    <w:rsid w:val="61F945D9"/>
    <w:rsid w:val="62143C96"/>
    <w:rsid w:val="62192FBA"/>
    <w:rsid w:val="622D601A"/>
    <w:rsid w:val="62486CDE"/>
    <w:rsid w:val="625F629E"/>
    <w:rsid w:val="62B965EC"/>
    <w:rsid w:val="62EC28B6"/>
    <w:rsid w:val="62FE38AA"/>
    <w:rsid w:val="63052F68"/>
    <w:rsid w:val="63155F18"/>
    <w:rsid w:val="636A1961"/>
    <w:rsid w:val="639A3C1D"/>
    <w:rsid w:val="63AB687C"/>
    <w:rsid w:val="63BC58A2"/>
    <w:rsid w:val="63F768E0"/>
    <w:rsid w:val="64104559"/>
    <w:rsid w:val="6429636D"/>
    <w:rsid w:val="642D081E"/>
    <w:rsid w:val="643F18F7"/>
    <w:rsid w:val="645B0C4B"/>
    <w:rsid w:val="64930AC3"/>
    <w:rsid w:val="64B31504"/>
    <w:rsid w:val="64CE0C74"/>
    <w:rsid w:val="65440CC7"/>
    <w:rsid w:val="65BE5784"/>
    <w:rsid w:val="65D643BC"/>
    <w:rsid w:val="65F91447"/>
    <w:rsid w:val="6633036E"/>
    <w:rsid w:val="66332774"/>
    <w:rsid w:val="66437D39"/>
    <w:rsid w:val="665E3D93"/>
    <w:rsid w:val="66612401"/>
    <w:rsid w:val="66A01F9C"/>
    <w:rsid w:val="66E16997"/>
    <w:rsid w:val="66F83B86"/>
    <w:rsid w:val="67423D28"/>
    <w:rsid w:val="67696832"/>
    <w:rsid w:val="676C036D"/>
    <w:rsid w:val="684E3479"/>
    <w:rsid w:val="68885BB0"/>
    <w:rsid w:val="68E56FD6"/>
    <w:rsid w:val="69687B18"/>
    <w:rsid w:val="69B6624A"/>
    <w:rsid w:val="6A9D4D72"/>
    <w:rsid w:val="6B1C3BBC"/>
    <w:rsid w:val="6B4218B2"/>
    <w:rsid w:val="6BC8789F"/>
    <w:rsid w:val="6BD10E4A"/>
    <w:rsid w:val="6BF32B6E"/>
    <w:rsid w:val="6C30791F"/>
    <w:rsid w:val="6C8773D3"/>
    <w:rsid w:val="6D246FB3"/>
    <w:rsid w:val="6D4A008A"/>
    <w:rsid w:val="6D5A6EDF"/>
    <w:rsid w:val="6ED37968"/>
    <w:rsid w:val="6F7B7C73"/>
    <w:rsid w:val="6FF410CC"/>
    <w:rsid w:val="6FF6D5CB"/>
    <w:rsid w:val="7000374F"/>
    <w:rsid w:val="70074E3A"/>
    <w:rsid w:val="706E2F7C"/>
    <w:rsid w:val="707A78E8"/>
    <w:rsid w:val="70A31FD8"/>
    <w:rsid w:val="71356970"/>
    <w:rsid w:val="714125CE"/>
    <w:rsid w:val="71577A67"/>
    <w:rsid w:val="71C1726B"/>
    <w:rsid w:val="71ED47D4"/>
    <w:rsid w:val="71F90C99"/>
    <w:rsid w:val="72193534"/>
    <w:rsid w:val="733E5017"/>
    <w:rsid w:val="73DC038C"/>
    <w:rsid w:val="74410A17"/>
    <w:rsid w:val="74A9506F"/>
    <w:rsid w:val="74C26E5D"/>
    <w:rsid w:val="74E3677B"/>
    <w:rsid w:val="75057DCC"/>
    <w:rsid w:val="75A04CE8"/>
    <w:rsid w:val="75CA4D86"/>
    <w:rsid w:val="75D339A9"/>
    <w:rsid w:val="75F7DC3F"/>
    <w:rsid w:val="76851400"/>
    <w:rsid w:val="76A07D97"/>
    <w:rsid w:val="76F96EC8"/>
    <w:rsid w:val="76FE53A0"/>
    <w:rsid w:val="7742349E"/>
    <w:rsid w:val="77960965"/>
    <w:rsid w:val="77FD9D8B"/>
    <w:rsid w:val="78577BD7"/>
    <w:rsid w:val="78593051"/>
    <w:rsid w:val="78CF4025"/>
    <w:rsid w:val="795310F0"/>
    <w:rsid w:val="79896C00"/>
    <w:rsid w:val="798E2128"/>
    <w:rsid w:val="799106C2"/>
    <w:rsid w:val="79B337F4"/>
    <w:rsid w:val="7A516009"/>
    <w:rsid w:val="7A921A34"/>
    <w:rsid w:val="7A92650D"/>
    <w:rsid w:val="7A9F0E90"/>
    <w:rsid w:val="7AA21B7E"/>
    <w:rsid w:val="7AB12049"/>
    <w:rsid w:val="7AD86C5D"/>
    <w:rsid w:val="7B283F71"/>
    <w:rsid w:val="7B5A492A"/>
    <w:rsid w:val="7B942EAB"/>
    <w:rsid w:val="7C1D501E"/>
    <w:rsid w:val="7C6161EE"/>
    <w:rsid w:val="7C67517B"/>
    <w:rsid w:val="7C9061B7"/>
    <w:rsid w:val="7CA804E4"/>
    <w:rsid w:val="7D001157"/>
    <w:rsid w:val="7D502E46"/>
    <w:rsid w:val="7D7D78C6"/>
    <w:rsid w:val="7DA4082D"/>
    <w:rsid w:val="7DB0206B"/>
    <w:rsid w:val="7E1C664F"/>
    <w:rsid w:val="7E517D21"/>
    <w:rsid w:val="7EA63A70"/>
    <w:rsid w:val="7EE50BF6"/>
    <w:rsid w:val="7F266D9C"/>
    <w:rsid w:val="7F64398F"/>
    <w:rsid w:val="7F7A327B"/>
    <w:rsid w:val="7F941FDD"/>
    <w:rsid w:val="7FDB6FAE"/>
    <w:rsid w:val="7FF8221F"/>
    <w:rsid w:val="9FBE6488"/>
    <w:rsid w:val="A5AFC3F1"/>
    <w:rsid w:val="A6FEC26B"/>
    <w:rsid w:val="B4FA223A"/>
    <w:rsid w:val="B9F984EF"/>
    <w:rsid w:val="BFD34EC9"/>
    <w:rsid w:val="CFEABC3C"/>
    <w:rsid w:val="D9F81283"/>
    <w:rsid w:val="DC8FEF5C"/>
    <w:rsid w:val="DEDFD75D"/>
    <w:rsid w:val="E7FF2457"/>
    <w:rsid w:val="EEEA76EE"/>
    <w:rsid w:val="FFEA64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eastAsia="仿宋_GB2312" w:asciiTheme="minorHAnsi" w:hAnsiTheme="minorHAnsi" w:cstheme="minorBidi"/>
      <w:kern w:val="2"/>
      <w:sz w:val="32"/>
      <w:szCs w:val="24"/>
      <w:lang w:val="en-US" w:eastAsia="zh-CN" w:bidi="ar-SA"/>
    </w:rPr>
  </w:style>
  <w:style w:type="paragraph" w:styleId="4">
    <w:name w:val="heading 1"/>
    <w:basedOn w:val="1"/>
    <w:next w:val="1"/>
    <w:qFormat/>
    <w:uiPriority w:val="0"/>
    <w:pPr>
      <w:keepNext/>
      <w:keepLines/>
      <w:spacing w:before="100" w:after="80"/>
      <w:outlineLvl w:val="0"/>
    </w:pPr>
    <w:rPr>
      <w:rFonts w:eastAsia="黑体"/>
      <w:b/>
      <w:kern w:val="44"/>
    </w:rPr>
  </w:style>
  <w:style w:type="paragraph" w:styleId="5">
    <w:name w:val="heading 2"/>
    <w:basedOn w:val="1"/>
    <w:next w:val="1"/>
    <w:unhideWhenUsed/>
    <w:qFormat/>
    <w:uiPriority w:val="0"/>
    <w:pPr>
      <w:keepNext/>
      <w:keepLines/>
      <w:spacing w:beforeLines="50" w:afterLines="50"/>
      <w:outlineLvl w:val="1"/>
    </w:pPr>
    <w:rPr>
      <w:rFonts w:ascii="Arial" w:hAnsi="Arial" w:eastAsia="楷体"/>
    </w:rPr>
  </w:style>
  <w:style w:type="paragraph" w:styleId="6">
    <w:name w:val="heading 3"/>
    <w:basedOn w:val="1"/>
    <w:next w:val="1"/>
    <w:qFormat/>
    <w:uiPriority w:val="99"/>
    <w:pPr>
      <w:keepNext/>
      <w:keepLines/>
      <w:spacing w:before="260" w:after="260" w:line="416" w:lineRule="auto"/>
      <w:outlineLvl w:val="2"/>
    </w:pPr>
    <w:rPr>
      <w:rFonts w:ascii="Times New Roman" w:hAnsi="Times New Roman" w:cs="Times New Roman"/>
      <w:b/>
      <w:bCs/>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引用1"/>
    <w:next w:val="1"/>
    <w:qFormat/>
    <w:uiPriority w:val="99"/>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7">
    <w:name w:val="Normal Indent"/>
    <w:basedOn w:val="1"/>
    <w:unhideWhenUsed/>
    <w:qFormat/>
    <w:uiPriority w:val="99"/>
    <w:pPr>
      <w:ind w:firstLine="420"/>
    </w:pPr>
  </w:style>
  <w:style w:type="paragraph" w:styleId="8">
    <w:name w:val="annotation text"/>
    <w:basedOn w:val="1"/>
    <w:qFormat/>
    <w:uiPriority w:val="0"/>
    <w:pPr>
      <w:jc w:val="left"/>
    </w:pPr>
  </w:style>
  <w:style w:type="paragraph" w:styleId="9">
    <w:name w:val="Balloon Text"/>
    <w:basedOn w:val="1"/>
    <w:link w:val="28"/>
    <w:qFormat/>
    <w:uiPriority w:val="0"/>
    <w:pPr>
      <w:spacing w:line="240" w:lineRule="auto"/>
    </w:pPr>
    <w:rPr>
      <w:sz w:val="18"/>
      <w:szCs w:val="18"/>
    </w:rPr>
  </w:style>
  <w:style w:type="paragraph" w:styleId="10">
    <w:name w:val="footer"/>
    <w:basedOn w:val="1"/>
    <w:link w:val="27"/>
    <w:qFormat/>
    <w:uiPriority w:val="99"/>
    <w:pPr>
      <w:tabs>
        <w:tab w:val="center" w:pos="4153"/>
        <w:tab w:val="right" w:pos="8306"/>
      </w:tabs>
      <w:snapToGrid w:val="0"/>
      <w:spacing w:line="240" w:lineRule="atLeast"/>
      <w:jc w:val="left"/>
    </w:pPr>
    <w:rPr>
      <w:sz w:val="18"/>
      <w:szCs w:val="18"/>
    </w:rPr>
  </w:style>
  <w:style w:type="paragraph" w:styleId="11">
    <w:name w:val="header"/>
    <w:basedOn w:val="1"/>
    <w:link w:val="26"/>
    <w:qFormat/>
    <w:uiPriority w:val="0"/>
    <w:pPr>
      <w:pBdr>
        <w:bottom w:val="single" w:color="auto" w:sz="6" w:space="1"/>
      </w:pBdr>
      <w:tabs>
        <w:tab w:val="center" w:pos="4153"/>
        <w:tab w:val="right" w:pos="8306"/>
      </w:tabs>
      <w:snapToGrid w:val="0"/>
      <w:spacing w:line="240" w:lineRule="atLeast"/>
      <w:jc w:val="center"/>
    </w:pPr>
    <w:rPr>
      <w:sz w:val="18"/>
      <w:szCs w:val="1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列出段落1"/>
    <w:basedOn w:val="1"/>
    <w:qFormat/>
    <w:uiPriority w:val="0"/>
    <w:pPr>
      <w:ind w:firstLine="420"/>
    </w:pPr>
    <w:rPr>
      <w:szCs w:val="22"/>
    </w:rPr>
  </w:style>
  <w:style w:type="character" w:customStyle="1" w:styleId="16">
    <w:name w:val="font51"/>
    <w:basedOn w:val="14"/>
    <w:qFormat/>
    <w:uiPriority w:val="0"/>
    <w:rPr>
      <w:rFonts w:ascii="仿宋_GB2312" w:eastAsia="仿宋_GB2312" w:cs="仿宋_GB2312"/>
      <w:color w:val="000000"/>
      <w:sz w:val="22"/>
      <w:szCs w:val="22"/>
      <w:u w:val="none"/>
    </w:rPr>
  </w:style>
  <w:style w:type="character" w:customStyle="1" w:styleId="17">
    <w:name w:val="font61"/>
    <w:basedOn w:val="14"/>
    <w:qFormat/>
    <w:uiPriority w:val="0"/>
    <w:rPr>
      <w:rFonts w:hint="eastAsia" w:ascii="仿宋_GB2312" w:eastAsia="仿宋_GB2312" w:cs="仿宋_GB2312"/>
      <w:color w:val="000000"/>
      <w:sz w:val="24"/>
      <w:szCs w:val="24"/>
      <w:u w:val="none"/>
    </w:rPr>
  </w:style>
  <w:style w:type="character" w:customStyle="1" w:styleId="18">
    <w:name w:val="font11"/>
    <w:basedOn w:val="14"/>
    <w:qFormat/>
    <w:uiPriority w:val="0"/>
    <w:rPr>
      <w:rFonts w:hint="default" w:ascii="Times New Roman" w:hAnsi="Times New Roman" w:cs="Times New Roman"/>
      <w:color w:val="000000"/>
      <w:sz w:val="22"/>
      <w:szCs w:val="22"/>
      <w:u w:val="none"/>
    </w:rPr>
  </w:style>
  <w:style w:type="character" w:customStyle="1" w:styleId="19">
    <w:name w:val="font71"/>
    <w:basedOn w:val="14"/>
    <w:qFormat/>
    <w:uiPriority w:val="0"/>
    <w:rPr>
      <w:rFonts w:hint="default" w:ascii="Times New Roman" w:hAnsi="Times New Roman" w:cs="Times New Roman"/>
      <w:color w:val="000000"/>
      <w:sz w:val="22"/>
      <w:szCs w:val="22"/>
      <w:u w:val="none"/>
      <w:vertAlign w:val="subscript"/>
    </w:rPr>
  </w:style>
  <w:style w:type="character" w:customStyle="1" w:styleId="20">
    <w:name w:val="font81"/>
    <w:basedOn w:val="14"/>
    <w:qFormat/>
    <w:uiPriority w:val="0"/>
    <w:rPr>
      <w:rFonts w:hint="default" w:ascii="Times New Roman" w:hAnsi="Times New Roman" w:cs="Times New Roman"/>
      <w:color w:val="000000"/>
      <w:sz w:val="22"/>
      <w:szCs w:val="22"/>
      <w:u w:val="none"/>
      <w:vertAlign w:val="superscript"/>
    </w:rPr>
  </w:style>
  <w:style w:type="character" w:customStyle="1" w:styleId="21">
    <w:name w:val="font91"/>
    <w:basedOn w:val="14"/>
    <w:qFormat/>
    <w:uiPriority w:val="0"/>
    <w:rPr>
      <w:rFonts w:hint="eastAsia" w:ascii="仿宋_GB2312" w:eastAsia="仿宋_GB2312" w:cs="仿宋_GB2312"/>
      <w:color w:val="000000"/>
      <w:sz w:val="24"/>
      <w:szCs w:val="24"/>
      <w:u w:val="none"/>
    </w:rPr>
  </w:style>
  <w:style w:type="character" w:customStyle="1" w:styleId="22">
    <w:name w:val="font31"/>
    <w:basedOn w:val="14"/>
    <w:qFormat/>
    <w:uiPriority w:val="0"/>
    <w:rPr>
      <w:rFonts w:hint="default" w:ascii="Times New Roman" w:hAnsi="Times New Roman" w:cs="Times New Roman"/>
      <w:color w:val="000000"/>
      <w:sz w:val="24"/>
      <w:szCs w:val="24"/>
      <w:u w:val="none"/>
    </w:rPr>
  </w:style>
  <w:style w:type="character" w:customStyle="1" w:styleId="23">
    <w:name w:val="font101"/>
    <w:basedOn w:val="14"/>
    <w:qFormat/>
    <w:uiPriority w:val="0"/>
    <w:rPr>
      <w:rFonts w:hint="eastAsia" w:ascii="仿宋_GB2312" w:eastAsia="仿宋_GB2312" w:cs="仿宋_GB2312"/>
      <w:color w:val="000000"/>
      <w:sz w:val="21"/>
      <w:szCs w:val="21"/>
      <w:u w:val="none"/>
    </w:rPr>
  </w:style>
  <w:style w:type="character" w:customStyle="1" w:styleId="24">
    <w:name w:val="font41"/>
    <w:basedOn w:val="14"/>
    <w:qFormat/>
    <w:uiPriority w:val="0"/>
    <w:rPr>
      <w:rFonts w:hint="default" w:ascii="Times New Roman" w:hAnsi="Times New Roman" w:cs="Times New Roman"/>
      <w:color w:val="000000"/>
      <w:sz w:val="21"/>
      <w:szCs w:val="21"/>
      <w:u w:val="none"/>
    </w:rPr>
  </w:style>
  <w:style w:type="character" w:customStyle="1" w:styleId="25">
    <w:name w:val="font21"/>
    <w:basedOn w:val="14"/>
    <w:qFormat/>
    <w:uiPriority w:val="0"/>
    <w:rPr>
      <w:rFonts w:hint="default" w:ascii="Times New Roman" w:hAnsi="Times New Roman" w:cs="Times New Roman"/>
      <w:color w:val="000000"/>
      <w:sz w:val="24"/>
      <w:szCs w:val="24"/>
      <w:u w:val="none"/>
    </w:rPr>
  </w:style>
  <w:style w:type="character" w:customStyle="1" w:styleId="26">
    <w:name w:val="页眉 字符"/>
    <w:basedOn w:val="14"/>
    <w:link w:val="11"/>
    <w:qFormat/>
    <w:uiPriority w:val="0"/>
    <w:rPr>
      <w:rFonts w:eastAsia="仿宋_GB2312" w:asciiTheme="minorHAnsi" w:hAnsiTheme="minorHAnsi" w:cstheme="minorBidi"/>
      <w:kern w:val="2"/>
      <w:sz w:val="18"/>
      <w:szCs w:val="18"/>
    </w:rPr>
  </w:style>
  <w:style w:type="character" w:customStyle="1" w:styleId="27">
    <w:name w:val="页脚 字符"/>
    <w:basedOn w:val="14"/>
    <w:link w:val="10"/>
    <w:qFormat/>
    <w:uiPriority w:val="99"/>
    <w:rPr>
      <w:rFonts w:eastAsia="仿宋_GB2312" w:asciiTheme="minorHAnsi" w:hAnsiTheme="minorHAnsi" w:cstheme="minorBidi"/>
      <w:kern w:val="2"/>
      <w:sz w:val="18"/>
      <w:szCs w:val="18"/>
    </w:rPr>
  </w:style>
  <w:style w:type="character" w:customStyle="1" w:styleId="28">
    <w:name w:val="批注框文本 字符"/>
    <w:basedOn w:val="14"/>
    <w:link w:val="9"/>
    <w:qFormat/>
    <w:uiPriority w:val="0"/>
    <w:rPr>
      <w:rFonts w:eastAsia="仿宋_GB2312" w:asciiTheme="minorHAnsi" w:hAnsiTheme="minorHAnsi" w:cstheme="minorBidi"/>
      <w:kern w:val="2"/>
      <w:sz w:val="18"/>
      <w:szCs w:val="18"/>
    </w:rPr>
  </w:style>
  <w:style w:type="paragraph" w:customStyle="1" w:styleId="29">
    <w:name w:val="BodyText1I2"/>
    <w:basedOn w:val="30"/>
    <w:next w:val="1"/>
    <w:qFormat/>
    <w:uiPriority w:val="0"/>
    <w:pPr>
      <w:ind w:firstLine="420"/>
    </w:pPr>
  </w:style>
  <w:style w:type="paragraph" w:customStyle="1" w:styleId="30">
    <w:name w:val="BodyTextIndent"/>
    <w:basedOn w:val="1"/>
    <w:next w:val="1"/>
    <w:qFormat/>
    <w:uiPriority w:val="0"/>
    <w:pPr>
      <w:spacing w:after="120"/>
      <w:ind w:left="420" w:leftChars="200"/>
      <w:textAlignment w:val="baseline"/>
    </w:pPr>
  </w:style>
  <w:style w:type="paragraph" w:customStyle="1" w:styleId="31">
    <w:name w:val="样式 首行缩进:  2 字符"/>
    <w:basedOn w:val="1"/>
    <w:qFormat/>
    <w:uiPriority w:val="0"/>
    <w:pPr>
      <w:spacing w:line="360" w:lineRule="auto"/>
      <w:ind w:firstLine="560"/>
    </w:pPr>
    <w:rPr>
      <w:rFonts w:ascii="宋体" w:hAnsi="宋体" w:cs="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14</Pages>
  <Words>865</Words>
  <Characters>880</Characters>
  <Lines>55</Lines>
  <Paragraphs>15</Paragraphs>
  <TotalTime>7</TotalTime>
  <ScaleCrop>false</ScaleCrop>
  <LinksUpToDate>false</LinksUpToDate>
  <CharactersWithSpaces>880</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2026-07-24T10:17:00Z</dcterms:created>
  <dc:creator>赵彤</dc:creator>
  <cp:lastModifiedBy></cp:lastModifiedBy>
  <dcterms:modified xsi:type="dcterms:W3CDTF">2026-07-27T03:20:05Z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E4F568E74A374C11A60362EB14768931_13</vt:lpwstr>
  </property>
  <property fmtid="{D5CDD505-2E9C-101B-9397-08002B2CF9AE}" pid="4" name="KSOTemplateDocerSaveRecord">
    <vt:lpwstr>eyJoZGlkIjoiMzExMjJiYmYyODQ4MTEzZjc0NjRkZDVmYjA4YTY1MjciLCJ1c2VySWQiOiIxNTcwMjM1NDA4In0=</vt:lpwstr>
  </property>
</Properties>
</file>