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rFonts w:ascii="方正小标宋简体" w:hAnsi="方正小标宋简体" w:eastAsia="方正小标宋简体" w:cs="方正小标宋简体"/>
          <w:bCs/>
          <w:color w:val="000000"/>
          <w:kern w:val="36"/>
          <w:sz w:val="44"/>
          <w:szCs w:val="44"/>
        </w:rPr>
      </w:pPr>
      <w:r>
        <w:rPr>
          <w:rFonts w:hint="eastAsia" w:ascii="方正小标宋简体" w:hAnsi="方正小标宋简体" w:eastAsia="方正小标宋简体" w:cs="方正小标宋简体"/>
          <w:bCs/>
          <w:color w:val="000000"/>
          <w:kern w:val="36"/>
          <w:sz w:val="44"/>
          <w:szCs w:val="44"/>
        </w:rPr>
        <w:t>西海岸新区海洋发展局</w:t>
      </w:r>
    </w:p>
    <w:p>
      <w:pPr>
        <w:widowControl/>
        <w:shd w:val="clear" w:color="auto" w:fill="FFFFFF"/>
        <w:spacing w:line="560" w:lineRule="exact"/>
        <w:jc w:val="center"/>
        <w:outlineLvl w:val="0"/>
        <w:rPr>
          <w:rFonts w:ascii="方正小标宋简体" w:hAnsi="方正小标宋简体" w:eastAsia="方正小标宋简体" w:cs="方正小标宋简体"/>
          <w:bCs/>
          <w:color w:val="000000"/>
          <w:kern w:val="36"/>
          <w:sz w:val="44"/>
          <w:szCs w:val="44"/>
        </w:rPr>
      </w:pPr>
      <w:r>
        <w:rPr>
          <w:rFonts w:hint="eastAsia" w:ascii="方正小标宋简体" w:hAnsi="方正小标宋简体" w:eastAsia="方正小标宋简体" w:cs="方正小标宋简体"/>
          <w:bCs/>
          <w:color w:val="000000"/>
          <w:kern w:val="36"/>
          <w:sz w:val="44"/>
          <w:szCs w:val="44"/>
        </w:rPr>
        <w:t>2019年度行政</w:t>
      </w:r>
      <w:r>
        <w:rPr>
          <w:rFonts w:ascii="方正小标宋简体" w:hAnsi="方正小标宋简体" w:eastAsia="方正小标宋简体" w:cs="方正小标宋简体"/>
          <w:bCs/>
          <w:color w:val="000000"/>
          <w:kern w:val="36"/>
          <w:sz w:val="44"/>
          <w:szCs w:val="44"/>
        </w:rPr>
        <w:t>执法</w:t>
      </w:r>
      <w:r>
        <w:rPr>
          <w:rFonts w:hint="eastAsia" w:ascii="方正小标宋简体" w:hAnsi="方正小标宋简体" w:eastAsia="方正小标宋简体" w:cs="方正小标宋简体"/>
          <w:bCs/>
          <w:color w:val="000000"/>
          <w:kern w:val="36"/>
          <w:sz w:val="44"/>
          <w:szCs w:val="44"/>
        </w:rPr>
        <w:t>总体</w:t>
      </w:r>
      <w:r>
        <w:rPr>
          <w:rFonts w:ascii="方正小标宋简体" w:hAnsi="方正小标宋简体" w:eastAsia="方正小标宋简体" w:cs="方正小标宋简体"/>
          <w:bCs/>
          <w:color w:val="000000"/>
          <w:kern w:val="36"/>
          <w:sz w:val="44"/>
          <w:szCs w:val="44"/>
        </w:rPr>
        <w:t>情况</w:t>
      </w:r>
    </w:p>
    <w:p>
      <w:pPr>
        <w:widowControl/>
        <w:shd w:val="clear" w:color="auto" w:fill="FFFFFF"/>
        <w:spacing w:line="560" w:lineRule="exact"/>
        <w:jc w:val="center"/>
        <w:outlineLvl w:val="0"/>
        <w:rPr>
          <w:rFonts w:cs="宋体" w:asciiTheme="majorEastAsia" w:hAnsiTheme="majorEastAsia" w:eastAsiaTheme="majorEastAsia"/>
          <w:b/>
          <w:color w:val="000000"/>
          <w:kern w:val="36"/>
          <w:sz w:val="32"/>
          <w:szCs w:val="32"/>
        </w:rPr>
      </w:pPr>
    </w:p>
    <w:p>
      <w:pPr>
        <w:widowControl/>
        <w:shd w:val="clear" w:color="auto" w:fill="FFFFFF"/>
        <w:spacing w:line="560" w:lineRule="exact"/>
        <w:ind w:firstLine="640" w:firstLineChars="200"/>
        <w:jc w:val="left"/>
        <w:rPr>
          <w:rFonts w:ascii="仿宋_GB2312" w:hAnsi="仿宋_GB2312" w:eastAsia="仿宋_GB2312" w:cs="仿宋_GB2312"/>
          <w:snapToGrid w:val="0"/>
          <w:sz w:val="32"/>
          <w:szCs w:val="32"/>
        </w:rPr>
      </w:pPr>
      <w:r>
        <w:rPr>
          <w:rFonts w:hint="eastAsia" w:ascii="楷体_GB2312" w:hAnsi="楷体_GB2312" w:eastAsia="楷体_GB2312" w:cs="楷体_GB2312"/>
          <w:snapToGrid w:val="0"/>
          <w:sz w:val="32"/>
          <w:szCs w:val="32"/>
        </w:rPr>
        <w:t>一、夯实依法行政基础，不断提高依法行政水平</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b/>
          <w:bCs/>
          <w:snapToGrid w:val="0"/>
          <w:sz w:val="32"/>
          <w:szCs w:val="32"/>
        </w:rPr>
        <w:t>（一）健全依法行政工作机制。</w:t>
      </w:r>
      <w:r>
        <w:rPr>
          <w:rFonts w:hint="eastAsia" w:ascii="仿宋_GB2312" w:hAnsi="仿宋_GB2312" w:eastAsia="仿宋_GB2312" w:cs="仿宋_GB2312"/>
          <w:snapToGrid w:val="0"/>
          <w:sz w:val="32"/>
          <w:szCs w:val="32"/>
        </w:rPr>
        <w:t>为了加强依法行政组织领导，坚持发挥依法行政工作领导小组工作机制优势，由局长担任组长，作为依法行政第一责任人，局分管领导任副组长，各单位负责人为领导小组成员。坚持一把手负总责，分管领导具体负责，层层抓落实的工作机制，确保圆满完成依法行政工作各项任务。</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b/>
          <w:bCs/>
          <w:snapToGrid w:val="0"/>
          <w:sz w:val="32"/>
          <w:szCs w:val="32"/>
        </w:rPr>
        <w:t>（二）推进行政执法责任制。</w:t>
      </w:r>
      <w:r>
        <w:rPr>
          <w:rFonts w:hint="eastAsia" w:ascii="仿宋_GB2312" w:hAnsi="仿宋_GB2312" w:eastAsia="仿宋_GB2312" w:cs="仿宋_GB2312"/>
          <w:snapToGrid w:val="0"/>
          <w:sz w:val="32"/>
          <w:szCs w:val="32"/>
        </w:rPr>
        <w:t>一是认真做好行政执法职责分解工作，将行政执法责任分解到岗到人。二是进一步梳理行政权责清单进行公开。三是开展了行政执法案卷质量评查活动，要求执法人员认真做好行政执法记录、文书、材料的立卷归档、管理和案卷自查工作。做到行政执法公示、全过程记录、重大行政执法法制审核，全面落实“三个办法”的要求。</w:t>
      </w:r>
    </w:p>
    <w:p>
      <w:pPr>
        <w:widowControl/>
        <w:shd w:val="clear" w:color="auto" w:fill="FFFFFF"/>
        <w:spacing w:line="560" w:lineRule="exact"/>
        <w:ind w:firstLine="640" w:firstLineChars="200"/>
        <w:jc w:val="left"/>
        <w:rPr>
          <w:rFonts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二、强化渔业执法，促进和谐稳定</w:t>
      </w:r>
    </w:p>
    <w:p>
      <w:pPr>
        <w:widowControl/>
        <w:shd w:val="clear" w:color="auto" w:fill="FFFFFF"/>
        <w:spacing w:line="560" w:lineRule="exact"/>
        <w:ind w:firstLine="480"/>
        <w:jc w:val="left"/>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（一）开展清理整治违规渔具专项整治行动</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为严厉打击违法捕捞行为，规范渔具管理秩序，加强渔区生态文明建设，促进渔业可持续发展，根据青岛市《西海岸新区2019年海洋违规渔具清理整治“清网”行动实施方案》要求，创新方式方法，转变工作理念，加大对禁用渔具及违规渔具的整治力度，在渔业港口、渔船停泊点加强日常巡查；对重点海域的巡查常规化和日常化，变被动处理举报为主动出击查处，提高渔政执法工作的主动性。全年共清理违规渔具1200余个，并对2起涉嫌犯罪的案件移交公安部门依法追究刑事责任，有效的打击了非法渔具使用者，保护了海洋资源，得到了省市业务主管部门的充分肯定。</w:t>
      </w:r>
    </w:p>
    <w:p>
      <w:pPr>
        <w:widowControl/>
        <w:shd w:val="clear" w:color="auto" w:fill="FFFFFF"/>
        <w:spacing w:line="560" w:lineRule="exact"/>
        <w:ind w:firstLine="480"/>
        <w:jc w:val="left"/>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（二）伏季休渔管理工作开展平稳有序</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组织管理抓落实。西海岸新区政府历来重视伏季休渔管理工作，多次组织召开会议专题研究部署伏季休渔管理工作，成立了由区海洋与渔业局局长任组长，公安、市场监管、综合执法、各沿海镇等相关单位分管领导组成的伏季休渔管理工作领导小组，协调开展全区的伏季休渔管理工作。</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2、宣传发动抓引导。充分利用宣传车、广播、电视、手机短信、微信等多种媒体平台循环播放和发送休渔政策，共在渔港码头张贴休渔通告3000余份、悬挂宣传横幅26组，增强了渔民遵纪守法意识。</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海陆并举抓执法。在沿海重点位置进行划片管理，设置5个陆域固定检查点，对辖区所有码头开展不间断、高频次、无缝隙的陆地巡查。海上3艘渔政执法船驻守重点海域，根据海上违规渔船的活动规律，灵活变换管理手段，采取“堵、截、查”相结合的方式，在全区5000平方公里的海域上24小时交叉巡航检查。</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整合力量抓联动。成立了由渔业、公安、市场监管、综合执法等部门组成的东西区两个联合执法组，执法人员24小时执勤，对辖区近岸海域、渔港码头、水产品市场、水产品运输车辆、渔船加油站点开展联合执法检查，有力打击渔获物在装卸、运输和流通等各个环节的违规行为。严厉打击不配合执法、阻碍执法、暴力抗法的案件，今年查处暴力抗法1起，渔船主被行政拘留5天，震慑了违规者的气焰，维护了全区的伏季休渔管理秩序。</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伏季休渔期间，陆地出动执法人员5306人次、车辆1621车次，检查渔港码头停泊点83个、渔船2000余艘。海上出动执法人员3258人次、出动渔政船380艘次，检查渔船数467艘、查处违规渔船数383艘，罚款235.545万元，没收渔获物数量3万余公斤，全区伏休秩序稳定。                                                                               </w:t>
      </w:r>
    </w:p>
    <w:p>
      <w:pPr>
        <w:widowControl/>
        <w:shd w:val="clear" w:color="auto" w:fill="FFFFFF"/>
        <w:spacing w:line="560" w:lineRule="exact"/>
        <w:ind w:firstLine="480"/>
        <w:jc w:val="left"/>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（三）严厉查处涉渔“三无”船舶</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直以来，西海岸新区高度重视海洋涉渔“三无”船舶管理工作，先后开展了“三无”渔船排查摸底工作，并制定了《青岛西海岸新区海洋涉渔“三无”船舶整治攻坚行动方案》。在日常及专项执法中，始终把查处涉渔“三无”船舶作为工作的重中之重，按照“全面排查、重点监管、严厉打击、依法规范”的思路，加大海上监督检查力度，严厉打击海洋涉渔“三无”船舶。先后查处从事渔业生产的涉渔“三无”船舶30艘，已全部扣押并按有关规定处理。同时为保障渔船安全，及时管控渔船动态，加大了对北斗终端等通讯导航设备的监督检查。在海上执法检查中，对发现擅自关闭北斗以及市、区通过北斗实时船位动态监控管理平台通报的擅自关闭北斗终端渔船进行了处罚，今年以来，共处理擅自关闭北斗终端设备渔船18起，罚款4.35万元。</w:t>
      </w:r>
    </w:p>
    <w:p>
      <w:pPr>
        <w:widowControl/>
        <w:shd w:val="clear" w:color="auto" w:fill="FFFFFF"/>
        <w:spacing w:line="560" w:lineRule="exact"/>
        <w:ind w:firstLine="480"/>
        <w:jc w:val="left"/>
        <w:rPr>
          <w:rFonts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（四）水产品质量执法工作进一步规范</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为进一步加强水产品质量安全监管，全面推进我区水产品安全健康养殖，扎实开展水产品质量安全专项整治工作，确保各项工作有亮点、有突破、有成效，重点检查养殖企业用药记录、生产记录、销售记录是否真实完整；现场查看药品库，检查是否存在使用禁用药物情况；查看水产苗种生产许可证是否存在证书超期问题。2019年共进行执法检查43次，检查企业及养殖户278家，监督抽检完成246批次样品抽取，抽检合格率均100%。</w:t>
      </w:r>
    </w:p>
    <w:p>
      <w:pPr>
        <w:widowControl/>
        <w:shd w:val="clear" w:color="auto" w:fill="FFFFFF"/>
        <w:spacing w:line="560" w:lineRule="exact"/>
        <w:ind w:firstLine="640" w:firstLineChars="200"/>
        <w:jc w:val="left"/>
        <w:rPr>
          <w:rFonts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三、加强教育培训，建设精干高效的执法队伍</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bookmarkStart w:id="0" w:name="qihoosnap0"/>
      <w:bookmarkEnd w:id="0"/>
      <w:r>
        <w:rPr>
          <w:rFonts w:hint="eastAsia" w:ascii="仿宋_GB2312" w:hAnsi="仿宋_GB2312" w:eastAsia="仿宋_GB2312" w:cs="仿宋_GB2312"/>
          <w:snapToGrid w:val="0"/>
          <w:sz w:val="32"/>
          <w:szCs w:val="32"/>
        </w:rPr>
        <w:t>开展学习培训，组织执法人员采取个人自学、集中学习交流等多种方式，进行了多样化学习教育，派出执法人员35人次参加了农业部、省、市组织的业务学习，利用行政执法证换证契机，积极开展网上学习，集中学习，闭卷考试，合格率达100%，提高了执法人员的业务水平。同时，规范执法行为，强化内部监督、外部制约机制，增强了执法人员的政治责任感、使命感，为建立一支政治过硬、业务精通、纪律严明、作风正派、形象良好的行政执法队伍奠定了基础。</w:t>
      </w:r>
    </w:p>
    <w:p>
      <w:pPr>
        <w:widowControl/>
        <w:shd w:val="clear" w:color="auto" w:fill="FFFFFF"/>
        <w:spacing w:line="560" w:lineRule="exact"/>
        <w:ind w:firstLine="640" w:firstLineChars="200"/>
        <w:jc w:val="left"/>
        <w:rPr>
          <w:rFonts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四、存在问题及下一步工作计划</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2019年，虽然取得了一定成绩，但也存在一些问题，一是执法人员执法办案的能力还需进一步提高；二是个别执法领域业务探索还需进一步加强。针对存在的问题，2020年将主要好抓以下几方面工作：一是继续加强执法人员学习培训，不断提高执法人员的业务水平和依法行政意识；二是建立健全行政执法责任制，规范依法行政的制度和程序，完善依法行政的监督机制；三是抓好队伍的党风廉政建设工作，确保依法行政，树立队伍良好的外部形象。</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p>
    <w:p>
      <w:pPr>
        <w:widowControl/>
        <w:shd w:val="clear" w:color="auto" w:fill="FFFFFF"/>
        <w:spacing w:line="560" w:lineRule="exact"/>
        <w:ind w:firstLine="4883" w:firstLineChars="1526"/>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二〇二〇年二月十八日</w:t>
      </w:r>
    </w:p>
    <w:p>
      <w:pPr>
        <w:widowControl/>
        <w:shd w:val="clear" w:color="auto" w:fill="FFFFFF"/>
        <w:spacing w:line="560" w:lineRule="exact"/>
        <w:ind w:firstLine="480"/>
        <w:jc w:val="left"/>
        <w:rPr>
          <w:rFonts w:ascii="仿宋_GB2312" w:hAnsi="仿宋_GB2312" w:eastAsia="仿宋_GB2312" w:cs="仿宋_GB2312"/>
          <w:snapToGrid w:val="0"/>
          <w:sz w:val="32"/>
          <w:szCs w:val="3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zMzU4MDMwZjY3N2RmNTg0ZWYyODZkODc1YmY5YjkifQ=="/>
  </w:docVars>
  <w:rsids>
    <w:rsidRoot w:val="00162086"/>
    <w:rsid w:val="00020063"/>
    <w:rsid w:val="00162086"/>
    <w:rsid w:val="001F777C"/>
    <w:rsid w:val="002D5D84"/>
    <w:rsid w:val="002F3E08"/>
    <w:rsid w:val="00315FC7"/>
    <w:rsid w:val="00320E58"/>
    <w:rsid w:val="00356705"/>
    <w:rsid w:val="003A3829"/>
    <w:rsid w:val="003F78AA"/>
    <w:rsid w:val="00423CA9"/>
    <w:rsid w:val="005B76B9"/>
    <w:rsid w:val="00603305"/>
    <w:rsid w:val="006125A6"/>
    <w:rsid w:val="00615160"/>
    <w:rsid w:val="00694C51"/>
    <w:rsid w:val="008463C1"/>
    <w:rsid w:val="00940AED"/>
    <w:rsid w:val="00986F2A"/>
    <w:rsid w:val="00A3115E"/>
    <w:rsid w:val="00A9080D"/>
    <w:rsid w:val="00AA5BA9"/>
    <w:rsid w:val="00CE5F55"/>
    <w:rsid w:val="00D15ACD"/>
    <w:rsid w:val="00D9738B"/>
    <w:rsid w:val="00DE0401"/>
    <w:rsid w:val="00F12369"/>
    <w:rsid w:val="00F97385"/>
    <w:rsid w:val="300F2BCF"/>
    <w:rsid w:val="38445F0A"/>
    <w:rsid w:val="6F630520"/>
    <w:rsid w:val="70861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jc w:val="left"/>
      <w:outlineLvl w:val="0"/>
    </w:pPr>
    <w:rPr>
      <w:rFonts w:ascii="宋体" w:hAnsi="宋体" w:eastAsia="宋体" w:cs="宋体"/>
      <w:color w:val="000000"/>
      <w:kern w:val="36"/>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line="432" w:lineRule="auto"/>
      <w:jc w:val="left"/>
    </w:pPr>
    <w:rPr>
      <w:rFonts w:ascii="宋体" w:hAnsi="宋体" w:eastAsia="宋体" w:cs="宋体"/>
      <w:color w:val="000000"/>
      <w:kern w:val="0"/>
      <w:sz w:val="24"/>
      <w:szCs w:val="24"/>
    </w:rPr>
  </w:style>
  <w:style w:type="character" w:styleId="8">
    <w:name w:val="Strong"/>
    <w:basedOn w:val="7"/>
    <w:qFormat/>
    <w:uiPriority w:val="22"/>
    <w:rPr>
      <w:b/>
      <w:bCs/>
    </w:rPr>
  </w:style>
  <w:style w:type="character" w:customStyle="1" w:styleId="9">
    <w:name w:val="标题 1 字符"/>
    <w:basedOn w:val="7"/>
    <w:link w:val="2"/>
    <w:qFormat/>
    <w:uiPriority w:val="9"/>
    <w:rPr>
      <w:rFonts w:ascii="宋体" w:hAnsi="宋体" w:eastAsia="宋体" w:cs="宋体"/>
      <w:color w:val="000000"/>
      <w:kern w:val="36"/>
      <w:sz w:val="24"/>
      <w:szCs w:val="24"/>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2290</Words>
  <Characters>2359</Characters>
  <Lines>17</Lines>
  <Paragraphs>4</Paragraphs>
  <TotalTime>3</TotalTime>
  <ScaleCrop>false</ScaleCrop>
  <LinksUpToDate>false</LinksUpToDate>
  <CharactersWithSpaces>2438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2020-12-09T07:36:00Z</dcterms:created>
  <dc:creator>微软用户</dc:creator>
  <cp:lastModifiedBy>这</cp:lastModifiedBy>
  <dcterms:modified xsi:type="dcterms:W3CDTF">2023-10-18T07:29:20Z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126DD47EBB764F6380E5C40B65DB1E60_12</vt:lpwstr>
  </property>
</Properties>
</file>