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微软雅黑" w:hAnsi="微软雅黑" w:eastAsia="微软雅黑" w:cs="微软雅黑"/>
          <w:i w:val="0"/>
          <w:caps w:val="0"/>
          <w:color w:val="333333"/>
          <w:spacing w:val="0"/>
          <w:sz w:val="45"/>
          <w:szCs w:val="45"/>
          <w:shd w:val="clear" w:fill="FFFFFF"/>
        </w:rPr>
      </w:pPr>
      <w:bookmarkStart w:id="0" w:name="_GoBack"/>
      <w:bookmarkEnd w:id="0"/>
      <w:r>
        <w:rPr>
          <w:rFonts w:ascii="微软雅黑" w:hAnsi="微软雅黑" w:eastAsia="微软雅黑" w:cs="微软雅黑"/>
          <w:i w:val="0"/>
          <w:caps w:val="0"/>
          <w:color w:val="333333"/>
          <w:spacing w:val="0"/>
          <w:sz w:val="45"/>
          <w:szCs w:val="45"/>
          <w:shd w:val="clear" w:fill="FFFFFF"/>
        </w:rPr>
        <w:t>青岛西海岸新区</w:t>
      </w:r>
      <w:r>
        <w:rPr>
          <w:rFonts w:hint="eastAsia" w:ascii="微软雅黑" w:hAnsi="微软雅黑" w:eastAsia="微软雅黑" w:cs="微软雅黑"/>
          <w:i w:val="0"/>
          <w:caps w:val="0"/>
          <w:color w:val="333333"/>
          <w:spacing w:val="0"/>
          <w:sz w:val="45"/>
          <w:szCs w:val="45"/>
          <w:shd w:val="clear" w:fill="FFFFFF"/>
          <w:lang w:eastAsia="zh-CN"/>
        </w:rPr>
        <w:t>民族宗教事务</w:t>
      </w:r>
      <w:r>
        <w:rPr>
          <w:rFonts w:ascii="微软雅黑" w:hAnsi="微软雅黑" w:eastAsia="微软雅黑" w:cs="微软雅黑"/>
          <w:i w:val="0"/>
          <w:caps w:val="0"/>
          <w:color w:val="333333"/>
          <w:spacing w:val="0"/>
          <w:sz w:val="45"/>
          <w:szCs w:val="45"/>
          <w:shd w:val="clear" w:fill="FFFFFF"/>
        </w:rPr>
        <w:t>局行政执法岗位职责清单</w:t>
      </w:r>
    </w:p>
    <w:tbl>
      <w:tblPr>
        <w:tblW w:w="13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150" w:type="dxa"/>
          <w:bottom w:w="0" w:type="dxa"/>
          <w:right w:w="150" w:type="dxa"/>
        </w:tblCellMar>
      </w:tblPr>
      <w:tblGrid>
        <w:gridCol w:w="902"/>
        <w:gridCol w:w="1991"/>
        <w:gridCol w:w="1089"/>
        <w:gridCol w:w="2710"/>
        <w:gridCol w:w="663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150" w:type="dxa"/>
            <w:bottom w:w="0" w:type="dxa"/>
            <w:right w:w="150" w:type="dxa"/>
          </w:tblCellMar>
        </w:tblPrEx>
        <w:trPr>
          <w:trHeight w:val="285" w:hRule="atLeast"/>
          <w:jc w:val="center"/>
        </w:trPr>
        <w:tc>
          <w:tcPr>
            <w:tcW w:w="90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color w:val="333333"/>
                <w:sz w:val="24"/>
                <w:szCs w:val="24"/>
              </w:rPr>
            </w:pPr>
            <w:r>
              <w:rPr>
                <w:rStyle w:val="5"/>
                <w:rFonts w:hint="eastAsia" w:ascii="宋体" w:hAnsi="宋体" w:eastAsia="宋体" w:cs="宋体"/>
                <w:i w:val="0"/>
                <w:caps w:val="0"/>
                <w:color w:val="333333"/>
                <w:spacing w:val="0"/>
                <w:sz w:val="24"/>
                <w:szCs w:val="24"/>
                <w:bdr w:val="none" w:color="auto" w:sz="0" w:space="0"/>
              </w:rPr>
              <w:t>科室名称</w:t>
            </w: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color w:val="333333"/>
                <w:sz w:val="24"/>
                <w:szCs w:val="24"/>
              </w:rPr>
            </w:pPr>
            <w:r>
              <w:rPr>
                <w:rStyle w:val="5"/>
                <w:rFonts w:hint="eastAsia" w:ascii="宋体" w:hAnsi="宋体" w:eastAsia="宋体" w:cs="宋体"/>
                <w:i w:val="0"/>
                <w:caps w:val="0"/>
                <w:color w:val="333333"/>
                <w:spacing w:val="0"/>
                <w:sz w:val="24"/>
                <w:szCs w:val="24"/>
                <w:bdr w:val="none" w:color="auto" w:sz="0" w:space="0"/>
              </w:rPr>
              <w:t>科室职责</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Style w:val="5"/>
                <w:rFonts w:hint="eastAsia" w:ascii="宋体" w:hAnsi="宋体" w:eastAsia="宋体" w:cs="宋体"/>
                <w:i w:val="0"/>
                <w:caps w:val="0"/>
                <w:color w:val="333333"/>
                <w:spacing w:val="0"/>
                <w:sz w:val="24"/>
                <w:szCs w:val="24"/>
                <w:bdr w:val="none" w:color="auto" w:sz="0" w:space="0"/>
              </w:rPr>
            </w:pPr>
            <w:r>
              <w:rPr>
                <w:rStyle w:val="5"/>
                <w:rFonts w:hint="eastAsia" w:ascii="宋体" w:hAnsi="宋体" w:eastAsia="宋体" w:cs="宋体"/>
                <w:i w:val="0"/>
                <w:caps w:val="0"/>
                <w:color w:val="333333"/>
                <w:spacing w:val="0"/>
                <w:sz w:val="24"/>
                <w:szCs w:val="24"/>
                <w:bdr w:val="none" w:color="auto" w:sz="0" w:space="0"/>
              </w:rPr>
              <w:t>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color w:val="333333"/>
                <w:sz w:val="24"/>
                <w:szCs w:val="24"/>
              </w:rPr>
            </w:pPr>
            <w:r>
              <w:rPr>
                <w:rStyle w:val="5"/>
                <w:rFonts w:hint="eastAsia" w:ascii="宋体" w:hAnsi="宋体" w:eastAsia="宋体" w:cs="宋体"/>
                <w:i w:val="0"/>
                <w:caps w:val="0"/>
                <w:color w:val="333333"/>
                <w:spacing w:val="0"/>
                <w:sz w:val="24"/>
                <w:szCs w:val="24"/>
                <w:bdr w:val="none" w:color="auto" w:sz="0" w:space="0"/>
              </w:rPr>
              <w:t>类别</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Style w:val="5"/>
                <w:rFonts w:hint="eastAsia" w:ascii="宋体" w:hAnsi="宋体" w:eastAsia="宋体" w:cs="宋体"/>
                <w:i w:val="0"/>
                <w:caps w:val="0"/>
                <w:color w:val="333333"/>
                <w:spacing w:val="0"/>
                <w:sz w:val="24"/>
                <w:szCs w:val="24"/>
                <w:bdr w:val="none" w:color="auto" w:sz="0" w:space="0"/>
              </w:rPr>
            </w:pPr>
            <w:r>
              <w:rPr>
                <w:rStyle w:val="5"/>
                <w:rFonts w:hint="eastAsia" w:ascii="宋体" w:hAnsi="宋体" w:eastAsia="宋体" w:cs="宋体"/>
                <w:i w:val="0"/>
                <w:caps w:val="0"/>
                <w:color w:val="333333"/>
                <w:spacing w:val="0"/>
                <w:sz w:val="24"/>
                <w:szCs w:val="24"/>
                <w:shd w:val="clear" w:fill="FFFFFF"/>
              </w:rPr>
              <w:t>实施权限</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Theme="minorHAnsi" w:hAnsiTheme="minorHAnsi" w:eastAsiaTheme="minorEastAsia" w:cstheme="minorBidi"/>
                <w:color w:val="333333"/>
                <w:kern w:val="0"/>
                <w:sz w:val="24"/>
                <w:szCs w:val="24"/>
                <w:lang w:val="en-US" w:eastAsia="zh-CN" w:bidi="ar"/>
              </w:rPr>
            </w:pPr>
            <w:r>
              <w:rPr>
                <w:rStyle w:val="5"/>
                <w:rFonts w:hint="eastAsia" w:ascii="宋体" w:hAnsi="宋体" w:eastAsia="宋体" w:cs="宋体"/>
                <w:i w:val="0"/>
                <w:caps w:val="0"/>
                <w:color w:val="333333"/>
                <w:spacing w:val="0"/>
                <w:sz w:val="24"/>
                <w:szCs w:val="24"/>
              </w:rPr>
              <w:t>岗位职责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restart"/>
            <w:tcBorders>
              <w:top w:val="single" w:color="auto" w:sz="6" w:space="0"/>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Fonts w:hint="eastAsia" w:ascii="Verdana" w:hAnsi="Verdana" w:eastAsia="宋体" w:cs="Verdana"/>
                <w:i w:val="0"/>
                <w:color w:val="000000"/>
                <w:kern w:val="0"/>
                <w:sz w:val="20"/>
                <w:szCs w:val="20"/>
                <w:u w:val="none"/>
                <w:lang w:val="en-US" w:eastAsia="zh-CN" w:bidi="ar"/>
              </w:rPr>
            </w:pPr>
            <w:r>
              <w:rPr>
                <w:rFonts w:hint="eastAsia" w:ascii="Verdana" w:hAnsi="Verdana" w:eastAsia="宋体" w:cs="Verdana"/>
                <w:i w:val="0"/>
                <w:color w:val="000000"/>
                <w:kern w:val="0"/>
                <w:sz w:val="20"/>
                <w:szCs w:val="20"/>
                <w:u w:val="none"/>
                <w:lang w:val="en-US" w:eastAsia="zh-CN" w:bidi="ar"/>
              </w:rPr>
              <w:t>民族宗教科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对宗教团体、宗教院校或者宗教活动场所有宣扬支持资助宗教极端主义等行为情节严重的处罚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级行政区域内宗教团体、宗教院校或者宗教活动场所有宣扬支持资助宗教极端主义等行为情节严重的处罚。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r>
              <w:rPr>
                <w:rFonts w:hint="default" w:ascii="Verdana" w:hAnsi="Verdana" w:eastAsia="宋体" w:cs="Verdana"/>
                <w:i w:val="0"/>
                <w:color w:val="000000"/>
                <w:kern w:val="0"/>
                <w:sz w:val="20"/>
                <w:szCs w:val="20"/>
                <w:u w:val="none"/>
                <w:lang w:val="en-US" w:eastAsia="zh-CN" w:bidi="ar"/>
              </w:rPr>
              <w:t>对擅自举行大型宗教活动的处罚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级行政区域内擅自举行大型宗教活动的处罚。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对宗教团体、宗教院校、宗教活动场所未按规定办理变更登记或者备案手续等行为的处罚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级行政区域内宗教团体、宗教活动场所未按规定办理成立、变更、注销登记手续的处罚。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对宗教团体、宗教院校、宗教活动场所违反国家有关规定接受境外组织和个人捐赠的处罚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级行政区域内宗教团体、宗教活动场所违反国家有关规定接受境外组织和个人捐赠的处罚。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对宗教临时活动地点的活动违反相关规定的处罚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级行政区域内违规设立宗教临时活动地点的处罚。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对宗教团体、宗教院校、宗教活动场所违反国家有关财税规定，情节严重行为的处罚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级行政区域内宗教团体、宗教活动违反国家有关财税规定，情节严重行为的处罚。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对违规印刷宗教内容的内部资料性出版物和宗教用品的处罚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级行政区域内违规印刷宗教内容的内部资料性出版物和宗教用品的处罚。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对擅自设立宗教活动场所，宗教活动场所已被撤销登记或者吊销登记证书仍然进行宗教活动，或者擅自设立宗教院校的处罚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级行政区域内擅自设立宗教活动场所，宗教活动场所已被撤销登记或者吊销登记证书仍然进行宗教活动，或者擅自设立宗教院校的处罚。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对非宗教团体、非宗教院校、非宗教活动场所、非指定的临时活动地点、举行宗教活动，接受宗教性捐赠的处罚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级行政区域内非宗教团体、非宗教院校、非宗教活动场所、非指定的临时活动地点组织、举行宗教活动，接受宗教性捐赠的处罚。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对擅自组织公民出境参加宗教方面的培训、会议、朝觐等活动，或者擅自开展宗教教育培训的处罚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级行政区域内擅自组织公民出境参加宗教方面的培训、会议、朝觐等活动，或者擅自开展宗教教育培训的处罚。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指导监督责任: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对为违法宗教活动提供条件的处罚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级行政区域内为违法宗教活动提供条件的处罚。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对违规修建大型露天宗教造像的处罚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级行政区域内违规修建大型露天宗教造像的处罚。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对投资、承包经营宗教活动场所或者大型露天宗教造像的处罚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级行政区域内投资、承包经营宗教活动场所或者大型露天宗教造像的处罚。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对宗教教职人员违反相关规定的处罚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级行政区域内宗教教职人员违反相关规定的处罚。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对假冒宗教教职人员的行政处罚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级行政区域内假冒宗教教职人员的处罚。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对未经批准在宗教活动场所内新建、改建、扩建、拆除建筑物或擅自设立宗教设施的处罚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级行政区域内相关行为的处罚。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对违规修建宗教标志物的处罚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级行政区域内违规修建宗教标志物的处罚。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0" w:type="dxa"/>
            <w:right w:w="150" w:type="dxa"/>
          </w:tblCellMar>
        </w:tblPrEx>
        <w:trPr>
          <w:trHeight w:val="285" w:hRule="atLeast"/>
          <w:jc w:val="center"/>
        </w:trPr>
        <w:tc>
          <w:tcPr>
            <w:tcW w:w="902" w:type="dxa"/>
            <w:vMerge w:val="continue"/>
            <w:tcBorders>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rPr>
                <w:rStyle w:val="5"/>
                <w:rFonts w:hint="eastAsia" w:ascii="宋体" w:hAnsi="宋体" w:eastAsia="宋体" w:cs="宋体"/>
                <w:i w:val="0"/>
                <w:caps w:val="0"/>
                <w:color w:val="333333"/>
                <w:spacing w:val="0"/>
                <w:sz w:val="24"/>
                <w:szCs w:val="24"/>
                <w:bdr w:val="none" w:color="auto" w:sz="0" w:space="0"/>
              </w:rPr>
            </w:pPr>
          </w:p>
        </w:tc>
        <w:tc>
          <w:tcPr>
            <w:tcW w:w="1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对违法生产经营清真食品活动的处罚</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both"/>
              <w:rPr>
                <w:rFonts w:hint="eastAsia"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行政处罚</w:t>
            </w:r>
          </w:p>
        </w:tc>
        <w:tc>
          <w:tcPr>
            <w:tcW w:w="27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Verdana" w:hAnsi="Verdana" w:eastAsia="宋体" w:cs="Verdana"/>
                <w:i w:val="0"/>
                <w:color w:val="000000"/>
                <w:kern w:val="0"/>
                <w:sz w:val="20"/>
                <w:szCs w:val="20"/>
                <w:u w:val="none"/>
                <w:lang w:val="en-US" w:eastAsia="zh-CN" w:bidi="ar"/>
              </w:rPr>
            </w:pPr>
            <w:r>
              <w:rPr>
                <w:rFonts w:hint="default" w:ascii="Verdana" w:hAnsi="Verdana" w:eastAsia="宋体" w:cs="Verdana"/>
                <w:i w:val="0"/>
                <w:color w:val="000000"/>
                <w:kern w:val="0"/>
                <w:sz w:val="20"/>
                <w:szCs w:val="20"/>
                <w:u w:val="none"/>
                <w:lang w:val="en-US" w:eastAsia="zh-CN" w:bidi="ar"/>
              </w:rPr>
              <w:t>负责</w:t>
            </w:r>
            <w:r>
              <w:rPr>
                <w:rFonts w:hint="eastAsia" w:ascii="Verdana" w:hAnsi="Verdana" w:eastAsia="宋体" w:cs="Verdana"/>
                <w:i w:val="0"/>
                <w:color w:val="000000"/>
                <w:kern w:val="0"/>
                <w:sz w:val="20"/>
                <w:szCs w:val="20"/>
                <w:u w:val="none"/>
                <w:lang w:val="en-US" w:eastAsia="zh-CN" w:bidi="ar"/>
              </w:rPr>
              <w:t>本</w:t>
            </w:r>
            <w:r>
              <w:rPr>
                <w:rFonts w:hint="default" w:ascii="Verdana" w:hAnsi="Verdana" w:eastAsia="宋体" w:cs="Verdana"/>
                <w:i w:val="0"/>
                <w:color w:val="000000"/>
                <w:kern w:val="0"/>
                <w:sz w:val="20"/>
                <w:szCs w:val="20"/>
                <w:u w:val="none"/>
                <w:lang w:val="en-US" w:eastAsia="zh-CN" w:bidi="ar"/>
              </w:rPr>
              <w:t>级行政区域内违法生产经营清真食品行为的处罚。</w:t>
            </w:r>
          </w:p>
        </w:tc>
        <w:tc>
          <w:tcPr>
            <w:tcW w:w="66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240" w:lineRule="auto"/>
              <w:jc w:val="both"/>
              <w:textAlignment w:val="center"/>
              <w:rPr>
                <w:rFonts w:hint="default" w:ascii="Verdana" w:hAnsi="Verdana" w:eastAsia="宋体" w:cs="Verdana"/>
                <w:i w:val="0"/>
                <w:color w:val="000000"/>
                <w:kern w:val="2"/>
                <w:sz w:val="20"/>
                <w:szCs w:val="20"/>
                <w:u w:val="none"/>
                <w:lang w:val="en-US" w:eastAsia="zh-CN" w:bidi="ar-SA"/>
              </w:rPr>
            </w:pPr>
            <w:r>
              <w:rPr>
                <w:rFonts w:hint="default" w:ascii="Verdana" w:hAnsi="Verdana" w:eastAsia="宋体" w:cs="Verdana"/>
                <w:i w:val="0"/>
                <w:color w:val="000000"/>
                <w:kern w:val="0"/>
                <w:sz w:val="20"/>
                <w:szCs w:val="20"/>
                <w:u w:val="none"/>
                <w:lang w:val="en-US" w:eastAsia="zh-CN" w:bidi="ar"/>
              </w:rPr>
              <w:t xml:space="preserve">直接实施责任: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 xml:space="preserve">1.执行省市级制定的行政处罚标准规范，也可结合本地实际，细化、量化行政处罚裁量基准的具体标准。建立健全对行政处罚的监督制度。 </w:t>
            </w:r>
            <w:r>
              <w:rPr>
                <w:rFonts w:hint="default" w:ascii="Verdana" w:hAnsi="Verdana" w:eastAsia="宋体" w:cs="Verdana"/>
                <w:i w:val="0"/>
                <w:color w:val="000000"/>
                <w:kern w:val="0"/>
                <w:sz w:val="20"/>
                <w:szCs w:val="20"/>
                <w:u w:val="none"/>
                <w:lang w:val="en-US" w:eastAsia="zh-CN" w:bidi="ar"/>
              </w:rPr>
              <w:br w:type="textWrapping"/>
            </w:r>
            <w:r>
              <w:rPr>
                <w:rFonts w:hint="default" w:ascii="Verdana" w:hAnsi="Verdana" w:eastAsia="宋体" w:cs="Verdana"/>
                <w:i w:val="0"/>
                <w:color w:val="000000"/>
                <w:kern w:val="0"/>
                <w:sz w:val="20"/>
                <w:szCs w:val="20"/>
                <w:u w:val="none"/>
                <w:lang w:val="en-US" w:eastAsia="zh-CN" w:bidi="ar"/>
              </w:rPr>
              <w:t>2.依法依规实施本级行政处罚事项，做出的行政处罚决定应当予以公开。</w:t>
            </w:r>
          </w:p>
        </w:tc>
      </w:tr>
    </w:tbl>
    <w:p>
      <w:pPr>
        <w:rPr>
          <w:rFonts w:ascii="微软雅黑" w:hAnsi="微软雅黑" w:eastAsia="微软雅黑" w:cs="微软雅黑"/>
          <w:i w:val="0"/>
          <w:caps w:val="0"/>
          <w:color w:val="333333"/>
          <w:spacing w:val="0"/>
          <w:sz w:val="45"/>
          <w:szCs w:val="45"/>
          <w:shd w:val="clear"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302E9"/>
    <w:rsid w:val="0DFF4E4B"/>
    <w:rsid w:val="27BA1AF0"/>
    <w:rsid w:val="2A36129A"/>
    <w:rsid w:val="544812FA"/>
    <w:rsid w:val="54AA57AB"/>
    <w:rsid w:val="758B4CF6"/>
    <w:rsid w:val="7E174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2023-02-13T08:13:00Z</dcterms:created>
  <dc:creator>Administrator</dc:creator>
  <cp:lastModifiedBy>Administrator</cp:lastModifiedBy>
  <dcterms:modified xsi:type="dcterms:W3CDTF">2023-02-16T08:29:41Z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