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24" w:firstLineChars="200"/>
        <w:rPr>
          <w:rFonts w:ascii="黑体" w:eastAsia="黑体"/>
          <w:spacing w:val="-4"/>
          <w:sz w:val="32"/>
          <w:szCs w:val="32"/>
        </w:rPr>
      </w:pPr>
      <w:r>
        <w:rPr>
          <w:rFonts w:ascii="黑体" w:eastAsia="黑体"/>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903605</wp:posOffset>
                </wp:positionV>
                <wp:extent cx="5600700" cy="690245"/>
                <wp:effectExtent l="0" t="0" r="0" b="14605"/>
                <wp:wrapNone/>
                <wp:docPr id="1" name="文本框 2"/>
                <wp:cNvGraphicFramePr/>
                <a:graphic xmlns:a="http://schemas.openxmlformats.org/drawingml/2006/main">
                  <a:graphicData uri="http://schemas.microsoft.com/office/word/2010/wordprocessingShape">
                    <wps:wsp>
                      <wps:cNvSpPr txBox="1"/>
                      <wps:spPr>
                        <a:xfrm>
                          <a:off x="0" y="0"/>
                          <a:ext cx="5600700" cy="690245"/>
                        </a:xfrm>
                        <a:prstGeom prst="rect">
                          <a:avLst/>
                        </a:prstGeom>
                        <a:solidFill>
                          <a:srgbClr val="FFFFFF"/>
                        </a:solidFill>
                        <a:ln>
                          <a:noFill/>
                        </a:ln>
                      </wps:spPr>
                      <wps:txbx>
                        <w:txbxContent>
                          <w:p>
                            <w:pPr>
                              <w:jc w:val="center"/>
                              <w:rPr>
                                <w:szCs w:val="52"/>
                              </w:rPr>
                            </w:pPr>
                            <w:r>
                              <w:rPr>
                                <w:rFonts w:hint="eastAsia" w:ascii="方正小标宋_GBK" w:eastAsia="方正小标宋_GBK"/>
                                <w:color w:val="FF0000"/>
                                <w:spacing w:val="187"/>
                                <w:kern w:val="0"/>
                                <w:sz w:val="52"/>
                                <w:szCs w:val="52"/>
                                <w:fitText w:val="8580" w:id="4084472"/>
                              </w:rPr>
                              <w:t>青岛西海岸新区审计</w:t>
                            </w:r>
                            <w:r>
                              <w:rPr>
                                <w:rFonts w:hint="eastAsia" w:ascii="方正小标宋_GBK" w:eastAsia="方正小标宋_GBK"/>
                                <w:color w:val="FF0000"/>
                                <w:spacing w:val="7"/>
                                <w:kern w:val="0"/>
                                <w:sz w:val="52"/>
                                <w:szCs w:val="52"/>
                                <w:fitText w:val="8580" w:id="4084472"/>
                              </w:rPr>
                              <w:t>局</w:t>
                            </w:r>
                          </w:p>
                        </w:txbxContent>
                      </wps:txbx>
                      <wps:bodyPr lIns="18000" tIns="3600" rIns="18000" bIns="3600" upright="1"/>
                    </wps:wsp>
                  </a:graphicData>
                </a:graphic>
              </wp:anchor>
            </w:drawing>
          </mc:Choice>
          <mc:Fallback>
            <w:pict>
              <v:shape id="文本框 2" o:spid="_x0000_s1026" o:spt="202" type="#_x0000_t202" style="position:absolute;left:0pt;margin-left:0pt;margin-top:71.15pt;height:54.35pt;width:441pt;mso-position-vertical-relative:page;z-index:251659264;mso-width-relative:page;mso-height-relative:page;" fillcolor="#FFFFFF" filled="t" stroked="f" coordsize="21600,21600" o:gfxdata="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xdf+1wAAAAgBAAAPAAAAAAAAAAEAIAAA&#10;ACIAAABkcnMvZG93bnJldi54bWxQSwECFAAUAAAACACHTuJAV0GaBtQBAACpAwAADgAAAAAAAAAB&#10;ACAAAAAmAQAAZHJzL2Uyb0RvYy54bWxQSwUGAAAAAAYABgBZAQAAbAUAAAAA&#10;">
                <v:fill on="t" focussize="0,0"/>
                <v:stroke on="f"/>
                <v:imagedata o:title=""/>
                <o:lock v:ext="edit" aspectratio="f"/>
                <v:textbox inset="0.5mm,0.1mm,0.5mm,0.1mm">
                  <w:txbxContent>
                    <w:p>
                      <w:pPr>
                        <w:jc w:val="center"/>
                        <w:rPr>
                          <w:szCs w:val="52"/>
                        </w:rPr>
                      </w:pPr>
                      <w:r>
                        <w:rPr>
                          <w:rFonts w:hint="eastAsia" w:ascii="方正小标宋_GBK" w:eastAsia="方正小标宋_GBK"/>
                          <w:color w:val="FF0000"/>
                          <w:spacing w:val="187"/>
                          <w:kern w:val="0"/>
                          <w:sz w:val="52"/>
                          <w:szCs w:val="52"/>
                          <w:fitText w:val="8580" w:id="4084472"/>
                        </w:rPr>
                        <w:t>青岛西海岸新区审计</w:t>
                      </w:r>
                      <w:r>
                        <w:rPr>
                          <w:rFonts w:hint="eastAsia" w:ascii="方正小标宋_GBK" w:eastAsia="方正小标宋_GBK"/>
                          <w:color w:val="FF0000"/>
                          <w:spacing w:val="7"/>
                          <w:kern w:val="0"/>
                          <w:sz w:val="52"/>
                          <w:szCs w:val="52"/>
                          <w:fitText w:val="8580" w:id="4084472"/>
                        </w:rPr>
                        <w:t>局</w:t>
                      </w:r>
                    </w:p>
                  </w:txbxContent>
                </v:textbox>
              </v:shape>
            </w:pict>
          </mc:Fallback>
        </mc:AlternateContent>
      </w:r>
    </w:p>
    <w:p>
      <w:pPr>
        <w:spacing w:line="560" w:lineRule="exact"/>
        <w:ind w:firstLine="624" w:firstLineChars="200"/>
        <w:rPr>
          <w:rFonts w:ascii="方正小标宋_GBK" w:hAnsi="文星标宋" w:eastAsia="方正小标宋_GBK"/>
          <w:sz w:val="44"/>
        </w:rPr>
      </w:pPr>
      <w:r>
        <w:rPr>
          <w:rFonts w:ascii="黑体" w:eastAsia="黑体"/>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ge">
                  <wp:posOffset>1681480</wp:posOffset>
                </wp:positionV>
                <wp:extent cx="6120130" cy="0"/>
                <wp:effectExtent l="0" t="28575" r="13970" b="28575"/>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75pt;margin-top:132.4pt;height:0pt;width:481.9pt;mso-position-vertical-relative:page;z-index:251660288;mso-width-relative:page;mso-height-relative:page;" filled="f" stroked="t" coordsize="21600,21600" o:gfxdata="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AzPttYAAAALAQAADwAAAAAAAAABACAAAAAiAAAAZHJzL2Rvd25yZXYueG1sUEsBAhQAFAAAAAgA&#10;h07iQFU/ipruAQAA4gMAAA4AAAAAAAAAAQAgAAAAJQEAAGRycy9lMm9Eb2MueG1sUEsFBgAAAAAG&#10;AAYAWQEAAIUFAAAAAA==&#10;">
                <v:fill on="f" focussize="0,0"/>
                <v:stroke weight="4.5pt" color="#FF0000" linestyle="thickThin" joinstyle="round"/>
                <v:imagedata o:title=""/>
                <o:lock v:ext="edit" aspectratio="f"/>
              </v:line>
            </w:pict>
          </mc:Fallback>
        </mc:AlternateContent>
      </w:r>
    </w:p>
    <w:p>
      <w:pPr>
        <w:spacing w:line="560" w:lineRule="exact"/>
        <w:ind w:firstLine="880" w:firstLineChars="200"/>
        <w:jc w:val="center"/>
        <w:rPr>
          <w:rFonts w:ascii="方正小标宋_GBK" w:hAnsi="文星标宋" w:eastAsia="方正小标宋_GBK"/>
          <w:sz w:val="44"/>
        </w:rPr>
      </w:pPr>
      <w:r>
        <w:rPr>
          <w:rFonts w:hint="eastAsia" w:ascii="方正小标宋_GBK" w:hAnsi="文星标宋" w:eastAsia="方正小标宋_GBK"/>
          <w:sz w:val="44"/>
        </w:rPr>
        <w:t>青岛西海岸新区审计局</w:t>
      </w:r>
    </w:p>
    <w:p>
      <w:pPr>
        <w:spacing w:line="560" w:lineRule="exact"/>
        <w:ind w:firstLine="880" w:firstLineChars="200"/>
        <w:jc w:val="center"/>
        <w:rPr>
          <w:rFonts w:ascii="方正小标宋_GBK" w:eastAsia="方正小标宋_GBK"/>
          <w:sz w:val="44"/>
        </w:rPr>
      </w:pPr>
      <w:r>
        <w:rPr>
          <w:rFonts w:hint="eastAsia" w:ascii="方正小标宋_GBK" w:hAnsi="文星标宋" w:eastAsia="方正小标宋_GBK"/>
          <w:sz w:val="44"/>
        </w:rPr>
        <w:t>2021年</w:t>
      </w:r>
      <w:r>
        <w:rPr>
          <w:rFonts w:hint="eastAsia" w:ascii="方正小标宋_GBK" w:hAnsi="文星标宋" w:eastAsia="方正小标宋_GBK"/>
          <w:sz w:val="44"/>
          <w:lang w:eastAsia="zh-CN"/>
        </w:rPr>
        <w:t>度行政执法统计</w:t>
      </w:r>
      <w:r>
        <w:rPr>
          <w:rFonts w:hint="eastAsia" w:ascii="方正小标宋_GBK" w:hAnsi="文星标宋" w:eastAsia="方正小标宋_GBK"/>
          <w:sz w:val="44"/>
        </w:rPr>
        <w:t>报告</w:t>
      </w:r>
    </w:p>
    <w:p>
      <w:pPr>
        <w:spacing w:line="560" w:lineRule="exact"/>
        <w:ind w:firstLine="880" w:firstLineChars="200"/>
        <w:jc w:val="center"/>
        <w:rPr>
          <w:rFonts w:ascii="宋体"/>
          <w:sz w:val="44"/>
        </w:rPr>
      </w:pPr>
    </w:p>
    <w:p>
      <w:pPr>
        <w:spacing w:line="560" w:lineRule="exact"/>
        <w:ind w:firstLine="640" w:firstLineChars="200"/>
        <w:rPr>
          <w:rFonts w:hint="eastAsia" w:ascii="仿宋_GB2312" w:hAnsi="文星仿宋" w:eastAsia="仿宋_GB2312"/>
          <w:sz w:val="32"/>
        </w:rPr>
      </w:pPr>
      <w:r>
        <w:rPr>
          <w:rFonts w:hint="eastAsia" w:ascii="仿宋_GB2312" w:hAnsi="文星仿宋" w:eastAsia="仿宋_GB2312"/>
          <w:sz w:val="32"/>
        </w:rPr>
        <w:t>今年以来，在区工委全面依法治区委员会办公室的领导下，我局以习近平新时代中国特色社会主义思想为指导，</w:t>
      </w:r>
      <w:r>
        <w:rPr>
          <w:rFonts w:hint="eastAsia" w:ascii="仿宋_GB2312" w:hAnsi="文星仿宋" w:eastAsia="仿宋_GB2312"/>
          <w:snapToGrid w:val="0"/>
          <w:kern w:val="0"/>
          <w:sz w:val="32"/>
          <w:szCs w:val="32"/>
        </w:rPr>
        <w:t>深入学习贯彻十九大和十九届五中、六中全会精神，</w:t>
      </w:r>
      <w:r>
        <w:rPr>
          <w:rFonts w:hint="eastAsia" w:ascii="仿宋_GB2312" w:hAnsi="黑体" w:eastAsia="仿宋_GB2312" w:cs="仿宋_GB2312"/>
          <w:kern w:val="0"/>
          <w:sz w:val="32"/>
          <w:szCs w:val="32"/>
        </w:rPr>
        <w:t>紧紧围绕工委区委总体思路，全面落实“攻坚突破年”要求，认真履行审计监督职责，</w:t>
      </w:r>
      <w:r>
        <w:rPr>
          <w:rFonts w:hint="eastAsia" w:ascii="仿宋_GB2312" w:hAnsi="文星仿宋" w:eastAsia="仿宋_GB2312"/>
          <w:sz w:val="32"/>
        </w:rPr>
        <w:t>不断推进法制宣传教育和依法行政工作。</w:t>
      </w: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w:t>
      </w:r>
      <w:r>
        <w:rPr>
          <w:rFonts w:hint="eastAsia" w:ascii="黑体" w:hAnsi="黑体" w:eastAsia="黑体"/>
          <w:sz w:val="32"/>
          <w:szCs w:val="32"/>
        </w:rPr>
        <w:t>聚焦党建引领，加强党对审计和法治建设工作的领导</w:t>
      </w:r>
    </w:p>
    <w:p>
      <w:pPr>
        <w:spacing w:line="560" w:lineRule="exact"/>
        <w:ind w:firstLine="640" w:firstLineChars="200"/>
        <w:rPr>
          <w:rFonts w:ascii="黑体" w:hAnsi="黑体" w:eastAsia="黑体" w:cs="黑体"/>
          <w:color w:val="000000"/>
          <w:sz w:val="32"/>
          <w:szCs w:val="32"/>
        </w:rPr>
      </w:pPr>
      <w:r>
        <w:rPr>
          <w:rFonts w:hint="eastAsia" w:ascii="仿宋_GB2312" w:eastAsia="仿宋_GB2312" w:cs="宋体"/>
          <w:kern w:val="0"/>
          <w:sz w:val="32"/>
          <w:szCs w:val="32"/>
          <w:lang w:val="zh-CN"/>
        </w:rPr>
        <w:t>坚持以党建为统领，</w:t>
      </w:r>
      <w:r>
        <w:rPr>
          <w:rFonts w:hint="eastAsia" w:ascii="仿宋_GB2312" w:hAnsi="楷体" w:eastAsia="仿宋_GB2312"/>
          <w:color w:val="000000"/>
          <w:sz w:val="32"/>
          <w:szCs w:val="32"/>
        </w:rPr>
        <w:t>把握正确政治方向，</w:t>
      </w:r>
      <w:r>
        <w:rPr>
          <w:rFonts w:hint="eastAsia" w:ascii="仿宋_GB2312" w:eastAsia="仿宋_GB2312"/>
          <w:sz w:val="32"/>
          <w:szCs w:val="32"/>
        </w:rPr>
        <w:t>探索实践审计一线结合述等特色“三述”模式，认真落实审计“四严禁”工作要求和审计“八不准”工作纪律，创新打造“清廉铸审”廉政文化品牌。</w:t>
      </w:r>
      <w:r>
        <w:rPr>
          <w:rFonts w:hint="eastAsia" w:ascii="仿宋_GB2312" w:hAnsi="仿宋_GB2312" w:eastAsia="仿宋_GB2312" w:cs="仿宋_GB2312"/>
          <w:color w:val="000000"/>
          <w:sz w:val="32"/>
          <w:szCs w:val="32"/>
        </w:rPr>
        <w:t>坚持和完善党组理论学习中心组学习制度，制定落实好党建和法治建设工作要点、干部学习培训暨“每月一讲”工作计划，</w:t>
      </w:r>
      <w:r>
        <w:rPr>
          <w:rFonts w:hint="eastAsia" w:ascii="仿宋_GB2312" w:eastAsia="仿宋_GB2312" w:cs="宋体"/>
          <w:kern w:val="0"/>
          <w:sz w:val="32"/>
          <w:szCs w:val="32"/>
          <w:lang w:val="zh-CN"/>
        </w:rPr>
        <w:t>推动形成警示教育常态化。主要负责人积极履行推进法治建设第一责任人职责，多次召开党组、中心组学习会议，及时宣传学习党内法规制度。</w:t>
      </w:r>
      <w:r>
        <w:rPr>
          <w:rFonts w:hint="eastAsia" w:ascii="仿宋_GB2312" w:hAnsi="仿宋" w:eastAsia="仿宋_GB2312" w:cs="宋体"/>
          <w:kern w:val="0"/>
          <w:sz w:val="32"/>
          <w:szCs w:val="32"/>
        </w:rPr>
        <w:t>深入学习宣传习近平法治思想</w:t>
      </w:r>
      <w:r>
        <w:rPr>
          <w:rFonts w:hint="eastAsia" w:ascii="仿宋_GB2312" w:eastAsia="仿宋_GB2312" w:cs="仿宋_GB2312"/>
          <w:sz w:val="32"/>
          <w:szCs w:val="32"/>
        </w:rPr>
        <w:t>和十九届五中、六中全会精神，围绕创建强化依法审计、建设法治型等“三化三型”机关建设，深入开展“宪法进机关”主题活动</w:t>
      </w:r>
      <w:r>
        <w:rPr>
          <w:rFonts w:hint="eastAsia" w:ascii="仿宋_GB2312" w:hAnsi="Helvetica" w:eastAsia="仿宋_GB2312" w:cs="Helvetica"/>
          <w:color w:val="333333"/>
          <w:sz w:val="32"/>
          <w:szCs w:val="32"/>
        </w:rPr>
        <w:t>。</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二、依法履行审计监督职能，全面推进法治政府建设工作</w:t>
      </w:r>
    </w:p>
    <w:p>
      <w:pPr>
        <w:adjustRightInd w:val="0"/>
        <w:snapToGrid w:val="0"/>
        <w:spacing w:line="560" w:lineRule="exact"/>
        <w:ind w:firstLine="480" w:firstLineChars="150"/>
        <w:rPr>
          <w:rFonts w:hint="default"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2021年根据审计监督职责，</w:t>
      </w:r>
      <w:r>
        <w:rPr>
          <w:rFonts w:hint="eastAsia" w:ascii="仿宋_GB2312" w:hAnsi="楷体_GB2312" w:eastAsia="仿宋_GB2312" w:cs="楷体_GB2312"/>
          <w:sz w:val="32"/>
          <w:szCs w:val="32"/>
        </w:rPr>
        <w:t>持续推进审计全覆盖</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突出抓好审计监督重点</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特别是加强对重大领域、重大项目、重要资金的审计监督，全力抓好政策措施落实情况跟踪审计、财政审计、领导干部经济责任审计、领导干部自然资源资产离任审计、公共投资审计等</w:t>
      </w:r>
      <w:r>
        <w:rPr>
          <w:rFonts w:hint="eastAsia" w:ascii="仿宋_GB2312" w:hAnsi="楷体_GB2312" w:eastAsia="仿宋_GB2312" w:cs="楷体_GB2312"/>
          <w:sz w:val="32"/>
          <w:szCs w:val="32"/>
          <w:lang w:val="en-US" w:eastAsia="zh-CN"/>
        </w:rPr>
        <w:t>67个</w:t>
      </w:r>
      <w:r>
        <w:rPr>
          <w:rFonts w:hint="eastAsia" w:ascii="仿宋_GB2312" w:hAnsi="楷体_GB2312" w:eastAsia="仿宋_GB2312" w:cs="楷体_GB2312"/>
          <w:sz w:val="32"/>
          <w:szCs w:val="32"/>
          <w:lang w:eastAsia="zh-CN"/>
        </w:rPr>
        <w:t>计划</w:t>
      </w:r>
      <w:r>
        <w:rPr>
          <w:rFonts w:hint="eastAsia" w:ascii="仿宋_GB2312" w:hAnsi="楷体_GB2312" w:eastAsia="仿宋_GB2312" w:cs="楷体_GB2312"/>
          <w:sz w:val="32"/>
          <w:szCs w:val="32"/>
        </w:rPr>
        <w:t>项目</w:t>
      </w:r>
      <w:r>
        <w:rPr>
          <w:rFonts w:hint="eastAsia" w:ascii="仿宋_GB2312" w:hAnsi="楷体_GB2312" w:eastAsia="仿宋_GB2312" w:cs="楷体_GB2312"/>
          <w:sz w:val="32"/>
          <w:szCs w:val="32"/>
          <w:lang w:eastAsia="zh-CN"/>
        </w:rPr>
        <w:t>的实施</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具有相关执法事项</w:t>
      </w:r>
      <w:r>
        <w:rPr>
          <w:rFonts w:hint="eastAsia" w:ascii="仿宋_GB2312" w:hAnsi="楷体_GB2312" w:eastAsia="仿宋_GB2312" w:cs="楷体_GB2312"/>
          <w:sz w:val="32"/>
          <w:szCs w:val="32"/>
          <w:lang w:val="en-US" w:eastAsia="zh-CN"/>
        </w:rPr>
        <w:t>5项，其中行政处罚2项、行政强制2项，其他行政权力1项，本年度未发生需处罚、强制等事项。</w:t>
      </w:r>
    </w:p>
    <w:p>
      <w:pPr>
        <w:adjustRightInd w:val="0"/>
        <w:snapToGrid w:val="0"/>
        <w:spacing w:line="560" w:lineRule="exact"/>
        <w:ind w:firstLine="480" w:firstLineChars="150"/>
        <w:rPr>
          <w:rFonts w:ascii="仿宋_GB2312" w:hAnsi="楷体_GB2312" w:eastAsia="仿宋_GB2312" w:cs="楷体_GB2312"/>
          <w:sz w:val="32"/>
          <w:szCs w:val="32"/>
        </w:rPr>
      </w:pPr>
      <w:r>
        <w:rPr>
          <w:rFonts w:hint="eastAsia" w:ascii="楷体" w:hAnsi="楷体" w:eastAsia="楷体" w:cs="楷体_GB2312"/>
          <w:sz w:val="32"/>
          <w:szCs w:val="32"/>
        </w:rPr>
        <w:t>（一）加强重大政策落实跟踪审计。</w:t>
      </w:r>
      <w:r>
        <w:rPr>
          <w:rFonts w:hint="eastAsia" w:ascii="仿宋_GB2312" w:hAnsi="楷体_GB2312" w:eastAsia="仿宋_GB2312" w:cs="楷体_GB2312"/>
          <w:sz w:val="32"/>
          <w:szCs w:val="32"/>
        </w:rPr>
        <w:t>围绕全市“十五个攻势”和我区“攻坚突破年”等重大决策部署，高质量完成政策落实情况跟踪审计和</w:t>
      </w:r>
      <w:r>
        <w:rPr>
          <w:rFonts w:hint="eastAsia" w:ascii="仿宋_GB2312" w:eastAsia="仿宋_GB2312"/>
          <w:sz w:val="32"/>
          <w:szCs w:val="32"/>
        </w:rPr>
        <w:t>2021年促进优化营商环境政策落实情况审计调查。</w:t>
      </w:r>
    </w:p>
    <w:p>
      <w:pPr>
        <w:adjustRightInd w:val="0"/>
        <w:snapToGrid w:val="0"/>
        <w:spacing w:line="560" w:lineRule="exact"/>
        <w:ind w:firstLine="480" w:firstLineChars="150"/>
        <w:rPr>
          <w:rFonts w:ascii="仿宋_GB2312" w:hAnsi="仿宋" w:eastAsia="仿宋_GB2312"/>
          <w:sz w:val="32"/>
          <w:szCs w:val="32"/>
        </w:rPr>
      </w:pPr>
      <w:r>
        <w:rPr>
          <w:rFonts w:hint="eastAsia" w:ascii="楷体" w:hAnsi="楷体" w:eastAsia="楷体" w:cs="楷体_GB2312"/>
          <w:sz w:val="32"/>
          <w:szCs w:val="32"/>
        </w:rPr>
        <w:t>（二）深入开展预算执行审计。</w:t>
      </w:r>
      <w:r>
        <w:rPr>
          <w:rFonts w:hint="eastAsia" w:ascii="仿宋_GB2312" w:hAnsi="仿宋" w:eastAsia="仿宋_GB2312"/>
          <w:sz w:val="32"/>
          <w:szCs w:val="32"/>
        </w:rPr>
        <w:t>开展2021年度区本级预算执行和其他财政收支情况审计工作，完成全区259家预算单位一体化数据采集转化。</w:t>
      </w:r>
    </w:p>
    <w:p>
      <w:pPr>
        <w:adjustRightInd w:val="0"/>
        <w:snapToGrid w:val="0"/>
        <w:spacing w:line="560" w:lineRule="exact"/>
        <w:ind w:firstLine="480" w:firstLineChars="150"/>
        <w:rPr>
          <w:rFonts w:ascii="仿宋_GB2312" w:hAnsi="仿宋_GB2312" w:eastAsia="仿宋_GB2312" w:cs="仿宋_GB2312"/>
          <w:sz w:val="32"/>
          <w:szCs w:val="32"/>
        </w:rPr>
      </w:pPr>
      <w:r>
        <w:rPr>
          <w:rFonts w:hint="eastAsia" w:ascii="楷体" w:hAnsi="楷体" w:eastAsia="楷体"/>
          <w:sz w:val="32"/>
          <w:szCs w:val="32"/>
        </w:rPr>
        <w:t>（三）有序推进经济责任审计和自然资源资产离任审计。</w:t>
      </w:r>
      <w:r>
        <w:rPr>
          <w:rFonts w:hint="eastAsia" w:ascii="仿宋_GB2312" w:hAnsi="仿宋" w:eastAsia="仿宋_GB2312"/>
          <w:sz w:val="32"/>
          <w:szCs w:val="32"/>
        </w:rPr>
        <w:t>围绕权力运行责任落实，加强对领导干部经济责任履行情况监督，</w:t>
      </w:r>
      <w:r>
        <w:rPr>
          <w:rFonts w:hint="eastAsia" w:ascii="仿宋_GB2312" w:hAnsi="仿宋_GB2312" w:eastAsia="仿宋_GB2312" w:cs="仿宋_GB2312"/>
          <w:sz w:val="32"/>
          <w:szCs w:val="32"/>
        </w:rPr>
        <w:t>安排对51名领导干部开展经济责任审计，完成一项经济责任和自然资源资产统筹计划。</w:t>
      </w:r>
    </w:p>
    <w:p>
      <w:pPr>
        <w:adjustRightInd w:val="0"/>
        <w:snapToGrid w:val="0"/>
        <w:spacing w:line="560" w:lineRule="exact"/>
        <w:ind w:firstLine="480" w:firstLineChars="150"/>
        <w:rPr>
          <w:rFonts w:hint="eastAsia" w:ascii="仿宋_GB2312" w:hAnsi="仿宋" w:eastAsia="仿宋_GB2312"/>
          <w:sz w:val="32"/>
          <w:szCs w:val="32"/>
        </w:rPr>
      </w:pPr>
      <w:r>
        <w:rPr>
          <w:rFonts w:hint="eastAsia" w:ascii="楷体" w:hAnsi="楷体" w:eastAsia="楷体" w:cs="微软雅黑"/>
          <w:color w:val="000000"/>
          <w:sz w:val="32"/>
          <w:szCs w:val="32"/>
          <w:shd w:val="clear" w:color="auto" w:fill="FFFFFF"/>
        </w:rPr>
        <w:t>（四）政府投资重点项目</w:t>
      </w:r>
      <w:r>
        <w:rPr>
          <w:rFonts w:hint="eastAsia" w:ascii="楷体" w:hAnsi="楷体" w:eastAsia="楷体"/>
          <w:sz w:val="32"/>
          <w:szCs w:val="32"/>
        </w:rPr>
        <w:t>审计工作持续跟进。</w:t>
      </w:r>
      <w:r>
        <w:rPr>
          <w:rFonts w:hint="eastAsia" w:ascii="仿宋_GB2312" w:hAnsi="仿宋" w:eastAsia="仿宋_GB2312"/>
          <w:sz w:val="32"/>
          <w:szCs w:val="32"/>
        </w:rPr>
        <w:t xml:space="preserve">围绕强化基础设施和保障扩大精准有效投资，加强对重大公共基础设施建设情况监督，进一步提高投资审计转型无缝衔接。 </w:t>
      </w:r>
    </w:p>
    <w:p>
      <w:pPr>
        <w:adjustRightInd w:val="0"/>
        <w:snapToGrid w:val="0"/>
        <w:spacing w:line="560" w:lineRule="exact"/>
        <w:ind w:firstLine="480" w:firstLineChars="150"/>
        <w:rPr>
          <w:rFonts w:ascii="仿宋_GB2312" w:hAnsi="楷体" w:eastAsia="仿宋_GB2312"/>
          <w:sz w:val="32"/>
          <w:szCs w:val="32"/>
        </w:rPr>
      </w:pPr>
      <w:r>
        <w:rPr>
          <w:rFonts w:hint="eastAsia" w:ascii="楷体" w:hAnsi="楷体" w:eastAsia="楷体"/>
          <w:sz w:val="32"/>
          <w:szCs w:val="32"/>
        </w:rPr>
        <w:t>（五）大数据审计水平持续提升。</w:t>
      </w:r>
      <w:r>
        <w:rPr>
          <w:rFonts w:hint="eastAsia" w:ascii="仿宋_GB2312" w:eastAsia="仿宋_GB2312"/>
          <w:sz w:val="32"/>
          <w:szCs w:val="32"/>
        </w:rPr>
        <w:t>完成金审三期第一阶段试点工作和信息化专项资金审计项目，高质量完成财政指标、国库集中支付数据标准化工作。</w:t>
      </w:r>
    </w:p>
    <w:p>
      <w:pPr>
        <w:adjustRightInd w:val="0"/>
        <w:snapToGrid w:val="0"/>
        <w:spacing w:line="560" w:lineRule="exact"/>
        <w:ind w:firstLine="480" w:firstLineChars="150"/>
        <w:rPr>
          <w:rFonts w:ascii="仿宋_GB2312" w:hAnsi="楷体" w:eastAsia="仿宋_GB2312"/>
          <w:sz w:val="32"/>
          <w:szCs w:val="32"/>
        </w:rPr>
      </w:pPr>
      <w:r>
        <w:rPr>
          <w:rFonts w:hint="eastAsia" w:ascii="楷体" w:hAnsi="楷体" w:eastAsia="楷体"/>
          <w:sz w:val="32"/>
          <w:szCs w:val="32"/>
        </w:rPr>
        <w:t>（六）内审工作“质量提升年”成效显著。</w:t>
      </w:r>
      <w:r>
        <w:rPr>
          <w:rFonts w:hint="eastAsia" w:ascii="仿宋_GB2312" w:hAnsi="楷体" w:eastAsia="仿宋_GB2312"/>
          <w:sz w:val="32"/>
          <w:szCs w:val="32"/>
        </w:rPr>
        <w:t>完成全区机关事业单位及区属国有企业内部审计专项调查；对照</w:t>
      </w:r>
      <w:r>
        <w:rPr>
          <w:rFonts w:hint="eastAsia" w:ascii="仿宋_GB2312" w:hAnsi="仿宋" w:eastAsia="仿宋_GB2312"/>
          <w:sz w:val="32"/>
          <w:szCs w:val="32"/>
        </w:rPr>
        <w:t>内审项目计划，</w:t>
      </w:r>
      <w:r>
        <w:rPr>
          <w:rFonts w:hint="eastAsia" w:ascii="仿宋_GB2312" w:eastAsia="仿宋_GB2312"/>
          <w:sz w:val="32"/>
          <w:szCs w:val="32"/>
        </w:rPr>
        <w:t>实行全过程督导，</w:t>
      </w:r>
      <w:r>
        <w:rPr>
          <w:rFonts w:hint="eastAsia" w:ascii="仿宋_GB2312" w:hAnsi="仿宋" w:eastAsia="仿宋_GB2312"/>
          <w:sz w:val="32"/>
          <w:szCs w:val="32"/>
        </w:rPr>
        <w:t>推进内审工作再上新台阶。</w:t>
      </w:r>
    </w:p>
    <w:p>
      <w:pPr>
        <w:spacing w:line="560" w:lineRule="exact"/>
        <w:ind w:firstLine="640" w:firstLineChars="200"/>
        <w:rPr>
          <w:rFonts w:ascii="黑体" w:hAnsi="黑体" w:eastAsia="黑体"/>
          <w:sz w:val="32"/>
        </w:rPr>
      </w:pPr>
      <w:r>
        <w:rPr>
          <w:rFonts w:hint="eastAsia" w:ascii="黑体" w:hAnsi="黑体" w:eastAsia="黑体"/>
          <w:sz w:val="32"/>
        </w:rPr>
        <w:t>三、加强审计执法队伍建设，推进审计公正执法</w:t>
      </w:r>
    </w:p>
    <w:p>
      <w:pPr>
        <w:spacing w:line="560" w:lineRule="exact"/>
        <w:ind w:firstLine="640" w:firstLineChars="200"/>
        <w:rPr>
          <w:rFonts w:hint="eastAsia" w:ascii="仿宋" w:hAnsi="仿宋" w:eastAsia="仿宋"/>
          <w:sz w:val="32"/>
          <w:szCs w:val="32"/>
        </w:rPr>
      </w:pPr>
      <w:r>
        <w:rPr>
          <w:rFonts w:hint="eastAsia" w:ascii="楷体" w:hAnsi="楷体" w:eastAsia="楷体"/>
          <w:sz w:val="32"/>
        </w:rPr>
        <w:t>一是</w:t>
      </w:r>
      <w:r>
        <w:rPr>
          <w:rFonts w:hint="eastAsia" w:ascii="楷体" w:hAnsi="楷体" w:eastAsia="楷体"/>
          <w:sz w:val="32"/>
          <w:szCs w:val="32"/>
        </w:rPr>
        <w:t>抓好审计质量管控工作。</w:t>
      </w:r>
      <w:r>
        <w:rPr>
          <w:rFonts w:hint="eastAsia" w:ascii="仿宋_GB2312" w:hAnsi="仿宋" w:eastAsia="仿宋_GB2312"/>
          <w:sz w:val="32"/>
          <w:szCs w:val="32"/>
        </w:rPr>
        <w:t>刊发《法规工作动态》12期，以《法规工作动态》等形式进行工作动态播报。多次下发审计质量自查自纠通知,要求对审计项目进行全面梳理、全面整改。开展审计质量检查，并对相关问题予以通报。抓好有关审计质量文件的学习宣传，督促各审计组做好贯彻落实。组织推荐两个项目参加市局优秀项目评选并分别获评二等奖和三等奖。</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 w:hAnsi="仿宋" w:eastAsia="仿宋"/>
          <w:sz w:val="32"/>
          <w:szCs w:val="32"/>
        </w:rPr>
      </w:pPr>
      <w:r>
        <w:rPr>
          <w:rFonts w:hint="eastAsia" w:ascii="楷体" w:hAnsi="楷体" w:eastAsia="楷体"/>
          <w:sz w:val="32"/>
        </w:rPr>
        <w:t>二是积极开展法治实践工作。</w:t>
      </w:r>
      <w:r>
        <w:rPr>
          <w:rFonts w:hint="eastAsia" w:ascii="仿宋_GB2312" w:hAnsi="文星仿宋" w:eastAsia="仿宋_GB2312"/>
          <w:sz w:val="32"/>
          <w:szCs w:val="32"/>
        </w:rPr>
        <w:t>认真贯彻落实依法治国基本方略，及时制定依法行政实施规划和年度工作重点</w:t>
      </w:r>
      <w:r>
        <w:rPr>
          <w:rFonts w:hint="eastAsia" w:ascii="仿宋" w:hAnsi="仿宋" w:eastAsia="仿宋"/>
          <w:sz w:val="32"/>
          <w:szCs w:val="32"/>
        </w:rPr>
        <w:t>。组织做好有关法律法规的学习宣传、法律知识学习考试、</w:t>
      </w:r>
      <w:r>
        <w:rPr>
          <w:rFonts w:hint="eastAsia" w:ascii="仿宋_GB2312" w:eastAsia="仿宋_GB2312"/>
          <w:sz w:val="32"/>
          <w:szCs w:val="32"/>
        </w:rPr>
        <w:t>网上学法考法、习近平法治思想学习培训、修订后的新审计法学习宣传、“12.4”宪法宣传周和法治宣传月等活动。</w:t>
      </w:r>
      <w:r>
        <w:rPr>
          <w:rFonts w:hint="eastAsia" w:ascii="仿宋" w:hAnsi="仿宋" w:eastAsia="仿宋"/>
          <w:sz w:val="32"/>
          <w:szCs w:val="32"/>
        </w:rPr>
        <w:t>及时报送法治信息、法治政府建设情况、行政执法工作情况等有关材料及报表，及时办理相关工作并多次对相关文件征求意见情况予以研究反馈。制定了《审计执法人员管理制度》和《审计执法辅助人员管理制度》，对执法人员队伍管理进行了规范。开展了“美好生活·民法典相伴”主题宣传活动，牵头组织我局15人参加区政法队伍教育整顿领导小组“三个规定”“万长”大宣讲和公开承诺活动。</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 w:hAnsi="仿宋" w:eastAsia="仿宋"/>
          <w:sz w:val="32"/>
          <w:szCs w:val="32"/>
        </w:rPr>
      </w:pPr>
      <w:r>
        <w:rPr>
          <w:rFonts w:hint="eastAsia" w:ascii="楷体_GB2312" w:hAnsi="文星仿宋" w:eastAsia="楷体_GB2312"/>
          <w:sz w:val="32"/>
        </w:rPr>
        <w:t>三是进一步加大审理力度</w:t>
      </w:r>
      <w:r>
        <w:rPr>
          <w:rFonts w:hint="eastAsia" w:ascii="楷体_GB2312" w:hAnsi="文星仿宋" w:eastAsia="楷体_GB2312"/>
          <w:sz w:val="32"/>
          <w:szCs w:val="32"/>
        </w:rPr>
        <w:t>。</w:t>
      </w:r>
      <w:r>
        <w:rPr>
          <w:rFonts w:hint="eastAsia" w:ascii="仿宋_GB2312" w:hAnsi="文星仿宋" w:eastAsia="仿宋_GB2312"/>
          <w:sz w:val="32"/>
          <w:szCs w:val="32"/>
        </w:rPr>
        <w:t>对审计项目采用“二次审理”、</w:t>
      </w:r>
      <w:r>
        <w:rPr>
          <w:rFonts w:hint="eastAsia" w:ascii="仿宋_GB2312" w:hAnsi="文星黑体" w:eastAsia="仿宋_GB2312"/>
          <w:sz w:val="32"/>
          <w:szCs w:val="32"/>
        </w:rPr>
        <w:t>组织召开审计业务会议审定的方式进</w:t>
      </w:r>
      <w:r>
        <w:rPr>
          <w:rFonts w:hint="eastAsia" w:ascii="仿宋_GB2312" w:hAnsi="文星仿宋" w:eastAsia="仿宋_GB2312"/>
          <w:sz w:val="32"/>
          <w:szCs w:val="32"/>
        </w:rPr>
        <w:t>行质量把关，采取</w:t>
      </w:r>
      <w:r>
        <w:rPr>
          <w:rFonts w:hint="eastAsia" w:ascii="仿宋_GB2312" w:hAnsi="文星黑体" w:eastAsia="仿宋_GB2312"/>
          <w:sz w:val="32"/>
          <w:szCs w:val="32"/>
        </w:rPr>
        <w:t>审理与审计充分沟通、沟通与修正充分结合的方式，不断提高审理工作质量和审计工作质量。</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 w:hAnsi="仿宋" w:eastAsia="仿宋"/>
          <w:sz w:val="32"/>
          <w:szCs w:val="32"/>
        </w:rPr>
      </w:pPr>
      <w:r>
        <w:rPr>
          <w:rFonts w:hint="eastAsia" w:ascii="楷体" w:hAnsi="楷体" w:eastAsia="楷体"/>
          <w:sz w:val="32"/>
          <w:szCs w:val="32"/>
        </w:rPr>
        <w:t>四是搞好审计执法检查。</w:t>
      </w:r>
      <w:r>
        <w:rPr>
          <w:rFonts w:hint="eastAsia" w:ascii="仿宋" w:hAnsi="仿宋" w:eastAsia="仿宋"/>
          <w:sz w:val="32"/>
          <w:szCs w:val="32"/>
        </w:rPr>
        <w:t>做好以前年度和本年度审计整改督促落实工作，及时督促各审计组抓好落实，对以前年度情况每月调度一次，本年度情况根据项目完成情况定期调度。审计项目结束后，进行审计回访，对审计组和审计人员执行工作纪律及廉政规定情况进行检查、反馈，提高了审计执法的透明度。</w:t>
      </w:r>
    </w:p>
    <w:p>
      <w:pPr>
        <w:pBdr>
          <w:bottom w:val="single" w:color="FFFFFF" w:sz="4" w:space="31"/>
        </w:pBdr>
        <w:tabs>
          <w:tab w:val="left" w:pos="426"/>
          <w:tab w:val="left" w:pos="144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四、增强法治意识，推进法治社会建设</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_GB2312" w:hAnsi="文星仿宋" w:eastAsia="仿宋_GB2312"/>
          <w:sz w:val="32"/>
        </w:rPr>
      </w:pPr>
      <w:r>
        <w:rPr>
          <w:rFonts w:hint="eastAsia" w:ascii="楷体_GB2312" w:hAnsi="楷体" w:eastAsia="楷体_GB2312"/>
          <w:sz w:val="32"/>
        </w:rPr>
        <w:t>一是</w:t>
      </w:r>
      <w:r>
        <w:rPr>
          <w:rFonts w:hint="eastAsia" w:ascii="楷体_GB2312" w:hAnsi="楷体" w:eastAsia="楷体_GB2312" w:cs="仿宋_GB2312"/>
          <w:sz w:val="32"/>
          <w:szCs w:val="32"/>
        </w:rPr>
        <w:t>建立宪法学习宣传领导体系。</w:t>
      </w:r>
      <w:r>
        <w:rPr>
          <w:rFonts w:hint="eastAsia" w:ascii="仿宋_GB2312" w:eastAsia="仿宋_GB2312" w:cs="仿宋_GB2312"/>
          <w:color w:val="000000"/>
          <w:sz w:val="32"/>
          <w:szCs w:val="32"/>
        </w:rPr>
        <w:t>发挥</w:t>
      </w:r>
      <w:r>
        <w:rPr>
          <w:rFonts w:hint="eastAsia" w:ascii="仿宋_GB2312" w:eastAsia="仿宋_GB2312" w:cs="仿宋_GB2312"/>
          <w:sz w:val="32"/>
          <w:szCs w:val="32"/>
          <w:shd w:val="clear" w:color="auto" w:fill="FFFFFF"/>
        </w:rPr>
        <w:t>局党组理论学习中心组领学促学、示范带动作用，</w:t>
      </w:r>
      <w:r>
        <w:rPr>
          <w:rFonts w:hint="eastAsia" w:ascii="仿宋_GB2312" w:eastAsia="仿宋_GB2312" w:cs="仿宋_GB2312"/>
          <w:sz w:val="32"/>
          <w:szCs w:val="32"/>
        </w:rPr>
        <w:t>以局机关党委三个党支部为载体，</w:t>
      </w:r>
      <w:r>
        <w:rPr>
          <w:rFonts w:hint="eastAsia" w:ascii="仿宋_GB2312" w:eastAsia="仿宋_GB2312" w:cs="仿宋_GB2312"/>
          <w:sz w:val="32"/>
          <w:szCs w:val="32"/>
          <w:shd w:val="clear" w:color="auto" w:fill="FFFFFF"/>
        </w:rPr>
        <w:t>引导党员干部争做依宪依法依规的表率。</w:t>
      </w:r>
      <w:r>
        <w:rPr>
          <w:rFonts w:hint="eastAsia" w:ascii="楷体_GB2312" w:hAnsi="楷体" w:eastAsia="楷体_GB2312" w:cs="仿宋_GB2312"/>
          <w:sz w:val="32"/>
          <w:szCs w:val="32"/>
        </w:rPr>
        <w:t>二是</w:t>
      </w:r>
      <w:r>
        <w:rPr>
          <w:rFonts w:hint="eastAsia" w:ascii="楷体_GB2312" w:eastAsia="楷体_GB2312" w:cs="仿宋_GB2312"/>
          <w:sz w:val="32"/>
          <w:szCs w:val="32"/>
        </w:rPr>
        <w:t>开展宪法等专题讲述活动。</w:t>
      </w:r>
      <w:r>
        <w:rPr>
          <w:rFonts w:hint="eastAsia" w:ascii="仿宋_GB2312" w:eastAsia="仿宋_GB2312" w:cs="仿宋_GB2312"/>
          <w:sz w:val="32"/>
          <w:szCs w:val="32"/>
        </w:rPr>
        <w:t>结</w:t>
      </w:r>
      <w:r>
        <w:rPr>
          <w:rFonts w:hint="eastAsia" w:ascii="仿宋_GB2312" w:hAnsi="E-BZ" w:eastAsia="仿宋_GB2312" w:cs="仿宋_GB2312"/>
          <w:color w:val="000000"/>
          <w:sz w:val="32"/>
          <w:szCs w:val="32"/>
        </w:rPr>
        <w:t>合开展</w:t>
      </w:r>
      <w:r>
        <w:rPr>
          <w:rFonts w:hint="eastAsia" w:ascii="仿宋_GB2312" w:hAnsi="楷体" w:eastAsia="仿宋_GB2312" w:cs="仿宋_GB2312"/>
          <w:sz w:val="32"/>
          <w:szCs w:val="32"/>
        </w:rPr>
        <w:t>“每月一讲”</w:t>
      </w:r>
      <w:r>
        <w:rPr>
          <w:rFonts w:hint="eastAsia" w:ascii="仿宋_GB2312" w:hAnsi="E-BZ" w:eastAsia="仿宋_GB2312" w:cs="仿宋_GB2312"/>
          <w:color w:val="000000"/>
          <w:sz w:val="32"/>
          <w:szCs w:val="32"/>
        </w:rPr>
        <w:t>“科长开讲”和“审计组组长开讲”系列专题讲座开展专题讲述活动，</w:t>
      </w:r>
      <w:r>
        <w:rPr>
          <w:rFonts w:hint="eastAsia" w:ascii="仿宋_GB2312" w:hAnsi="楷体" w:eastAsia="仿宋_GB2312" w:cs="仿宋_GB2312"/>
          <w:sz w:val="32"/>
          <w:szCs w:val="32"/>
        </w:rPr>
        <w:t>培养业务骨干和依法审计典型。</w:t>
      </w:r>
      <w:r>
        <w:rPr>
          <w:rFonts w:hint="eastAsia" w:ascii="楷体_GB2312" w:hAnsi="楷体" w:eastAsia="楷体_GB2312" w:cs="仿宋_GB2312"/>
          <w:sz w:val="32"/>
          <w:szCs w:val="32"/>
        </w:rPr>
        <w:t>三是</w:t>
      </w:r>
      <w:r>
        <w:rPr>
          <w:rFonts w:hint="eastAsia" w:ascii="楷体_GB2312" w:eastAsia="楷体_GB2312" w:cs="仿宋_GB2312"/>
          <w:sz w:val="32"/>
          <w:szCs w:val="32"/>
        </w:rPr>
        <w:t>活用多种学习方式。</w:t>
      </w:r>
      <w:r>
        <w:rPr>
          <w:rFonts w:hint="eastAsia" w:ascii="仿宋_GB2312" w:eastAsia="仿宋_GB2312" w:cs="仿宋_GB2312"/>
          <w:sz w:val="32"/>
          <w:szCs w:val="32"/>
        </w:rPr>
        <w:t>广泛搭建学习平台，充分运用学习强国、“灯塔</w:t>
      </w:r>
      <w:r>
        <w:rPr>
          <w:rFonts w:ascii="仿宋_GB2312" w:eastAsia="仿宋_GB2312"/>
          <w:sz w:val="32"/>
          <w:szCs w:val="32"/>
        </w:rPr>
        <w:t>—</w:t>
      </w:r>
      <w:r>
        <w:rPr>
          <w:rFonts w:hint="eastAsia" w:ascii="仿宋_GB2312" w:eastAsia="仿宋_GB2312" w:cs="仿宋_GB2312"/>
          <w:sz w:val="32"/>
          <w:szCs w:val="32"/>
        </w:rPr>
        <w:t>党建在线”“审计大讲堂”和青岛干部网络教育等学习载体，借助专题研讨、学习分享、主题征文等活动，增强学以致用的本领。</w:t>
      </w:r>
      <w:bookmarkStart w:id="0" w:name="_GoBack"/>
      <w:bookmarkEnd w:id="0"/>
    </w:p>
    <w:p>
      <w:pPr>
        <w:spacing w:line="560" w:lineRule="exact"/>
        <w:ind w:firstLine="4640" w:firstLineChars="1450"/>
        <w:rPr>
          <w:rFonts w:ascii="仿宋_GB2312" w:hAnsi="文星仿宋" w:eastAsia="仿宋_GB2312"/>
          <w:sz w:val="32"/>
        </w:rPr>
      </w:pPr>
      <w:r>
        <w:rPr>
          <w:rFonts w:hint="eastAsia" w:ascii="仿宋_GB2312" w:hAnsi="文星仿宋" w:eastAsia="仿宋_GB2312"/>
          <w:sz w:val="32"/>
        </w:rPr>
        <w:t>青岛西海岸新区审计局</w:t>
      </w:r>
    </w:p>
    <w:p>
      <w:pPr>
        <w:spacing w:line="560" w:lineRule="exact"/>
        <w:ind w:right="755" w:firstLine="640" w:firstLineChars="200"/>
        <w:jc w:val="center"/>
        <w:rPr>
          <w:rFonts w:ascii="仿宋_GB2312" w:eastAsia="仿宋_GB2312"/>
          <w:sz w:val="32"/>
          <w:szCs w:val="32"/>
        </w:rPr>
      </w:pPr>
      <w:r>
        <w:rPr>
          <w:rFonts w:hint="eastAsia" w:ascii="仿宋_GB2312" w:hAnsi="文星仿宋" w:eastAsia="仿宋_GB2312"/>
          <w:sz w:val="32"/>
        </w:rPr>
        <w:t xml:space="preserve">                       202</w:t>
      </w:r>
      <w:r>
        <w:rPr>
          <w:rFonts w:hint="eastAsia" w:ascii="仿宋_GB2312" w:hAnsi="文星仿宋" w:eastAsia="仿宋_GB2312"/>
          <w:sz w:val="32"/>
          <w:lang w:val="en-US" w:eastAsia="zh-CN"/>
        </w:rPr>
        <w:t>2</w:t>
      </w:r>
      <w:r>
        <w:rPr>
          <w:rFonts w:hint="eastAsia" w:ascii="仿宋_GB2312" w:hAnsi="文星仿宋" w:eastAsia="仿宋_GB2312"/>
          <w:sz w:val="32"/>
        </w:rPr>
        <w:t>年1月</w:t>
      </w:r>
      <w:r>
        <w:rPr>
          <w:rFonts w:hint="eastAsia" w:ascii="仿宋_GB2312" w:hAnsi="文星仿宋" w:eastAsia="仿宋_GB2312"/>
          <w:sz w:val="32"/>
          <w:lang w:val="en-US" w:eastAsia="zh-CN"/>
        </w:rPr>
        <w:t>25</w:t>
      </w:r>
      <w:r>
        <w:rPr>
          <w:rFonts w:hint="eastAsia" w:ascii="仿宋_GB2312" w:hAnsi="文星仿宋" w:eastAsia="仿宋_GB2312"/>
          <w:sz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文星标宋">
    <w:altName w:val="Arial Unicode MS"/>
    <w:panose1 w:val="02010604000101010101"/>
    <w:charset w:val="86"/>
    <w:family w:val="auto"/>
    <w:pitch w:val="default"/>
    <w:sig w:usb0="00000000" w:usb1="00000000" w:usb2="00000010" w:usb3="00000000" w:csb0="00040001" w:csb1="00000000"/>
  </w:font>
  <w:font w:name="文星仿宋">
    <w:altName w:val="仿宋"/>
    <w:panose1 w:val="02010604000101010101"/>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文星黑体">
    <w:altName w:val="黑体"/>
    <w:panose1 w:val="02010604000101010101"/>
    <w:charset w:val="86"/>
    <w:family w:val="auto"/>
    <w:pitch w:val="default"/>
    <w:sig w:usb0="00000000" w:usb1="00000000" w:usb2="00000010" w:usb3="00000000" w:csb0="00040001" w:csb1="00000000"/>
  </w:font>
  <w:font w:name="E-BZ">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420" w:rightChars="200"/>
      <w:rPr>
        <w:rStyle w:val="11"/>
        <w:rFonts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w:t>
    </w:r>
    <w:r>
      <w:rPr>
        <w:rStyle w:val="11"/>
        <w:rFonts w:ascii="宋体" w:hAnsi="宋体"/>
        <w:sz w:val="28"/>
        <w:szCs w:val="28"/>
      </w:rPr>
      <w:fldChar w:fldCharType="end"/>
    </w:r>
    <w:r>
      <w:rPr>
        <w:rStyle w:val="11"/>
        <w:rFonts w:hint="eastAsia" w:ascii="宋体" w:hAnsi="宋体"/>
        <w:sz w:val="28"/>
        <w:szCs w:val="28"/>
      </w:rPr>
      <w:t xml:space="preserve"> —</w:t>
    </w:r>
  </w:p>
  <w:p>
    <w:pPr>
      <w:pStyle w:val="5"/>
      <w:ind w:right="360" w:firstLine="360"/>
    </w:pPr>
  </w:p>
  <w:p>
    <w:pPr>
      <w:pStyle w:val="5"/>
      <w:ind w:right="360" w:firstLine="360"/>
      <w:rPr>
        <w:sz w:val="21"/>
        <w:szCs w:val="21"/>
      </w:rPr>
    </w:pPr>
  </w:p>
  <w:p>
    <w:pPr>
      <w:pStyle w:val="5"/>
      <w:ind w:right="360" w:firstLine="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Pr>
        <w:rStyle w:val="11"/>
        <w:rFonts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w:t>
    </w:r>
    <w:r>
      <w:rPr>
        <w:rStyle w:val="11"/>
        <w:rFonts w:ascii="宋体" w:hAnsi="宋体"/>
        <w:sz w:val="28"/>
        <w:szCs w:val="28"/>
      </w:rPr>
      <w:fldChar w:fldCharType="end"/>
    </w:r>
    <w:r>
      <w:rPr>
        <w:rStyle w:val="11"/>
        <w:rFonts w:hint="eastAsia" w:ascii="宋体" w:hAnsi="宋体"/>
        <w:sz w:val="28"/>
        <w:szCs w:val="28"/>
      </w:rPr>
      <w:t xml:space="preserve"> —</w:t>
    </w:r>
  </w:p>
  <w:p>
    <w:pPr>
      <w:pStyle w:val="5"/>
      <w:ind w:right="360" w:firstLine="360"/>
    </w:pPr>
  </w:p>
  <w:p>
    <w:pPr>
      <w:pStyle w:val="5"/>
      <w:ind w:right="360" w:firstLine="360"/>
      <w:rPr>
        <w:sz w:val="21"/>
        <w:szCs w:val="21"/>
      </w:rPr>
    </w:pPr>
  </w:p>
  <w:p>
    <w:pPr>
      <w:pStyle w:val="5"/>
      <w:ind w:right="360" w:firstLine="36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979748"/>
      <w:docPartObj>
        <w:docPartGallery w:val="autotext"/>
      </w:docPartObj>
    </w:sdtPr>
    <w:sdtContent>
      <w:p>
        <w:pPr>
          <w:pStyle w:val="5"/>
          <w:jc w:val="right"/>
        </w:pPr>
        <w:r>
          <w:rPr>
            <w:rStyle w:val="11"/>
            <w:rFonts w:hint="eastAsia" w:ascii="宋体" w:hAnsi="宋体"/>
            <w:sz w:val="28"/>
            <w:szCs w:val="28"/>
          </w:rPr>
          <w:t>—</w:t>
        </w:r>
        <w:r>
          <w:rPr>
            <w:rStyle w:val="11"/>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Style w:val="11"/>
            <w:rFonts w:hint="eastAsia" w:ascii="宋体" w:hAnsi="宋体"/>
            <w:sz w:val="28"/>
            <w:szCs w:val="28"/>
          </w:rPr>
          <w:t>—</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宋体" w:hAnsi="宋体"/>
        <w:color w:val="FF0000"/>
        <w:w w:val="8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59"/>
    <w:rsid w:val="0000544D"/>
    <w:rsid w:val="00007713"/>
    <w:rsid w:val="00032792"/>
    <w:rsid w:val="000562B1"/>
    <w:rsid w:val="00057BA1"/>
    <w:rsid w:val="00067937"/>
    <w:rsid w:val="00071196"/>
    <w:rsid w:val="00071CF4"/>
    <w:rsid w:val="00084F42"/>
    <w:rsid w:val="000B15F7"/>
    <w:rsid w:val="000C0359"/>
    <w:rsid w:val="000D0034"/>
    <w:rsid w:val="00103B64"/>
    <w:rsid w:val="001171BA"/>
    <w:rsid w:val="00123F09"/>
    <w:rsid w:val="00126DB9"/>
    <w:rsid w:val="0016121A"/>
    <w:rsid w:val="00165DC5"/>
    <w:rsid w:val="001776CB"/>
    <w:rsid w:val="00195198"/>
    <w:rsid w:val="001E22CC"/>
    <w:rsid w:val="001E5396"/>
    <w:rsid w:val="001E56CF"/>
    <w:rsid w:val="0024288A"/>
    <w:rsid w:val="00267ED4"/>
    <w:rsid w:val="00280385"/>
    <w:rsid w:val="00285710"/>
    <w:rsid w:val="0029190C"/>
    <w:rsid w:val="002A2C86"/>
    <w:rsid w:val="002A4F1B"/>
    <w:rsid w:val="002D0C0D"/>
    <w:rsid w:val="0030276D"/>
    <w:rsid w:val="0033060D"/>
    <w:rsid w:val="003509B8"/>
    <w:rsid w:val="003A2935"/>
    <w:rsid w:val="003A4DFC"/>
    <w:rsid w:val="003B46D7"/>
    <w:rsid w:val="003D793C"/>
    <w:rsid w:val="003E7C08"/>
    <w:rsid w:val="00401468"/>
    <w:rsid w:val="004105E6"/>
    <w:rsid w:val="00440FFD"/>
    <w:rsid w:val="004446F2"/>
    <w:rsid w:val="00470109"/>
    <w:rsid w:val="0047513B"/>
    <w:rsid w:val="00482794"/>
    <w:rsid w:val="00482BD2"/>
    <w:rsid w:val="00494E8E"/>
    <w:rsid w:val="004953EE"/>
    <w:rsid w:val="004961EC"/>
    <w:rsid w:val="004A0920"/>
    <w:rsid w:val="004B443A"/>
    <w:rsid w:val="004C312B"/>
    <w:rsid w:val="004C41D9"/>
    <w:rsid w:val="004E6B3C"/>
    <w:rsid w:val="005217C2"/>
    <w:rsid w:val="0053513A"/>
    <w:rsid w:val="0057177A"/>
    <w:rsid w:val="00574857"/>
    <w:rsid w:val="00581E1F"/>
    <w:rsid w:val="00595D8B"/>
    <w:rsid w:val="005C5460"/>
    <w:rsid w:val="005D6F0F"/>
    <w:rsid w:val="005D7FD8"/>
    <w:rsid w:val="005E52DE"/>
    <w:rsid w:val="00610906"/>
    <w:rsid w:val="00640819"/>
    <w:rsid w:val="00692258"/>
    <w:rsid w:val="006928FE"/>
    <w:rsid w:val="006B2B0C"/>
    <w:rsid w:val="006C69C6"/>
    <w:rsid w:val="006D2635"/>
    <w:rsid w:val="006F5FA0"/>
    <w:rsid w:val="007123BB"/>
    <w:rsid w:val="007378B6"/>
    <w:rsid w:val="007527F9"/>
    <w:rsid w:val="00757B9A"/>
    <w:rsid w:val="00762169"/>
    <w:rsid w:val="00776AF1"/>
    <w:rsid w:val="007962EC"/>
    <w:rsid w:val="00796FEC"/>
    <w:rsid w:val="007A35EA"/>
    <w:rsid w:val="007C2FBA"/>
    <w:rsid w:val="007C540C"/>
    <w:rsid w:val="007D5831"/>
    <w:rsid w:val="007E22BC"/>
    <w:rsid w:val="00802DA6"/>
    <w:rsid w:val="00806756"/>
    <w:rsid w:val="0082715A"/>
    <w:rsid w:val="00834FCD"/>
    <w:rsid w:val="00864BD3"/>
    <w:rsid w:val="008766FD"/>
    <w:rsid w:val="00883EAC"/>
    <w:rsid w:val="008B2E7A"/>
    <w:rsid w:val="008B519E"/>
    <w:rsid w:val="008B7C64"/>
    <w:rsid w:val="008D1398"/>
    <w:rsid w:val="008E3925"/>
    <w:rsid w:val="009133E1"/>
    <w:rsid w:val="00953519"/>
    <w:rsid w:val="00957E02"/>
    <w:rsid w:val="009800F7"/>
    <w:rsid w:val="00996EDE"/>
    <w:rsid w:val="0099798A"/>
    <w:rsid w:val="009E2535"/>
    <w:rsid w:val="009F3A60"/>
    <w:rsid w:val="00A6043D"/>
    <w:rsid w:val="00A623FD"/>
    <w:rsid w:val="00A9645B"/>
    <w:rsid w:val="00AB23EA"/>
    <w:rsid w:val="00AB765A"/>
    <w:rsid w:val="00AE3D6C"/>
    <w:rsid w:val="00AE4B94"/>
    <w:rsid w:val="00AF42F8"/>
    <w:rsid w:val="00AF7B94"/>
    <w:rsid w:val="00B10AD0"/>
    <w:rsid w:val="00B168EB"/>
    <w:rsid w:val="00B25115"/>
    <w:rsid w:val="00B26175"/>
    <w:rsid w:val="00B267B0"/>
    <w:rsid w:val="00B46449"/>
    <w:rsid w:val="00B47477"/>
    <w:rsid w:val="00B735BD"/>
    <w:rsid w:val="00B84210"/>
    <w:rsid w:val="00B8510A"/>
    <w:rsid w:val="00B85137"/>
    <w:rsid w:val="00BB77F3"/>
    <w:rsid w:val="00BC0105"/>
    <w:rsid w:val="00BF4B1E"/>
    <w:rsid w:val="00C02616"/>
    <w:rsid w:val="00C03A92"/>
    <w:rsid w:val="00C51D5C"/>
    <w:rsid w:val="00CC4C60"/>
    <w:rsid w:val="00CE06EF"/>
    <w:rsid w:val="00D038FC"/>
    <w:rsid w:val="00D2307C"/>
    <w:rsid w:val="00D25F7F"/>
    <w:rsid w:val="00D35E3F"/>
    <w:rsid w:val="00D4048A"/>
    <w:rsid w:val="00D50713"/>
    <w:rsid w:val="00D5144F"/>
    <w:rsid w:val="00D6350A"/>
    <w:rsid w:val="00D6744F"/>
    <w:rsid w:val="00D806C1"/>
    <w:rsid w:val="00D87B41"/>
    <w:rsid w:val="00D9048C"/>
    <w:rsid w:val="00DB365F"/>
    <w:rsid w:val="00DC0F9D"/>
    <w:rsid w:val="00DD58F1"/>
    <w:rsid w:val="00DE5A27"/>
    <w:rsid w:val="00DF0AAE"/>
    <w:rsid w:val="00E10A5F"/>
    <w:rsid w:val="00E149A1"/>
    <w:rsid w:val="00E21545"/>
    <w:rsid w:val="00E40A92"/>
    <w:rsid w:val="00E4737D"/>
    <w:rsid w:val="00E63BE2"/>
    <w:rsid w:val="00E7725A"/>
    <w:rsid w:val="00E91375"/>
    <w:rsid w:val="00EA2843"/>
    <w:rsid w:val="00EB5677"/>
    <w:rsid w:val="00EB77B4"/>
    <w:rsid w:val="00F06BA8"/>
    <w:rsid w:val="00F4149E"/>
    <w:rsid w:val="00F56C3F"/>
    <w:rsid w:val="00F75291"/>
    <w:rsid w:val="00F85B86"/>
    <w:rsid w:val="00F86F78"/>
    <w:rsid w:val="106E3A51"/>
    <w:rsid w:val="20D129CF"/>
    <w:rsid w:val="36FB2302"/>
    <w:rsid w:val="3A880135"/>
    <w:rsid w:val="452D2306"/>
    <w:rsid w:val="45E05932"/>
    <w:rsid w:val="47CA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Plain Text"/>
    <w:basedOn w:val="1"/>
    <w:link w:val="16"/>
    <w:qFormat/>
    <w:uiPriority w:val="0"/>
    <w:rPr>
      <w:rFonts w:ascii="宋体" w:hAnsi="Courier New" w:eastAsia="仿宋_GB2312"/>
      <w:sz w:val="32"/>
      <w:szCs w:val="20"/>
    </w:rPr>
  </w:style>
  <w:style w:type="paragraph" w:styleId="4">
    <w:name w:val="Date"/>
    <w:basedOn w:val="1"/>
    <w:next w:val="1"/>
    <w:link w:val="14"/>
    <w:unhideWhenUsed/>
    <w:qFormat/>
    <w:uiPriority w:val="0"/>
    <w:pPr>
      <w:ind w:left="100" w:leftChars="2500"/>
    </w:p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18"/>
    <w:semiHidden/>
    <w:qFormat/>
    <w:uiPriority w:val="99"/>
    <w:pPr>
      <w:snapToGrid w:val="0"/>
      <w:jc w:val="left"/>
    </w:pPr>
    <w:rPr>
      <w:rFonts w:ascii="Calibri" w:hAnsi="Calibri" w:cs="Calibri"/>
      <w:spacing w:val="-6"/>
      <w:kern w:val="0"/>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日期 Char"/>
    <w:basedOn w:val="10"/>
    <w:link w:val="4"/>
    <w:qFormat/>
    <w:uiPriority w:val="0"/>
    <w:rPr>
      <w:rFonts w:ascii="Times New Roman" w:hAnsi="Times New Roman" w:eastAsia="宋体" w:cs="Times New Roman"/>
      <w:szCs w:val="24"/>
    </w:rPr>
  </w:style>
  <w:style w:type="character" w:customStyle="1" w:styleId="15">
    <w:name w:val="正文文本 Char"/>
    <w:basedOn w:val="10"/>
    <w:link w:val="2"/>
    <w:qFormat/>
    <w:uiPriority w:val="0"/>
    <w:rPr>
      <w:rFonts w:ascii="Times New Roman" w:hAnsi="Times New Roman" w:eastAsia="宋体" w:cs="Times New Roman"/>
      <w:szCs w:val="24"/>
    </w:rPr>
  </w:style>
  <w:style w:type="character" w:customStyle="1" w:styleId="16">
    <w:name w:val="纯文本 Char"/>
    <w:basedOn w:val="10"/>
    <w:link w:val="3"/>
    <w:qFormat/>
    <w:uiPriority w:val="0"/>
    <w:rPr>
      <w:rFonts w:ascii="宋体" w:hAnsi="Courier New" w:eastAsia="仿宋_GB2312" w:cs="Times New Roman"/>
      <w:sz w:val="32"/>
      <w:szCs w:val="20"/>
    </w:rPr>
  </w:style>
  <w:style w:type="character" w:customStyle="1" w:styleId="17">
    <w:name w:val="脚注文本 Char"/>
    <w:basedOn w:val="10"/>
    <w:link w:val="7"/>
    <w:semiHidden/>
    <w:qFormat/>
    <w:uiPriority w:val="99"/>
    <w:rPr>
      <w:rFonts w:ascii="Times New Roman" w:hAnsi="Times New Roman" w:eastAsia="宋体" w:cs="Times New Roman"/>
      <w:sz w:val="18"/>
      <w:szCs w:val="18"/>
    </w:rPr>
  </w:style>
  <w:style w:type="character" w:customStyle="1" w:styleId="18">
    <w:name w:val="脚注文本 Char1"/>
    <w:basedOn w:val="10"/>
    <w:link w:val="7"/>
    <w:semiHidden/>
    <w:qFormat/>
    <w:locked/>
    <w:uiPriority w:val="99"/>
    <w:rPr>
      <w:rFonts w:ascii="Calibri" w:hAnsi="Calibri" w:eastAsia="宋体" w:cs="Calibri"/>
      <w:spacing w:val="-6"/>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2061</Words>
  <Characters>2082</Characters>
  <Lines>15</Lines>
  <Paragraphs>4</Paragraphs>
  <TotalTime>9</TotalTime>
  <ScaleCrop>false</ScaleCrop>
  <LinksUpToDate>false</LinksUpToDate>
  <CharactersWithSpaces>2106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2021-11-30T02:20:00Z</dcterms:created>
  <dc:creator>于萍萍</dc:creator>
  <cp:lastModifiedBy>乐乐</cp:lastModifiedBy>
  <cp:lastPrinted>2020-12-08T02:34:00Z</cp:lastPrinted>
  <dcterms:modified xsi:type="dcterms:W3CDTF">2022-01-25T22:40:44Z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4AF960D25FC645FFA8A8F2E28BC49B46</vt:lpwstr>
  </property>
</Properties>
</file>