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青岛西海岸新区综合行政执法局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2021年度行政执法统计报告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，青岛西海岸新区</w:t>
      </w:r>
      <w:r>
        <w:rPr>
          <w:rFonts w:hint="eastAsia" w:ascii="仿宋_GB2312" w:hAnsi="仿宋" w:eastAsia="仿宋_GB2312"/>
          <w:sz w:val="32"/>
          <w:szCs w:val="32"/>
        </w:rPr>
        <w:t>综合行政执法局以习近平新时代中国特色社会主义思想为指引，不断规范行政执法行为、创新行政执法方式，秉持“雷厉风行，善谋善为，标本兼治，久久为功”的工作理念，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扎实</w:t>
      </w:r>
      <w:r>
        <w:rPr>
          <w:rFonts w:hint="eastAsia" w:ascii="仿宋_GB2312" w:hAnsi="仿宋" w:eastAsia="仿宋_GB2312"/>
          <w:sz w:val="32"/>
          <w:szCs w:val="32"/>
        </w:rPr>
        <w:t>推进治政府建设，提高依法行政水平，优化营商环境，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全面加强各</w:t>
      </w:r>
      <w:r>
        <w:rPr>
          <w:rFonts w:hint="eastAsia" w:ascii="仿宋_GB2312" w:hAnsi="仿宋" w:eastAsia="仿宋_GB2312"/>
          <w:sz w:val="32"/>
          <w:szCs w:val="32"/>
        </w:rPr>
        <w:t>领域执法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" w:eastAsia="仿宋_GB2312"/>
          <w:sz w:val="32"/>
          <w:szCs w:val="32"/>
        </w:rPr>
        <w:t>。为进一步提高执法办案水平，及时发现存在的问题和不足，我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局</w:t>
      </w:r>
      <w:r>
        <w:rPr>
          <w:rFonts w:hint="eastAsia" w:ascii="仿宋_GB2312" w:hAnsi="仿宋" w:eastAsia="仿宋_GB2312"/>
          <w:sz w:val="32"/>
          <w:szCs w:val="32"/>
        </w:rPr>
        <w:t>对2021年行政执法案件基本情况进行了统计分析，提出了相关意见和建议，现通报如下：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执法案件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数量</w:t>
      </w:r>
      <w:r>
        <w:rPr>
          <w:rFonts w:hint="eastAsia" w:ascii="黑体" w:hAnsi="黑体" w:eastAsia="黑体"/>
          <w:color w:val="auto"/>
          <w:sz w:val="32"/>
          <w:szCs w:val="32"/>
        </w:rPr>
        <w:t xml:space="preserve">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青岛西海岸新区综合行政执法局共有相关执法事项1078项，其中行政许可0项、行政处罚1056项、行政强制措施22项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其他权力0项。2021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行政处罚</w:t>
      </w:r>
      <w:r>
        <w:rPr>
          <w:rFonts w:hint="eastAsia" w:ascii="仿宋_GB2312" w:hAnsi="仿宋" w:eastAsia="仿宋_GB2312"/>
          <w:sz w:val="32"/>
          <w:szCs w:val="32"/>
        </w:rPr>
        <w:t>办案数量为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6208</w:t>
      </w:r>
      <w:r>
        <w:rPr>
          <w:rFonts w:hint="eastAsia" w:ascii="仿宋_GB2312" w:hAnsi="仿宋" w:eastAsia="仿宋_GB2312"/>
          <w:sz w:val="32"/>
          <w:szCs w:val="32"/>
        </w:rPr>
        <w:t>起，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其中340起包含行政强制措施，</w:t>
      </w:r>
      <w:r>
        <w:rPr>
          <w:rFonts w:hint="eastAsia" w:ascii="仿宋_GB2312" w:hAnsi="仿宋" w:eastAsia="仿宋_GB2312"/>
          <w:sz w:val="32"/>
          <w:szCs w:val="32"/>
        </w:rPr>
        <w:t>总罚款金额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1724</w:t>
      </w:r>
      <w:r>
        <w:rPr>
          <w:rFonts w:hint="eastAsia" w:ascii="仿宋_GB2312" w:hAnsi="仿宋" w:eastAsia="仿宋_GB2312"/>
          <w:sz w:val="32"/>
          <w:szCs w:val="32"/>
        </w:rPr>
        <w:t>余万元，总结案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数量为6272</w:t>
      </w:r>
      <w:r>
        <w:rPr>
          <w:rFonts w:hint="eastAsia" w:ascii="仿宋_GB2312" w:hAnsi="仿宋" w:eastAsia="仿宋_GB2312"/>
          <w:sz w:val="32"/>
          <w:szCs w:val="32"/>
        </w:rPr>
        <w:t>起，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因处理积案的原因，</w:t>
      </w:r>
      <w:r>
        <w:rPr>
          <w:rFonts w:hint="eastAsia" w:ascii="仿宋_GB2312" w:hAnsi="仿宋" w:eastAsia="仿宋_GB2312"/>
          <w:sz w:val="32"/>
          <w:szCs w:val="32"/>
        </w:rPr>
        <w:t>结案率为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101.74%。</w:t>
      </w:r>
    </w:p>
    <w:p>
      <w:pPr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1.概况</w:t>
      </w:r>
    </w:p>
    <w:p>
      <w:pPr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2021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年办理案件数据汇总：</w:t>
      </w:r>
    </w:p>
    <w:tbl>
      <w:tblPr>
        <w:tblStyle w:val="14"/>
        <w:tblW w:w="88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718"/>
        <w:gridCol w:w="718"/>
        <w:gridCol w:w="1452"/>
        <w:gridCol w:w="498"/>
        <w:gridCol w:w="776"/>
        <w:gridCol w:w="1304"/>
        <w:gridCol w:w="608"/>
        <w:gridCol w:w="726"/>
        <w:gridCol w:w="12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领  域</w:t>
            </w:r>
          </w:p>
        </w:tc>
        <w:tc>
          <w:tcPr>
            <w:tcW w:w="28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2020年</w:t>
            </w:r>
          </w:p>
        </w:tc>
        <w:tc>
          <w:tcPr>
            <w:tcW w:w="2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2021年</w:t>
            </w:r>
          </w:p>
        </w:tc>
        <w:tc>
          <w:tcPr>
            <w:tcW w:w="2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同比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立案数量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结案数量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罚款金额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立案数量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结案数量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罚款金额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立案数量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结案数量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罚款金额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城管领域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1859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1900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5727206.47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4474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4365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5708367.73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140.67%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129.74%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-0.33%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国土领域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11566790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5653262.45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-46.98%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-21.30%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-51.13%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海洋领域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74730.7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56739.38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-66.67%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-50.00%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-24.07%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交通领域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834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1287170.19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1435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5413811.87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59.93%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72.06%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320.60%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旅游领域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52950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700.00%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800.00%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-66.01%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文化领域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55011.38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253732.26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108.11%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107.56%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361.24%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公路执法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35000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17000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300.00%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-20.00%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-51.43%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水行政执法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264000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124000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-89.74%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81.25%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-53.03%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  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3131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3109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19062858.74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6208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6272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17244913.69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98.28%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101.74%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-9.54%</w:t>
            </w:r>
          </w:p>
        </w:tc>
      </w:tr>
    </w:tbl>
    <w:p>
      <w:pPr>
        <w:rPr>
          <w:rFonts w:hint="eastAsia" w:eastAsia="仿宋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object>
          <v:shape id="_x0000_i1025" o:spt="75" type="#_x0000_t75" style="height:258.9pt;width:443.2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xcel.Chart.8" ShapeID="_x0000_i1025" DrawAspect="Content" ObjectID="_1468075725" r:id="rId10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textAlignment w:val="auto"/>
        <w:rPr>
          <w:rFonts w:hint="eastAsia" w:ascii="仿宋" w:hAnsi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从上述对比分析看出，2021年比2020年立案总量上升了98.28%，且除国土、海洋和水行政领域立案总量下降外，其他领域立案均比2020年有所上升。2021年因我局组织了占路经营集中整治、夜间渣土车运输专项整治等多次专项行动，城管领域与交通领域案件较上一年比较有明显提升。同时2021年青岛地区疫情管控较好，城管、交通、文化领域在相关业务方面受疫情影响较小，因此办案量也有所提升。</w:t>
      </w:r>
      <w:r>
        <w:rPr>
          <w:rFonts w:hint="eastAsia" w:ascii="仿宋" w:hAnsi="仿宋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/>
          <w:color w:val="auto"/>
          <w:sz w:val="32"/>
          <w:szCs w:val="32"/>
          <w:lang w:val="en-US" w:eastAsia="zh-CN"/>
        </w:rPr>
        <w:t>各领域执法分析</w:t>
      </w:r>
    </w:p>
    <w:p/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5080000" cy="3810000"/>
            <wp:effectExtent l="4445" t="4445" r="20955" b="1460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从各执法领域对比来看，城管领域办案数量占到了全部办案数量的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72.07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%；交通领域为2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.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54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城管领域立案数量同比上升140.67%，结案数量同比上升129.74%，罚款金额下降0.33%；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交通领域立案数量同比上升59.93%，结案数量上升72.06%，罚款金额上升320.60%；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文化领域立案数量同比增长108.11%，结案数量上升107.56%，罚款金额上升361.24%；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国土领域立案数量下降46.98%，结案数量下降21.30%，罚款金额下降51.13%；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海洋领域立案数量下降66.67%，结案数量下降50%，罚款金额下降24.07%；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旅游领域立案数量上升700%，结案数量上升800%，罚款金额下降66.01%；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公路执法立案数量上升300%，结案数量下降20%，罚款金额下降51.43%；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水行政执法立案数量下降89.74%，结案数量上升81.25%，罚款金额下降53.03%。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处罚种类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分析</w:t>
      </w:r>
    </w:p>
    <w:tbl>
      <w:tblPr>
        <w:tblStyle w:val="14"/>
        <w:tblW w:w="870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4"/>
        <w:gridCol w:w="42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行政处罚种类</w:t>
            </w:r>
          </w:p>
        </w:tc>
        <w:tc>
          <w:tcPr>
            <w:tcW w:w="4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年合计（件次）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警告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罚款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4944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没收违法所得、没收非法财物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责令停产停业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暂扣或者吊销许可证、暂扣或者吊销执照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法律、行政法规规定的其他行政处罚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从行政处罚的种类看，罚款处罚占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88.5</w:t>
      </w:r>
      <w:r>
        <w:rPr>
          <w:rFonts w:hint="eastAsia" w:ascii="仿宋_GB2312" w:hAnsi="仿宋" w:eastAsia="仿宋_GB2312"/>
          <w:sz w:val="32"/>
          <w:szCs w:val="32"/>
        </w:rPr>
        <w:t>%，警告占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7.2</w:t>
      </w:r>
      <w:r>
        <w:rPr>
          <w:rFonts w:hint="eastAsia" w:ascii="仿宋_GB2312" w:hAnsi="仿宋" w:eastAsia="仿宋_GB2312"/>
          <w:sz w:val="32"/>
          <w:szCs w:val="32"/>
        </w:rPr>
        <w:t>%。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45</w:t>
      </w:r>
      <w:r>
        <w:rPr>
          <w:rFonts w:hint="eastAsia" w:ascii="仿宋_GB2312" w:hAnsi="仿宋" w:eastAsia="仿宋_GB2312"/>
          <w:sz w:val="32"/>
          <w:szCs w:val="32"/>
        </w:rPr>
        <w:t>件次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“</w:t>
      </w:r>
      <w:r>
        <w:rPr>
          <w:rFonts w:hint="eastAsia" w:ascii="仿宋_GB2312" w:hAnsi="仿宋" w:eastAsia="仿宋_GB2312"/>
          <w:sz w:val="32"/>
          <w:szCs w:val="32"/>
        </w:rPr>
        <w:t>责令停产停业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”</w:t>
      </w:r>
      <w:r>
        <w:rPr>
          <w:rFonts w:hint="eastAsia" w:ascii="仿宋_GB2312" w:hAnsi="仿宋" w:eastAsia="仿宋_GB2312"/>
          <w:sz w:val="32"/>
          <w:szCs w:val="32"/>
        </w:rPr>
        <w:t>处罚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以及21件次“吊销证照”处罚</w:t>
      </w:r>
      <w:r>
        <w:rPr>
          <w:rFonts w:hint="eastAsia" w:ascii="仿宋_GB2312" w:hAnsi="仿宋" w:eastAsia="仿宋_GB2312"/>
          <w:sz w:val="32"/>
          <w:szCs w:val="32"/>
        </w:rPr>
        <w:t>主要是交通领域“一超四罚”等受移送案件。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167</w:t>
      </w:r>
      <w:r>
        <w:rPr>
          <w:rFonts w:hint="eastAsia" w:ascii="仿宋_GB2312" w:hAnsi="仿宋" w:eastAsia="仿宋_GB2312"/>
          <w:sz w:val="32"/>
          <w:szCs w:val="32"/>
        </w:rPr>
        <w:t>件次“没收违法所得、没收非法财物”主要是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交通执法领域“未经许可擅自从事出租汽车客运经营”等案件、</w:t>
      </w:r>
      <w:r>
        <w:rPr>
          <w:rFonts w:hint="eastAsia" w:ascii="仿宋_GB2312" w:hAnsi="仿宋" w:eastAsia="仿宋_GB2312"/>
          <w:sz w:val="32"/>
          <w:szCs w:val="32"/>
        </w:rPr>
        <w:t>国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土执法</w:t>
      </w:r>
      <w:r>
        <w:rPr>
          <w:rFonts w:hint="eastAsia" w:ascii="仿宋_GB2312" w:hAnsi="仿宋" w:eastAsia="仿宋_GB2312"/>
          <w:sz w:val="32"/>
          <w:szCs w:val="32"/>
        </w:rPr>
        <w:t>领域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“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未经批准非法占用土地、非法开采矿产资源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”</w:t>
      </w:r>
      <w:r>
        <w:rPr>
          <w:rFonts w:hint="eastAsia" w:ascii="仿宋_GB2312" w:hAnsi="仿宋" w:eastAsia="仿宋_GB2312"/>
          <w:sz w:val="32"/>
          <w:szCs w:val="32"/>
        </w:rPr>
        <w:t>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案件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城管领域细分对比</w:t>
      </w:r>
    </w:p>
    <w:tbl>
      <w:tblPr>
        <w:tblStyle w:val="14"/>
        <w:tblW w:w="89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145"/>
        <w:gridCol w:w="1227"/>
        <w:gridCol w:w="1327"/>
        <w:gridCol w:w="1202"/>
        <w:gridCol w:w="1302"/>
        <w:gridCol w:w="1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</w:t>
            </w:r>
          </w:p>
        </w:tc>
        <w:tc>
          <w:tcPr>
            <w:tcW w:w="369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2020年城管案件</w:t>
            </w:r>
          </w:p>
        </w:tc>
        <w:tc>
          <w:tcPr>
            <w:tcW w:w="402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2021年城管案件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立案数量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结案数量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罚款金额（元）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立案数量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结案数量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罚款金额（元）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市容环境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959638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1930972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城镇燃气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146694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292757.9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城市供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城市排水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353800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城市供热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419588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市政道路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37510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城市规划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1635965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1002137.83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大气污染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1068600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固废污染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409420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噪声污染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425500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1859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2313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5556715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5490727.73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城市管理执法中，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2021年立案案件较2020年有大幅上升，主要数据变化体现在在市容环境方面，因开展市容秩序集中整治专项行动，案件数明显增加。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各中队办案情况详表</w:t>
      </w:r>
    </w:p>
    <w:tbl>
      <w:tblPr>
        <w:tblStyle w:val="14"/>
        <w:tblW w:w="89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000"/>
        <w:gridCol w:w="1265"/>
        <w:gridCol w:w="1165"/>
        <w:gridCol w:w="1674"/>
        <w:gridCol w:w="18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4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2021年各中队一般程序办案情况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5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排名</w:t>
            </w:r>
          </w:p>
        </w:tc>
        <w:tc>
          <w:tcPr>
            <w:tcW w:w="20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中队名称</w:t>
            </w:r>
          </w:p>
        </w:tc>
        <w:tc>
          <w:tcPr>
            <w:tcW w:w="12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立案数量</w:t>
            </w:r>
          </w:p>
        </w:tc>
        <w:tc>
          <w:tcPr>
            <w:tcW w:w="11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处罚数</w:t>
            </w:r>
          </w:p>
        </w:tc>
        <w:tc>
          <w:tcPr>
            <w:tcW w:w="167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罚款金额</w:t>
            </w:r>
          </w:p>
        </w:tc>
        <w:tc>
          <w:tcPr>
            <w:tcW w:w="1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结案数量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辛安中队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441790.89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隐珠中队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731707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直属一中队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1765499.6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直属四中队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4158556.18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直属二中队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984757.3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长江路中队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417752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薛家岛中队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403791.6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9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直属五中队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1211070.6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珠海中队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253152.05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9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灵山卫中队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639389.4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滨海中队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369201.8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黄岛中队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556676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王台中队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2095614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红石崖中队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297330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张家楼中队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341005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灵珠山中队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102795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胶南中队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471530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铁山中队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230250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灵山湾影视局中队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93100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9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交通商务区中队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55405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琅琊中队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83158.69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六汪中队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42735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藏马中队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41095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直属三中队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209312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宝山中队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29870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大场中队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412604.2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灵山岛保护区执法中队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29606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9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古镇口中队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40800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大村中队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110500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海青中队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258360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9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董家口中队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直属六中队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59739.38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5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4523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16941953.69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4083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、复议诉讼案件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度，我局办理的行政案件被申请行政复议23起，确认违法1起；一审行政诉讼案件42起，无被撤销或者确认违法的案件。较2020年相比，行政复议及诉讼案件数量下降7.1%，行政复议和行政诉讼败诉率由2020年的11.4%降到1.5%。其中，复议案件中，涉及城管领域22起，涉及国土领域1起；诉讼案件中，涉及城管领域38起，涉及国土领域2起；行政赔偿2起，均驳回了其赔偿请求。</w:t>
      </w:r>
    </w:p>
    <w:p>
      <w:pPr>
        <w:spacing w:line="60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青岛西海岸新区综合行政执法局</w:t>
      </w:r>
    </w:p>
    <w:p>
      <w:pPr>
        <w:spacing w:line="600" w:lineRule="exact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2022年1月14日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" w:right="1310" w:bottom="6" w:left="131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Cascadia Mono SemiLight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scadia Mono SemiLight">
    <w:panose1 w:val="020B0609020000020004"/>
    <w:charset w:val="00"/>
    <w:family w:val="auto"/>
    <w:pitch w:val="default"/>
    <w:sig w:usb0="A1002AFF" w:usb1="C000F9FB" w:usb2="00040020" w:usb3="00000000" w:csb0="6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scadia Mono SemiLight">
    <w:panose1 w:val="020B0609020000020004"/>
    <w:charset w:val="01"/>
    <w:family w:val="swiss"/>
    <w:pitch w:val="default"/>
    <w:sig w:usb0="A1002AFF" w:usb1="C000F9FB" w:usb2="00040020" w:usb3="00000000" w:csb0="6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44C07"/>
    <w:multiLevelType w:val="singleLevel"/>
    <w:tmpl w:val="36844C0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A609EDE"/>
    <w:multiLevelType w:val="singleLevel"/>
    <w:tmpl w:val="7A609E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yOGE2OWEzYjdmMDkxMzFlNmQzYzczNWMxNWQ1N2YifQ=="/>
  </w:docVars>
  <w:rsids>
    <w:rsidRoot w:val="00EF4148"/>
    <w:rsid w:val="000014D5"/>
    <w:rsid w:val="000058F5"/>
    <w:rsid w:val="0000612F"/>
    <w:rsid w:val="000263E6"/>
    <w:rsid w:val="00043A6B"/>
    <w:rsid w:val="000468B5"/>
    <w:rsid w:val="00060DE5"/>
    <w:rsid w:val="0006225F"/>
    <w:rsid w:val="00070504"/>
    <w:rsid w:val="00072FE8"/>
    <w:rsid w:val="00082772"/>
    <w:rsid w:val="000860C1"/>
    <w:rsid w:val="0008630C"/>
    <w:rsid w:val="00086570"/>
    <w:rsid w:val="00096C08"/>
    <w:rsid w:val="000A2C74"/>
    <w:rsid w:val="000B0934"/>
    <w:rsid w:val="000B6957"/>
    <w:rsid w:val="000C1100"/>
    <w:rsid w:val="000F3AAD"/>
    <w:rsid w:val="00107408"/>
    <w:rsid w:val="001125EE"/>
    <w:rsid w:val="00123027"/>
    <w:rsid w:val="00127C04"/>
    <w:rsid w:val="00134447"/>
    <w:rsid w:val="00134F07"/>
    <w:rsid w:val="001447D5"/>
    <w:rsid w:val="00145F86"/>
    <w:rsid w:val="00164C29"/>
    <w:rsid w:val="00164F54"/>
    <w:rsid w:val="001661C6"/>
    <w:rsid w:val="00175F91"/>
    <w:rsid w:val="00185B12"/>
    <w:rsid w:val="00190873"/>
    <w:rsid w:val="001931E4"/>
    <w:rsid w:val="001A44DF"/>
    <w:rsid w:val="001A68A4"/>
    <w:rsid w:val="001B10E2"/>
    <w:rsid w:val="001B3272"/>
    <w:rsid w:val="001B4C36"/>
    <w:rsid w:val="001C35E4"/>
    <w:rsid w:val="001D2A8D"/>
    <w:rsid w:val="001D3A1E"/>
    <w:rsid w:val="001D464E"/>
    <w:rsid w:val="001E1990"/>
    <w:rsid w:val="001E3FE8"/>
    <w:rsid w:val="001F258D"/>
    <w:rsid w:val="001F65B9"/>
    <w:rsid w:val="00204773"/>
    <w:rsid w:val="00210C81"/>
    <w:rsid w:val="00210D2F"/>
    <w:rsid w:val="002138E4"/>
    <w:rsid w:val="00217CF1"/>
    <w:rsid w:val="00220163"/>
    <w:rsid w:val="00243DED"/>
    <w:rsid w:val="00246161"/>
    <w:rsid w:val="0025037A"/>
    <w:rsid w:val="002524F0"/>
    <w:rsid w:val="0025518E"/>
    <w:rsid w:val="00263CA0"/>
    <w:rsid w:val="00274992"/>
    <w:rsid w:val="00285F85"/>
    <w:rsid w:val="002871FB"/>
    <w:rsid w:val="00296FA5"/>
    <w:rsid w:val="002A2137"/>
    <w:rsid w:val="002A2AAD"/>
    <w:rsid w:val="002A2EE4"/>
    <w:rsid w:val="002A40BC"/>
    <w:rsid w:val="002B1810"/>
    <w:rsid w:val="002B18C2"/>
    <w:rsid w:val="002B4B76"/>
    <w:rsid w:val="002C1389"/>
    <w:rsid w:val="002C4AF2"/>
    <w:rsid w:val="002D08BF"/>
    <w:rsid w:val="002D3B75"/>
    <w:rsid w:val="002E6248"/>
    <w:rsid w:val="002E6A46"/>
    <w:rsid w:val="002F5615"/>
    <w:rsid w:val="002F6E02"/>
    <w:rsid w:val="00300F18"/>
    <w:rsid w:val="00307AA0"/>
    <w:rsid w:val="00311CB8"/>
    <w:rsid w:val="0033432B"/>
    <w:rsid w:val="003373A8"/>
    <w:rsid w:val="00347F57"/>
    <w:rsid w:val="003632B1"/>
    <w:rsid w:val="00364255"/>
    <w:rsid w:val="003656B4"/>
    <w:rsid w:val="003671D7"/>
    <w:rsid w:val="003715F5"/>
    <w:rsid w:val="00382B00"/>
    <w:rsid w:val="00384894"/>
    <w:rsid w:val="0039180E"/>
    <w:rsid w:val="00391BCC"/>
    <w:rsid w:val="003A15BD"/>
    <w:rsid w:val="003A1616"/>
    <w:rsid w:val="003B039F"/>
    <w:rsid w:val="003B1DE7"/>
    <w:rsid w:val="003B678E"/>
    <w:rsid w:val="003C2183"/>
    <w:rsid w:val="003D2CC3"/>
    <w:rsid w:val="003E34F3"/>
    <w:rsid w:val="003F1EB6"/>
    <w:rsid w:val="003F3058"/>
    <w:rsid w:val="004029BA"/>
    <w:rsid w:val="004039A2"/>
    <w:rsid w:val="0040466A"/>
    <w:rsid w:val="00422516"/>
    <w:rsid w:val="00427F7F"/>
    <w:rsid w:val="004341DE"/>
    <w:rsid w:val="0043546B"/>
    <w:rsid w:val="004433E3"/>
    <w:rsid w:val="004452C4"/>
    <w:rsid w:val="004725B6"/>
    <w:rsid w:val="004827D6"/>
    <w:rsid w:val="00484850"/>
    <w:rsid w:val="00485267"/>
    <w:rsid w:val="004A03AA"/>
    <w:rsid w:val="004A4D1D"/>
    <w:rsid w:val="004A5DF3"/>
    <w:rsid w:val="004A61F7"/>
    <w:rsid w:val="004B2365"/>
    <w:rsid w:val="004B46B9"/>
    <w:rsid w:val="004C33A1"/>
    <w:rsid w:val="004C6008"/>
    <w:rsid w:val="004E0B6C"/>
    <w:rsid w:val="004E506E"/>
    <w:rsid w:val="004F69D4"/>
    <w:rsid w:val="00506F96"/>
    <w:rsid w:val="005136FD"/>
    <w:rsid w:val="00531CAE"/>
    <w:rsid w:val="005374CB"/>
    <w:rsid w:val="00544D46"/>
    <w:rsid w:val="005636DE"/>
    <w:rsid w:val="00570C0E"/>
    <w:rsid w:val="005760D8"/>
    <w:rsid w:val="00594888"/>
    <w:rsid w:val="005A45D1"/>
    <w:rsid w:val="005A481F"/>
    <w:rsid w:val="005B22D9"/>
    <w:rsid w:val="005B5CBE"/>
    <w:rsid w:val="005B6032"/>
    <w:rsid w:val="005C0B64"/>
    <w:rsid w:val="005C0CF7"/>
    <w:rsid w:val="005C21F5"/>
    <w:rsid w:val="005D0079"/>
    <w:rsid w:val="005D3C54"/>
    <w:rsid w:val="005D629B"/>
    <w:rsid w:val="005E17D6"/>
    <w:rsid w:val="005E203F"/>
    <w:rsid w:val="005E665C"/>
    <w:rsid w:val="005F0908"/>
    <w:rsid w:val="005F106A"/>
    <w:rsid w:val="005F2CA7"/>
    <w:rsid w:val="005F7FB7"/>
    <w:rsid w:val="0060215D"/>
    <w:rsid w:val="0062579D"/>
    <w:rsid w:val="006277FC"/>
    <w:rsid w:val="00636D09"/>
    <w:rsid w:val="006464FB"/>
    <w:rsid w:val="00650452"/>
    <w:rsid w:val="00652879"/>
    <w:rsid w:val="006605FD"/>
    <w:rsid w:val="0066090B"/>
    <w:rsid w:val="00662493"/>
    <w:rsid w:val="00662B01"/>
    <w:rsid w:val="00663C03"/>
    <w:rsid w:val="00665B0E"/>
    <w:rsid w:val="00677702"/>
    <w:rsid w:val="00684E2C"/>
    <w:rsid w:val="00685BB9"/>
    <w:rsid w:val="006B1C29"/>
    <w:rsid w:val="006B2DE0"/>
    <w:rsid w:val="006B6056"/>
    <w:rsid w:val="006C204C"/>
    <w:rsid w:val="006C6E4D"/>
    <w:rsid w:val="006E3446"/>
    <w:rsid w:val="006E37D2"/>
    <w:rsid w:val="006E7C89"/>
    <w:rsid w:val="006F0736"/>
    <w:rsid w:val="006F12FA"/>
    <w:rsid w:val="006F2AF0"/>
    <w:rsid w:val="006F3DED"/>
    <w:rsid w:val="006F526A"/>
    <w:rsid w:val="006F731E"/>
    <w:rsid w:val="00704532"/>
    <w:rsid w:val="00705021"/>
    <w:rsid w:val="00705731"/>
    <w:rsid w:val="007136BC"/>
    <w:rsid w:val="007247CF"/>
    <w:rsid w:val="00726D31"/>
    <w:rsid w:val="0072742D"/>
    <w:rsid w:val="007323EB"/>
    <w:rsid w:val="00733F38"/>
    <w:rsid w:val="0074249A"/>
    <w:rsid w:val="00763205"/>
    <w:rsid w:val="007638FD"/>
    <w:rsid w:val="007669E0"/>
    <w:rsid w:val="00772F82"/>
    <w:rsid w:val="007751E5"/>
    <w:rsid w:val="00782C12"/>
    <w:rsid w:val="00786270"/>
    <w:rsid w:val="00791672"/>
    <w:rsid w:val="007A1658"/>
    <w:rsid w:val="007A4135"/>
    <w:rsid w:val="007B18F1"/>
    <w:rsid w:val="007D2C34"/>
    <w:rsid w:val="007D6FEC"/>
    <w:rsid w:val="007E2DE7"/>
    <w:rsid w:val="007E33E7"/>
    <w:rsid w:val="008057BE"/>
    <w:rsid w:val="0081550F"/>
    <w:rsid w:val="008303C7"/>
    <w:rsid w:val="008366C0"/>
    <w:rsid w:val="00836D07"/>
    <w:rsid w:val="00846048"/>
    <w:rsid w:val="00854F97"/>
    <w:rsid w:val="008579D7"/>
    <w:rsid w:val="00876C60"/>
    <w:rsid w:val="00876D39"/>
    <w:rsid w:val="008832F3"/>
    <w:rsid w:val="008A492E"/>
    <w:rsid w:val="008B2565"/>
    <w:rsid w:val="008B45CF"/>
    <w:rsid w:val="008B5788"/>
    <w:rsid w:val="008B5E89"/>
    <w:rsid w:val="008B7049"/>
    <w:rsid w:val="008C511D"/>
    <w:rsid w:val="008D3A63"/>
    <w:rsid w:val="008E2990"/>
    <w:rsid w:val="008F64DC"/>
    <w:rsid w:val="00910832"/>
    <w:rsid w:val="0091442B"/>
    <w:rsid w:val="0092046B"/>
    <w:rsid w:val="00925EE3"/>
    <w:rsid w:val="00930477"/>
    <w:rsid w:val="00935F6B"/>
    <w:rsid w:val="00942438"/>
    <w:rsid w:val="00964D5D"/>
    <w:rsid w:val="009675E1"/>
    <w:rsid w:val="0097109C"/>
    <w:rsid w:val="0097552A"/>
    <w:rsid w:val="00993790"/>
    <w:rsid w:val="009A79B0"/>
    <w:rsid w:val="009B130A"/>
    <w:rsid w:val="009B35B2"/>
    <w:rsid w:val="009B43FF"/>
    <w:rsid w:val="009B58CA"/>
    <w:rsid w:val="009D474C"/>
    <w:rsid w:val="009D7A90"/>
    <w:rsid w:val="009E5AC8"/>
    <w:rsid w:val="009F6C02"/>
    <w:rsid w:val="009F6F94"/>
    <w:rsid w:val="00A07D81"/>
    <w:rsid w:val="00A24208"/>
    <w:rsid w:val="00A31DDF"/>
    <w:rsid w:val="00A3508A"/>
    <w:rsid w:val="00A46465"/>
    <w:rsid w:val="00A474C5"/>
    <w:rsid w:val="00A474CC"/>
    <w:rsid w:val="00A570A9"/>
    <w:rsid w:val="00A576F4"/>
    <w:rsid w:val="00A61C9A"/>
    <w:rsid w:val="00A70EC0"/>
    <w:rsid w:val="00A77FD4"/>
    <w:rsid w:val="00A80AB3"/>
    <w:rsid w:val="00A82587"/>
    <w:rsid w:val="00A84D4B"/>
    <w:rsid w:val="00A85E43"/>
    <w:rsid w:val="00A9488D"/>
    <w:rsid w:val="00A97ED9"/>
    <w:rsid w:val="00AA182B"/>
    <w:rsid w:val="00AB105D"/>
    <w:rsid w:val="00AB5402"/>
    <w:rsid w:val="00AB5CD4"/>
    <w:rsid w:val="00AC5917"/>
    <w:rsid w:val="00AD48A9"/>
    <w:rsid w:val="00AE088F"/>
    <w:rsid w:val="00AF34BC"/>
    <w:rsid w:val="00B051BB"/>
    <w:rsid w:val="00B05EA3"/>
    <w:rsid w:val="00B14986"/>
    <w:rsid w:val="00B15421"/>
    <w:rsid w:val="00B16657"/>
    <w:rsid w:val="00B22E51"/>
    <w:rsid w:val="00B36933"/>
    <w:rsid w:val="00B4681A"/>
    <w:rsid w:val="00B513C9"/>
    <w:rsid w:val="00B553DD"/>
    <w:rsid w:val="00B610E9"/>
    <w:rsid w:val="00B83624"/>
    <w:rsid w:val="00B868AF"/>
    <w:rsid w:val="00B87AA1"/>
    <w:rsid w:val="00B96C67"/>
    <w:rsid w:val="00B976F6"/>
    <w:rsid w:val="00BA41FC"/>
    <w:rsid w:val="00BA4412"/>
    <w:rsid w:val="00BB334F"/>
    <w:rsid w:val="00BC0021"/>
    <w:rsid w:val="00BC2EBC"/>
    <w:rsid w:val="00BC6B54"/>
    <w:rsid w:val="00BD1D37"/>
    <w:rsid w:val="00BD307B"/>
    <w:rsid w:val="00BD40E1"/>
    <w:rsid w:val="00BD7CC0"/>
    <w:rsid w:val="00BF2FDE"/>
    <w:rsid w:val="00BF52C1"/>
    <w:rsid w:val="00C141C3"/>
    <w:rsid w:val="00C14BA5"/>
    <w:rsid w:val="00C21A04"/>
    <w:rsid w:val="00C221B7"/>
    <w:rsid w:val="00C22E44"/>
    <w:rsid w:val="00C2313E"/>
    <w:rsid w:val="00C30BD0"/>
    <w:rsid w:val="00C323CD"/>
    <w:rsid w:val="00C3360A"/>
    <w:rsid w:val="00C357F2"/>
    <w:rsid w:val="00C369B3"/>
    <w:rsid w:val="00C4771A"/>
    <w:rsid w:val="00C519E4"/>
    <w:rsid w:val="00C56CFC"/>
    <w:rsid w:val="00C6316B"/>
    <w:rsid w:val="00C65858"/>
    <w:rsid w:val="00C65E7B"/>
    <w:rsid w:val="00C7206F"/>
    <w:rsid w:val="00C87383"/>
    <w:rsid w:val="00C91C93"/>
    <w:rsid w:val="00C927A8"/>
    <w:rsid w:val="00CA1667"/>
    <w:rsid w:val="00CA19E7"/>
    <w:rsid w:val="00CA5343"/>
    <w:rsid w:val="00CB2071"/>
    <w:rsid w:val="00CB28CF"/>
    <w:rsid w:val="00CB6D50"/>
    <w:rsid w:val="00CB73EA"/>
    <w:rsid w:val="00CC6755"/>
    <w:rsid w:val="00CF023A"/>
    <w:rsid w:val="00CF3353"/>
    <w:rsid w:val="00CF409A"/>
    <w:rsid w:val="00D0470A"/>
    <w:rsid w:val="00D20BDA"/>
    <w:rsid w:val="00D2226B"/>
    <w:rsid w:val="00D27924"/>
    <w:rsid w:val="00D27CED"/>
    <w:rsid w:val="00D41294"/>
    <w:rsid w:val="00D55289"/>
    <w:rsid w:val="00D85D9B"/>
    <w:rsid w:val="00D920D7"/>
    <w:rsid w:val="00D947D2"/>
    <w:rsid w:val="00D961E9"/>
    <w:rsid w:val="00DA0223"/>
    <w:rsid w:val="00DA1931"/>
    <w:rsid w:val="00DA1F3C"/>
    <w:rsid w:val="00DA32BB"/>
    <w:rsid w:val="00DA4633"/>
    <w:rsid w:val="00DA5322"/>
    <w:rsid w:val="00DB4A14"/>
    <w:rsid w:val="00DC02BE"/>
    <w:rsid w:val="00DD41DE"/>
    <w:rsid w:val="00DD58F3"/>
    <w:rsid w:val="00DE1BF3"/>
    <w:rsid w:val="00DF74F0"/>
    <w:rsid w:val="00E03DD2"/>
    <w:rsid w:val="00E07D5B"/>
    <w:rsid w:val="00E10DB3"/>
    <w:rsid w:val="00E134C1"/>
    <w:rsid w:val="00E17A68"/>
    <w:rsid w:val="00E25A58"/>
    <w:rsid w:val="00E3442A"/>
    <w:rsid w:val="00E440B6"/>
    <w:rsid w:val="00E67959"/>
    <w:rsid w:val="00E70D7C"/>
    <w:rsid w:val="00E84755"/>
    <w:rsid w:val="00E84F2D"/>
    <w:rsid w:val="00E8692A"/>
    <w:rsid w:val="00E91FB8"/>
    <w:rsid w:val="00E96DC5"/>
    <w:rsid w:val="00EA1DA1"/>
    <w:rsid w:val="00EB0B0D"/>
    <w:rsid w:val="00EB73D4"/>
    <w:rsid w:val="00EC0FA9"/>
    <w:rsid w:val="00EC15C9"/>
    <w:rsid w:val="00EC59D3"/>
    <w:rsid w:val="00ED34E9"/>
    <w:rsid w:val="00EF4148"/>
    <w:rsid w:val="00EF7354"/>
    <w:rsid w:val="00F168F1"/>
    <w:rsid w:val="00F25264"/>
    <w:rsid w:val="00F34054"/>
    <w:rsid w:val="00F41415"/>
    <w:rsid w:val="00F57BBB"/>
    <w:rsid w:val="00F7201C"/>
    <w:rsid w:val="00F75590"/>
    <w:rsid w:val="00F77E19"/>
    <w:rsid w:val="00F95190"/>
    <w:rsid w:val="00FA089E"/>
    <w:rsid w:val="00FA6015"/>
    <w:rsid w:val="00FB38FE"/>
    <w:rsid w:val="00FC09E2"/>
    <w:rsid w:val="00FC0EF4"/>
    <w:rsid w:val="00FC2BCF"/>
    <w:rsid w:val="00FD47D6"/>
    <w:rsid w:val="00FD4E2B"/>
    <w:rsid w:val="00FE30F0"/>
    <w:rsid w:val="00FE647F"/>
    <w:rsid w:val="00FF3924"/>
    <w:rsid w:val="00FF7FA0"/>
    <w:rsid w:val="010C56CE"/>
    <w:rsid w:val="0190400D"/>
    <w:rsid w:val="01F82DAD"/>
    <w:rsid w:val="028B5965"/>
    <w:rsid w:val="028D27A5"/>
    <w:rsid w:val="02D17826"/>
    <w:rsid w:val="04EA6DAD"/>
    <w:rsid w:val="0AAA12C5"/>
    <w:rsid w:val="0D235909"/>
    <w:rsid w:val="0E870413"/>
    <w:rsid w:val="0F701620"/>
    <w:rsid w:val="0F907196"/>
    <w:rsid w:val="11011FED"/>
    <w:rsid w:val="112C532C"/>
    <w:rsid w:val="11A101D6"/>
    <w:rsid w:val="17171493"/>
    <w:rsid w:val="1A124E03"/>
    <w:rsid w:val="1AC40817"/>
    <w:rsid w:val="1E907214"/>
    <w:rsid w:val="200603BB"/>
    <w:rsid w:val="21CE2E69"/>
    <w:rsid w:val="23254D17"/>
    <w:rsid w:val="24765B0F"/>
    <w:rsid w:val="24D93140"/>
    <w:rsid w:val="25A4493F"/>
    <w:rsid w:val="2600055F"/>
    <w:rsid w:val="26F2139D"/>
    <w:rsid w:val="2B597F39"/>
    <w:rsid w:val="2D5170B0"/>
    <w:rsid w:val="33337877"/>
    <w:rsid w:val="37A006D4"/>
    <w:rsid w:val="3942200C"/>
    <w:rsid w:val="39701D0F"/>
    <w:rsid w:val="39BA2553"/>
    <w:rsid w:val="39E44355"/>
    <w:rsid w:val="3A2D6818"/>
    <w:rsid w:val="3BF770DE"/>
    <w:rsid w:val="3BF8602F"/>
    <w:rsid w:val="3C396015"/>
    <w:rsid w:val="3EA702A0"/>
    <w:rsid w:val="3EEB27FE"/>
    <w:rsid w:val="400A7F9D"/>
    <w:rsid w:val="411B578E"/>
    <w:rsid w:val="43A538C3"/>
    <w:rsid w:val="44105C66"/>
    <w:rsid w:val="44AB2920"/>
    <w:rsid w:val="44B27035"/>
    <w:rsid w:val="45CE3353"/>
    <w:rsid w:val="46987D5A"/>
    <w:rsid w:val="471D566B"/>
    <w:rsid w:val="49A107FB"/>
    <w:rsid w:val="4C006360"/>
    <w:rsid w:val="4DA96926"/>
    <w:rsid w:val="4E5B7F5A"/>
    <w:rsid w:val="506A795F"/>
    <w:rsid w:val="50887B01"/>
    <w:rsid w:val="509C03E3"/>
    <w:rsid w:val="51D36025"/>
    <w:rsid w:val="53331E4B"/>
    <w:rsid w:val="567A1EDB"/>
    <w:rsid w:val="582A65E1"/>
    <w:rsid w:val="59062BFD"/>
    <w:rsid w:val="5A2E20D9"/>
    <w:rsid w:val="5A993AEF"/>
    <w:rsid w:val="5C6707B7"/>
    <w:rsid w:val="5C9F4DDC"/>
    <w:rsid w:val="5D081E3B"/>
    <w:rsid w:val="5D0848D5"/>
    <w:rsid w:val="5E622685"/>
    <w:rsid w:val="5E7235CE"/>
    <w:rsid w:val="5E924F28"/>
    <w:rsid w:val="608E6527"/>
    <w:rsid w:val="615351A9"/>
    <w:rsid w:val="616B35B9"/>
    <w:rsid w:val="61BA1C46"/>
    <w:rsid w:val="628141BA"/>
    <w:rsid w:val="63BD3EBA"/>
    <w:rsid w:val="65284875"/>
    <w:rsid w:val="655B398A"/>
    <w:rsid w:val="6944147C"/>
    <w:rsid w:val="6A3A19E3"/>
    <w:rsid w:val="6E6B4557"/>
    <w:rsid w:val="70493D00"/>
    <w:rsid w:val="70C64081"/>
    <w:rsid w:val="70DB63B7"/>
    <w:rsid w:val="72650F3D"/>
    <w:rsid w:val="75842C09"/>
    <w:rsid w:val="758E6C49"/>
    <w:rsid w:val="77DA7CE2"/>
    <w:rsid w:val="77E65D05"/>
    <w:rsid w:val="790D425F"/>
    <w:rsid w:val="7AB43AED"/>
    <w:rsid w:val="7AE8319D"/>
    <w:rsid w:val="7EE10F4C"/>
    <w:rsid w:val="7FD53D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仿宋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200" w:line="271" w:lineRule="auto"/>
      <w:outlineLvl w:val="2"/>
    </w:pPr>
    <w:rPr>
      <w:rFonts w:ascii="Cambria" w:hAnsi="Cambria" w:cs="Cambria"/>
      <w:b/>
      <w:bCs/>
    </w:rPr>
  </w:style>
  <w:style w:type="character" w:default="1" w:styleId="10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1"/>
    <w:semiHidden/>
    <w:unhideWhenUsed/>
    <w:qFormat/>
    <w:uiPriority w:val="99"/>
    <w:rPr>
      <w:b/>
      <w:bCs/>
    </w:rPr>
  </w:style>
  <w:style w:type="paragraph" w:styleId="4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6"/>
    <w:qFormat/>
    <w:uiPriority w:val="99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2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/>
      <w:kern w:val="0"/>
      <w:sz w:val="24"/>
      <w:szCs w:val="24"/>
    </w:rPr>
  </w:style>
  <w:style w:type="character" w:styleId="11">
    <w:name w:val="page number"/>
    <w:basedOn w:val="10"/>
    <w:qFormat/>
    <w:uiPriority w:val="99"/>
    <w:rPr>
      <w:rFonts w:ascii="Verdana" w:hAnsi="Verdana" w:eastAsia="宋体" w:cs="Times New Roman"/>
      <w:kern w:val="0"/>
      <w:sz w:val="20"/>
      <w:lang w:eastAsia="en-US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styleId="13">
    <w:name w:val="footnote reference"/>
    <w:basedOn w:val="10"/>
    <w:semiHidden/>
    <w:unhideWhenUsed/>
    <w:qFormat/>
    <w:uiPriority w:val="99"/>
    <w:rPr>
      <w:vertAlign w:val="superscript"/>
    </w:rPr>
  </w:style>
  <w:style w:type="table" w:styleId="15">
    <w:name w:val="Table Grid"/>
    <w:basedOn w:val="14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6">
    <w:name w:val="批注框文本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6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0">
    <w:name w:val="批注文字 Char"/>
    <w:basedOn w:val="10"/>
    <w:link w:val="4"/>
    <w:semiHidden/>
    <w:qFormat/>
    <w:uiPriority w:val="99"/>
    <w:rPr>
      <w:rFonts w:eastAsia="仿宋"/>
    </w:rPr>
  </w:style>
  <w:style w:type="character" w:customStyle="1" w:styleId="21">
    <w:name w:val="批注主题 Char"/>
    <w:basedOn w:val="20"/>
    <w:link w:val="3"/>
    <w:semiHidden/>
    <w:qFormat/>
    <w:uiPriority w:val="99"/>
    <w:rPr>
      <w:rFonts w:eastAsia="仿宋"/>
      <w:b/>
      <w:bCs/>
    </w:rPr>
  </w:style>
  <w:style w:type="character" w:customStyle="1" w:styleId="22">
    <w:name w:val="脚注文本 Char"/>
    <w:basedOn w:val="10"/>
    <w:link w:val="8"/>
    <w:semiHidden/>
    <w:qFormat/>
    <w:uiPriority w:val="99"/>
    <w:rPr>
      <w:rFonts w:eastAsia="仿宋"/>
      <w:sz w:val="18"/>
      <w:szCs w:val="18"/>
    </w:rPr>
  </w:style>
  <w:style w:type="character" w:customStyle="1" w:styleId="23">
    <w:name w:val="font1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4">
    <w:name w:val="font01"/>
    <w:basedOn w:val="10"/>
    <w:qFormat/>
    <w:uiPriority w:val="0"/>
    <w:rPr>
      <w:rFonts w:ascii="等线" w:hAnsi="等线" w:eastAsia="等线" w:cs="等线"/>
      <w:color w:val="FF0000"/>
      <w:sz w:val="22"/>
      <w:szCs w:val="22"/>
      <w:u w:val="none"/>
    </w:rPr>
  </w:style>
  <w:style w:type="character" w:customStyle="1" w:styleId="25">
    <w:name w:val="font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chart" Target="charts/chart1.xml"/><Relationship Id="rId11" Type="http://schemas.openxmlformats.org/officeDocument/2006/relationships/image" Target="media/image1.e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"2021"</c:f>
              <c:strCache>
                <c:ptCount val="1"/>
                <c:pt idx="0">
                  <c:v>2021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129"/>
                  <c:y val="-0.031333333333333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42125"/>
                  <c:y val="0.106166666666667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84375"/>
                  <c:y val="-0.032833333333333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103125"/>
                  <c:y val="-0.0125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166375"/>
                  <c:y val="-0.0281666666666667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785"/>
                  <c:y val="-0.034333333333333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.014"/>
                  <c:y val="-0.0171666666666667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.21675"/>
                  <c:y val="-0.025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Sheet1!$A$9:$A$16</c:f>
              <c:strCache>
                <c:ptCount val="8"/>
                <c:pt idx="0">
                  <c:v>城管领域</c:v>
                </c:pt>
                <c:pt idx="1">
                  <c:v>国土领域</c:v>
                </c:pt>
                <c:pt idx="2">
                  <c:v>海洋领域</c:v>
                </c:pt>
                <c:pt idx="3">
                  <c:v>交通领域</c:v>
                </c:pt>
                <c:pt idx="4">
                  <c:v>旅游领域</c:v>
                </c:pt>
                <c:pt idx="5">
                  <c:v>文化领域</c:v>
                </c:pt>
                <c:pt idx="6">
                  <c:v>公路执法</c:v>
                </c:pt>
                <c:pt idx="7">
                  <c:v>水行政执法</c:v>
                </c:pt>
              </c:strCache>
            </c:strRef>
          </c:cat>
          <c:val>
            <c:numRef>
              <c:f>Sheet1!$B$9:$B$16</c:f>
              <c:numCache>
                <c:formatCode>General</c:formatCode>
                <c:ptCount val="8"/>
                <c:pt idx="0">
                  <c:v>4474</c:v>
                </c:pt>
                <c:pt idx="1">
                  <c:v>149</c:v>
                </c:pt>
                <c:pt idx="2">
                  <c:v>1</c:v>
                </c:pt>
                <c:pt idx="3">
                  <c:v>1337</c:v>
                </c:pt>
                <c:pt idx="4">
                  <c:v>8</c:v>
                </c:pt>
                <c:pt idx="5">
                  <c:v>231</c:v>
                </c:pt>
                <c:pt idx="6">
                  <c:v>4</c:v>
                </c:pt>
                <c:pt idx="7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26F51A-DA99-48DF-89C7-09D5C1ADCB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1501</Words>
  <Characters>2075</Characters>
  <Lines>16</Lines>
  <Paragraphs>4</Paragraphs>
  <TotalTime>4</TotalTime>
  <ScaleCrop>false</ScaleCrop>
  <LinksUpToDate>false</LinksUpToDate>
  <CharactersWithSpaces>2076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2023-01-06T03:07:00Z</dcterms:created>
  <dc:creator>lm137893543@163.com</dc:creator>
  <cp:lastModifiedBy>86130</cp:lastModifiedBy>
  <cp:lastPrinted>2021-01-11T07:26:00Z</cp:lastPrinted>
  <dcterms:modified xsi:type="dcterms:W3CDTF">2023-08-14T01:42:05Z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SaveFontToCloudKey">
    <vt:lpwstr>322916549_btnclosed</vt:lpwstr>
  </property>
  <property fmtid="{D5CDD505-2E9C-101B-9397-08002B2CF9AE}" pid="4" name="ICV">
    <vt:lpwstr>F952990ACE5D4846B371AD702C2810A1</vt:lpwstr>
  </property>
</Properties>
</file>