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ascii="黑体" w:hAnsi="黑体" w:eastAsia="黑体"/>
          <w:color w:val="000000"/>
          <w:kern w:val="0"/>
          <w:sz w:val="32"/>
          <w:szCs w:val="32"/>
        </w:rPr>
      </w:pPr>
      <w:r>
        <w:rPr>
          <w:rFonts w:hint="eastAsia" w:ascii="黑体" w:hAnsi="黑体" w:eastAsia="黑体"/>
          <w:color w:val="000000"/>
          <w:kern w:val="0"/>
          <w:sz w:val="32"/>
          <w:szCs w:val="32"/>
        </w:rPr>
        <w:t>附件1</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青岛市人才享受住房优惠面积标准</w:t>
      </w:r>
    </w:p>
    <w:tbl>
      <w:tblPr>
        <w:tblStyle w:val="8"/>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3"/>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7593" w:type="dxa"/>
            <w:vAlign w:val="center"/>
          </w:tcPr>
          <w:p>
            <w:pPr>
              <w:spacing w:line="0" w:lineRule="atLeast"/>
              <w:jc w:val="center"/>
              <w:rPr>
                <w:rFonts w:ascii="黑体" w:hAnsi="黑体" w:eastAsia="黑体" w:cs="黑体"/>
                <w:sz w:val="32"/>
                <w:szCs w:val="32"/>
              </w:rPr>
            </w:pPr>
            <w:r>
              <w:rPr>
                <w:rFonts w:hint="eastAsia" w:ascii="黑体" w:hAnsi="黑体" w:eastAsia="黑体" w:cs="黑体"/>
                <w:sz w:val="32"/>
                <w:szCs w:val="32"/>
              </w:rPr>
              <w:t>人才类别</w:t>
            </w:r>
          </w:p>
        </w:tc>
        <w:tc>
          <w:tcPr>
            <w:tcW w:w="1631" w:type="dxa"/>
            <w:vAlign w:val="center"/>
          </w:tcPr>
          <w:p>
            <w:pPr>
              <w:spacing w:line="0" w:lineRule="atLeast"/>
              <w:jc w:val="center"/>
              <w:rPr>
                <w:rFonts w:ascii="黑体" w:hAnsi="黑体" w:eastAsia="黑体" w:cs="黑体"/>
                <w:sz w:val="32"/>
                <w:szCs w:val="32"/>
              </w:rPr>
            </w:pPr>
            <w:r>
              <w:rPr>
                <w:rFonts w:hint="eastAsia" w:ascii="黑体" w:hAnsi="黑体" w:eastAsia="黑体" w:cs="黑体"/>
                <w:sz w:val="32"/>
                <w:szCs w:val="32"/>
              </w:rPr>
              <w:t>住房建筑</w:t>
            </w:r>
          </w:p>
          <w:p>
            <w:pPr>
              <w:spacing w:line="0" w:lineRule="atLeast"/>
              <w:jc w:val="center"/>
              <w:rPr>
                <w:rFonts w:ascii="黑体" w:hAnsi="黑体" w:eastAsia="黑体" w:cs="黑体"/>
                <w:sz w:val="32"/>
                <w:szCs w:val="32"/>
              </w:rPr>
            </w:pPr>
            <w:r>
              <w:rPr>
                <w:rFonts w:hint="eastAsia" w:ascii="黑体" w:hAnsi="黑体" w:eastAsia="黑体" w:cs="黑体"/>
                <w:sz w:val="32"/>
                <w:szCs w:val="32"/>
              </w:rPr>
              <w:t>面积标准（m²）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593" w:type="dxa"/>
            <w:vAlign w:val="center"/>
          </w:tcPr>
          <w:p>
            <w:pPr>
              <w:spacing w:line="0" w:lineRule="atLeas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青岛市高层次人才分类目录中规定的A类人才。</w:t>
            </w:r>
          </w:p>
        </w:tc>
        <w:tc>
          <w:tcPr>
            <w:tcW w:w="1631" w:type="dxa"/>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593" w:type="dxa"/>
            <w:vAlign w:val="center"/>
          </w:tcPr>
          <w:p>
            <w:pPr>
              <w:spacing w:line="0" w:lineRule="atLeas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青岛市高层次人才分类目录中规定的B类人才。</w:t>
            </w:r>
          </w:p>
        </w:tc>
        <w:tc>
          <w:tcPr>
            <w:tcW w:w="1631" w:type="dxa"/>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7593" w:type="dxa"/>
            <w:vAlign w:val="center"/>
          </w:tcPr>
          <w:p>
            <w:pPr>
              <w:spacing w:line="0" w:lineRule="atLeas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青岛市高层次人才分类目录中规定的C类和D类人才；青岛市名师名校长；正高职称人员；企业特级技师。</w:t>
            </w:r>
          </w:p>
        </w:tc>
        <w:tc>
          <w:tcPr>
            <w:tcW w:w="1631" w:type="dxa"/>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7593" w:type="dxa"/>
            <w:vAlign w:val="center"/>
          </w:tcPr>
          <w:p>
            <w:pPr>
              <w:spacing w:line="0" w:lineRule="atLeas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博士；副高职称人员；高级技师；作为第一大股东或法人代表来青创办企业一次性投资额（本人）在300万元人民币以上，并年缴税额在30万元以上或企业聘用本市员工30人以上人员；近三年个人所得税年度平均纳税总额12万元及以上人员；“青岛市首席技师”称号获得者。</w:t>
            </w:r>
          </w:p>
        </w:tc>
        <w:tc>
          <w:tcPr>
            <w:tcW w:w="1631" w:type="dxa"/>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593" w:type="dxa"/>
            <w:vAlign w:val="center"/>
          </w:tcPr>
          <w:p>
            <w:pPr>
              <w:spacing w:line="0" w:lineRule="atLeas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硕士；中级职称人员；技师；近三年个人所得税年度平均纳税总额4万元-12万元人员。</w:t>
            </w:r>
          </w:p>
        </w:tc>
        <w:tc>
          <w:tcPr>
            <w:tcW w:w="1631" w:type="dxa"/>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593" w:type="dxa"/>
            <w:vAlign w:val="center"/>
          </w:tcPr>
          <w:p>
            <w:pPr>
              <w:spacing w:line="0" w:lineRule="atLeas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全日制本科毕业生；作为第一大股东或法人代表来青创办企业一次性投资额（本人）在100万元人民币以上，并年缴税额在10万元以上或企业聘用本市员工10人以上人员。</w:t>
            </w:r>
          </w:p>
        </w:tc>
        <w:tc>
          <w:tcPr>
            <w:tcW w:w="1631" w:type="dxa"/>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593" w:type="dxa"/>
            <w:vAlign w:val="center"/>
          </w:tcPr>
          <w:p>
            <w:pPr>
              <w:spacing w:line="0" w:lineRule="atLeas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全日制专科毕业生；高级工。</w:t>
            </w:r>
          </w:p>
        </w:tc>
        <w:tc>
          <w:tcPr>
            <w:tcW w:w="1631" w:type="dxa"/>
            <w:vAlign w:val="center"/>
          </w:tcPr>
          <w:p>
            <w:pPr>
              <w:spacing w:line="0"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55</w:t>
            </w:r>
          </w:p>
        </w:tc>
      </w:tr>
    </w:tbl>
    <w:p>
      <w:pPr>
        <w:widowControl/>
        <w:shd w:val="clear" w:color="auto" w:fill="FFFFFF"/>
        <w:spacing w:line="560" w:lineRule="exact"/>
        <w:rPr>
          <w:rFonts w:ascii="黑体" w:hAnsi="黑体" w:eastAsia="黑体"/>
          <w:color w:val="000000"/>
          <w:kern w:val="0"/>
          <w:sz w:val="32"/>
          <w:szCs w:val="32"/>
        </w:rPr>
      </w:pPr>
    </w:p>
    <w:p>
      <w:pPr>
        <w:widowControl/>
        <w:shd w:val="clear" w:color="auto" w:fill="FFFFFF"/>
        <w:spacing w:line="560" w:lineRule="exact"/>
        <w:rPr>
          <w:rFonts w:ascii="黑体" w:hAnsi="黑体" w:eastAsia="黑体"/>
          <w:color w:val="000000"/>
          <w:kern w:val="0"/>
          <w:sz w:val="32"/>
          <w:szCs w:val="32"/>
        </w:rPr>
      </w:pPr>
    </w:p>
    <w:p>
      <w:pPr>
        <w:widowControl/>
        <w:shd w:val="clear" w:color="auto" w:fill="FFFFFF"/>
        <w:spacing w:line="560" w:lineRule="exact"/>
        <w:rPr>
          <w:rFonts w:ascii="黑体" w:hAnsi="黑体" w:eastAsia="黑体"/>
          <w:color w:val="000000"/>
          <w:kern w:val="0"/>
          <w:sz w:val="32"/>
          <w:szCs w:val="32"/>
        </w:rPr>
      </w:pPr>
    </w:p>
    <w:p>
      <w:pPr>
        <w:widowControl/>
        <w:shd w:val="clear" w:color="auto" w:fill="FFFFFF"/>
        <w:spacing w:line="560" w:lineRule="exact"/>
        <w:rPr>
          <w:rFonts w:ascii="黑体" w:hAnsi="黑体" w:eastAsia="黑体" w:cs="Times New Roman"/>
          <w:color w:val="000000"/>
          <w:kern w:val="0"/>
          <w:sz w:val="32"/>
          <w:szCs w:val="32"/>
        </w:rPr>
      </w:pPr>
      <w:r>
        <w:rPr>
          <w:rFonts w:hint="eastAsia" w:ascii="黑体" w:hAnsi="黑体" w:eastAsia="黑体" w:cs="Times New Roman"/>
          <w:color w:val="000000"/>
          <w:kern w:val="0"/>
          <w:sz w:val="32"/>
          <w:szCs w:val="32"/>
        </w:rPr>
        <w:t>附件2</w:t>
      </w:r>
    </w:p>
    <w:p>
      <w:pPr>
        <w:widowControl/>
        <w:shd w:val="clear" w:color="auto" w:fill="FFFFFF"/>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青岛市人才住房分配综合评分表</w:t>
      </w:r>
    </w:p>
    <w:tbl>
      <w:tblPr>
        <w:tblStyle w:val="8"/>
        <w:tblW w:w="9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501"/>
        <w:gridCol w:w="5568"/>
        <w:gridCol w:w="960"/>
        <w:gridCol w:w="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946" w:type="dxa"/>
            <w:tcMar>
              <w:top w:w="15" w:type="dxa"/>
              <w:left w:w="15" w:type="dxa"/>
              <w:right w:w="15" w:type="dxa"/>
            </w:tcMar>
            <w:vAlign w:val="center"/>
          </w:tcPr>
          <w:p>
            <w:pPr>
              <w:widowControl/>
              <w:tabs>
                <w:tab w:val="left" w:pos="2940"/>
              </w:tabs>
              <w:spacing w:line="360" w:lineRule="exact"/>
              <w:jc w:val="center"/>
              <w:textAlignment w:val="center"/>
              <w:rPr>
                <w:rFonts w:ascii="黑体" w:hAnsi="黑体" w:eastAsia="黑体" w:cs="黑体"/>
                <w:bCs/>
                <w:color w:val="000000"/>
                <w:kern w:val="0"/>
                <w:sz w:val="32"/>
                <w:szCs w:val="32"/>
              </w:rPr>
            </w:pPr>
            <w:r>
              <w:rPr>
                <w:rFonts w:ascii="黑体" w:hAnsi="黑体" w:eastAsia="黑体" w:cs="黑体"/>
                <w:bCs/>
                <w:color w:val="000000"/>
                <w:kern w:val="0"/>
                <w:sz w:val="32"/>
                <w:szCs w:val="32"/>
              </w:rPr>
              <w:t>一级</w:t>
            </w:r>
          </w:p>
          <w:p>
            <w:pPr>
              <w:widowControl/>
              <w:tabs>
                <w:tab w:val="left" w:pos="2940"/>
              </w:tabs>
              <w:spacing w:line="360" w:lineRule="exact"/>
              <w:jc w:val="center"/>
              <w:textAlignment w:val="center"/>
              <w:rPr>
                <w:rFonts w:ascii="黑体" w:hAnsi="黑体" w:eastAsia="黑体" w:cs="黑体"/>
                <w:bCs/>
                <w:color w:val="000000"/>
                <w:sz w:val="32"/>
                <w:szCs w:val="32"/>
              </w:rPr>
            </w:pPr>
            <w:r>
              <w:rPr>
                <w:rFonts w:ascii="黑体" w:hAnsi="黑体" w:eastAsia="黑体" w:cs="黑体"/>
                <w:bCs/>
                <w:color w:val="000000"/>
                <w:kern w:val="0"/>
                <w:sz w:val="32"/>
                <w:szCs w:val="32"/>
              </w:rPr>
              <w:t>指标</w:t>
            </w:r>
          </w:p>
        </w:tc>
        <w:tc>
          <w:tcPr>
            <w:tcW w:w="1501" w:type="dxa"/>
            <w:tcMar>
              <w:top w:w="15" w:type="dxa"/>
              <w:left w:w="15" w:type="dxa"/>
              <w:right w:w="15" w:type="dxa"/>
            </w:tcMar>
            <w:vAlign w:val="center"/>
          </w:tcPr>
          <w:p>
            <w:pPr>
              <w:widowControl/>
              <w:tabs>
                <w:tab w:val="left" w:pos="2940"/>
              </w:tabs>
              <w:spacing w:line="360" w:lineRule="exact"/>
              <w:jc w:val="center"/>
              <w:textAlignment w:val="center"/>
              <w:rPr>
                <w:rFonts w:ascii="黑体" w:hAnsi="黑体" w:eastAsia="黑体" w:cs="黑体"/>
                <w:bCs/>
                <w:color w:val="000000"/>
                <w:sz w:val="32"/>
                <w:szCs w:val="32"/>
              </w:rPr>
            </w:pPr>
            <w:r>
              <w:rPr>
                <w:rFonts w:ascii="黑体" w:hAnsi="黑体" w:eastAsia="黑体" w:cs="黑体"/>
                <w:bCs/>
                <w:color w:val="000000"/>
                <w:kern w:val="0"/>
                <w:sz w:val="32"/>
                <w:szCs w:val="32"/>
              </w:rPr>
              <w:t>二级指标</w:t>
            </w:r>
          </w:p>
        </w:tc>
        <w:tc>
          <w:tcPr>
            <w:tcW w:w="5568" w:type="dxa"/>
            <w:tcMar>
              <w:top w:w="15" w:type="dxa"/>
              <w:left w:w="15" w:type="dxa"/>
              <w:right w:w="15" w:type="dxa"/>
            </w:tcMar>
            <w:vAlign w:val="center"/>
          </w:tcPr>
          <w:p>
            <w:pPr>
              <w:widowControl/>
              <w:tabs>
                <w:tab w:val="left" w:pos="2940"/>
              </w:tabs>
              <w:spacing w:line="360" w:lineRule="exact"/>
              <w:jc w:val="center"/>
              <w:textAlignment w:val="center"/>
              <w:rPr>
                <w:rFonts w:ascii="黑体" w:hAnsi="黑体" w:eastAsia="黑体" w:cs="黑体"/>
                <w:bCs/>
                <w:color w:val="000000"/>
                <w:sz w:val="32"/>
                <w:szCs w:val="32"/>
              </w:rPr>
            </w:pPr>
            <w:r>
              <w:rPr>
                <w:rFonts w:ascii="黑体" w:hAnsi="黑体" w:eastAsia="黑体" w:cs="黑体"/>
                <w:bCs/>
                <w:color w:val="000000"/>
                <w:kern w:val="0"/>
                <w:sz w:val="32"/>
                <w:szCs w:val="32"/>
              </w:rPr>
              <w:t>三级指标</w:t>
            </w:r>
          </w:p>
        </w:tc>
        <w:tc>
          <w:tcPr>
            <w:tcW w:w="960" w:type="dxa"/>
            <w:tcMar>
              <w:top w:w="15" w:type="dxa"/>
              <w:left w:w="15" w:type="dxa"/>
              <w:right w:w="15" w:type="dxa"/>
            </w:tcMar>
            <w:vAlign w:val="center"/>
          </w:tcPr>
          <w:p>
            <w:pPr>
              <w:widowControl/>
              <w:tabs>
                <w:tab w:val="left" w:pos="2940"/>
              </w:tabs>
              <w:spacing w:line="360" w:lineRule="exact"/>
              <w:jc w:val="center"/>
              <w:textAlignment w:val="center"/>
              <w:rPr>
                <w:rFonts w:ascii="黑体" w:hAnsi="黑体" w:eastAsia="黑体" w:cs="黑体"/>
                <w:bCs/>
                <w:color w:val="000000"/>
                <w:sz w:val="32"/>
                <w:szCs w:val="32"/>
              </w:rPr>
            </w:pPr>
            <w:r>
              <w:rPr>
                <w:rFonts w:ascii="黑体" w:hAnsi="黑体" w:eastAsia="黑体" w:cs="黑体"/>
                <w:bCs/>
                <w:color w:val="000000"/>
                <w:kern w:val="0"/>
                <w:sz w:val="32"/>
                <w:szCs w:val="32"/>
              </w:rPr>
              <w:t>得分</w:t>
            </w:r>
          </w:p>
        </w:tc>
        <w:tc>
          <w:tcPr>
            <w:tcW w:w="732" w:type="dxa"/>
            <w:tcMar>
              <w:top w:w="15" w:type="dxa"/>
              <w:left w:w="15" w:type="dxa"/>
              <w:right w:w="15" w:type="dxa"/>
            </w:tcMar>
            <w:vAlign w:val="center"/>
          </w:tcPr>
          <w:p>
            <w:pPr>
              <w:widowControl/>
              <w:tabs>
                <w:tab w:val="left" w:pos="2940"/>
              </w:tabs>
              <w:spacing w:line="360" w:lineRule="exact"/>
              <w:jc w:val="center"/>
              <w:textAlignment w:val="center"/>
              <w:rPr>
                <w:rFonts w:ascii="黑体" w:hAnsi="黑体" w:eastAsia="黑体" w:cs="黑体"/>
                <w:bCs/>
                <w:color w:val="000000"/>
                <w:kern w:val="0"/>
                <w:sz w:val="32"/>
                <w:szCs w:val="32"/>
              </w:rPr>
            </w:pPr>
            <w:r>
              <w:rPr>
                <w:rFonts w:ascii="黑体" w:hAnsi="黑体" w:eastAsia="黑体" w:cs="黑体"/>
                <w:bCs/>
                <w:color w:val="000000"/>
                <w:kern w:val="0"/>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946" w:type="dxa"/>
            <w:vMerge w:val="restart"/>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人才类别指标</w:t>
            </w:r>
          </w:p>
        </w:tc>
        <w:tc>
          <w:tcPr>
            <w:tcW w:w="1501" w:type="dxa"/>
            <w:vMerge w:val="restart"/>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专技类人才</w:t>
            </w: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正高职称</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90</w:t>
            </w:r>
          </w:p>
        </w:tc>
        <w:tc>
          <w:tcPr>
            <w:tcW w:w="732" w:type="dxa"/>
            <w:vMerge w:val="restart"/>
            <w:tcMar>
              <w:top w:w="15" w:type="dxa"/>
              <w:left w:w="15" w:type="dxa"/>
              <w:right w:w="15" w:type="dxa"/>
            </w:tcMar>
            <w:vAlign w:val="center"/>
          </w:tcPr>
          <w:p>
            <w:pPr>
              <w:widowControl/>
              <w:tabs>
                <w:tab w:val="left" w:pos="2940"/>
              </w:tabs>
              <w:spacing w:line="360" w:lineRule="exact"/>
              <w:jc w:val="left"/>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申请人同时符合多种条件的，按分值最高项评分，不累计计算。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副高职称</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72</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中级职称</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60</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restart"/>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学历类人才</w:t>
            </w: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博士/毕业学年在校博士</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67</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硕士/毕业学年在校硕士</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57</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全日制本科/毕业学年在校全日制本科</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50</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全日制专科/毕业学年全日制专科</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45</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restart"/>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技能类人才</w:t>
            </w: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首席技师、特级技师</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90</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高级技师</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64</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技师</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53</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高级工</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48</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restart"/>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高级管理人才（以纳税额为准）</w:t>
            </w: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近三年个人所得税（仅含单位计缴工资、薪金所得和劳务报酬所得项目）年度平均纳税总额12万元及以上人员</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70</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近三年个人所得税（仅含单位计缴工资、薪金所得和劳务报酬所得项目）年度平均纳税总额8万元-12万元人员</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64</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近三年个人所得税（仅含单位计缴工资、薪金所得和劳务报酬所得项目）年度平均纳税总额4万元-8万元人员</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60</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restart"/>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创业类人才</w:t>
            </w: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作为第一大股东或法人代表所创办企业一次性投资额（本人）在300万元人民币以上，并年缴纳税额在30万元以上或企业聘用本市员工30人以上人员</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72</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作为第一大股东或法人代表所创办企业一次性投资额（本人）在100万元人民币以上，并年缴纳税额在10万元以上或企业聘用本市员工10人以上人员</w:t>
            </w:r>
          </w:p>
        </w:tc>
        <w:tc>
          <w:tcPr>
            <w:tcW w:w="960" w:type="dxa"/>
            <w:tcMar>
              <w:top w:w="15" w:type="dxa"/>
              <w:left w:w="15" w:type="dxa"/>
              <w:right w:w="15" w:type="dxa"/>
            </w:tcMar>
            <w:vAlign w:val="center"/>
          </w:tcPr>
          <w:p>
            <w:pPr>
              <w:widowControl/>
              <w:spacing w:line="360" w:lineRule="exact"/>
              <w:jc w:val="center"/>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60</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946" w:type="dxa"/>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人才</w:t>
            </w:r>
          </w:p>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辅助性</w:t>
            </w:r>
          </w:p>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指标</w:t>
            </w:r>
          </w:p>
        </w:tc>
        <w:tc>
          <w:tcPr>
            <w:tcW w:w="1501" w:type="dxa"/>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社保缴纳</w:t>
            </w:r>
          </w:p>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时长</w:t>
            </w: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在青缴纳城镇职工社会保险时长，每月0.1分</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最高</w:t>
            </w:r>
          </w:p>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10分</w:t>
            </w:r>
          </w:p>
        </w:tc>
        <w:tc>
          <w:tcPr>
            <w:tcW w:w="732" w:type="dxa"/>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946" w:type="dxa"/>
            <w:vMerge w:val="restart"/>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人才加分指标</w:t>
            </w:r>
          </w:p>
        </w:tc>
        <w:tc>
          <w:tcPr>
            <w:tcW w:w="1501" w:type="dxa"/>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配偶情况</w:t>
            </w:r>
          </w:p>
        </w:tc>
        <w:tc>
          <w:tcPr>
            <w:tcW w:w="5568" w:type="dxa"/>
            <w:tcMar>
              <w:top w:w="15" w:type="dxa"/>
              <w:left w:w="15" w:type="dxa"/>
              <w:right w:w="15" w:type="dxa"/>
            </w:tcMar>
            <w:vAlign w:val="center"/>
          </w:tcPr>
          <w:p>
            <w:pPr>
              <w:widowControl/>
              <w:tabs>
                <w:tab w:val="left" w:pos="2940"/>
              </w:tabs>
              <w:spacing w:line="360" w:lineRule="exact"/>
              <w:textAlignment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配偶在青工作的按照配偶的人才类别指标得分×5.55%计算</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最高不超过5分</w:t>
            </w:r>
          </w:p>
        </w:tc>
        <w:tc>
          <w:tcPr>
            <w:tcW w:w="732" w:type="dxa"/>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户籍情况</w:t>
            </w: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已在青岛市落户的</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w:t>
            </w:r>
          </w:p>
        </w:tc>
        <w:tc>
          <w:tcPr>
            <w:tcW w:w="732" w:type="dxa"/>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restart"/>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仿宋_GB2312" w:eastAsia="仿宋_GB2312" w:cs="仿宋_GB2312"/>
                <w:color w:val="000000"/>
                <w:kern w:val="0"/>
                <w:sz w:val="28"/>
                <w:szCs w:val="28"/>
              </w:rPr>
              <w:t>高层次人才加分</w:t>
            </w: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青岛市高层次人才分类目录中规定的A类人才</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80</w:t>
            </w:r>
          </w:p>
        </w:tc>
        <w:tc>
          <w:tcPr>
            <w:tcW w:w="732" w:type="dxa"/>
            <w:vMerge w:val="restart"/>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多项不累计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青岛市高层次人才分类目录中规定的B类人才</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60</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青岛市高层次人才分类目录中规定的C类人才</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40</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青岛市高层次人才分类目录中规定的D类人才</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20</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946"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青岛市名师名校长、首席技师及“青岛市首席技师”称号获得者</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10</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6" w:type="dxa"/>
            <w:vMerge w:val="continue"/>
            <w:tcMar>
              <w:top w:w="15" w:type="dxa"/>
              <w:left w:w="15" w:type="dxa"/>
              <w:right w:w="15" w:type="dxa"/>
            </w:tcMar>
            <w:vAlign w:val="center"/>
          </w:tcPr>
          <w:p>
            <w:pPr>
              <w:widowControl/>
              <w:tabs>
                <w:tab w:val="left" w:pos="2940"/>
              </w:tabs>
              <w:spacing w:line="360" w:lineRule="exact"/>
              <w:textAlignment w:val="bottom"/>
              <w:rPr>
                <w:rFonts w:ascii="仿宋_GB2312" w:hAnsi="宋体" w:eastAsia="仿宋_GB2312" w:cs="仿宋_GB2312"/>
                <w:color w:val="000000"/>
                <w:kern w:val="0"/>
                <w:sz w:val="28"/>
                <w:szCs w:val="28"/>
              </w:rPr>
            </w:pPr>
          </w:p>
        </w:tc>
        <w:tc>
          <w:tcPr>
            <w:tcW w:w="1501" w:type="dxa"/>
            <w:vMerge w:val="restart"/>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其他加分</w:t>
            </w: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入选青岛“未来之星”工程人才计划并获得培养经费的人才（“金种子”人才计划除外）</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10</w:t>
            </w:r>
          </w:p>
        </w:tc>
        <w:tc>
          <w:tcPr>
            <w:tcW w:w="732" w:type="dxa"/>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6" w:type="dxa"/>
            <w:vMerge w:val="continue"/>
            <w:tcMar>
              <w:top w:w="15" w:type="dxa"/>
              <w:left w:w="15" w:type="dxa"/>
              <w:right w:w="15" w:type="dxa"/>
            </w:tcMar>
            <w:vAlign w:val="center"/>
          </w:tcPr>
          <w:p>
            <w:pPr>
              <w:widowControl/>
              <w:tabs>
                <w:tab w:val="left" w:pos="2940"/>
              </w:tabs>
              <w:spacing w:line="360" w:lineRule="exact"/>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入选青岛“未来之星”工程中“金种子”人才计划并获得培养经费的人才</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w:t>
            </w:r>
          </w:p>
        </w:tc>
        <w:tc>
          <w:tcPr>
            <w:tcW w:w="732" w:type="dxa"/>
            <w:vMerge w:val="restart"/>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不累计计分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46" w:type="dxa"/>
            <w:vMerge w:val="continue"/>
            <w:tcMar>
              <w:top w:w="15" w:type="dxa"/>
              <w:left w:w="15" w:type="dxa"/>
              <w:right w:w="15" w:type="dxa"/>
            </w:tcMar>
            <w:vAlign w:val="center"/>
          </w:tcPr>
          <w:p>
            <w:pPr>
              <w:widowControl/>
              <w:tabs>
                <w:tab w:val="left" w:pos="2940"/>
              </w:tabs>
              <w:spacing w:line="360" w:lineRule="exact"/>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全球TOP200高校、自然指数前100名高校、科研院所以及双一流建设高校本科及以上毕业生</w:t>
            </w:r>
            <w:r>
              <w:rPr>
                <w:rFonts w:ascii="仿宋_GB2312" w:hAnsi="仿宋_GB2312" w:eastAsia="仿宋_GB2312" w:cs="仿宋_GB2312"/>
                <w:color w:val="000000"/>
                <w:kern w:val="0"/>
                <w:sz w:val="28"/>
                <w:szCs w:val="28"/>
                <w:vertAlign w:val="superscript"/>
              </w:rPr>
              <w:t>1</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w:t>
            </w:r>
          </w:p>
        </w:tc>
        <w:tc>
          <w:tcPr>
            <w:tcW w:w="732" w:type="dxa"/>
            <w:vMerge w:val="continue"/>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46" w:type="dxa"/>
            <w:vMerge w:val="continue"/>
            <w:tcMar>
              <w:top w:w="15" w:type="dxa"/>
              <w:left w:w="15" w:type="dxa"/>
              <w:right w:w="15" w:type="dxa"/>
            </w:tcMar>
            <w:vAlign w:val="center"/>
          </w:tcPr>
          <w:p>
            <w:pPr>
              <w:widowControl/>
              <w:tabs>
                <w:tab w:val="left" w:pos="2940"/>
              </w:tabs>
              <w:spacing w:line="360" w:lineRule="exact"/>
              <w:textAlignment w:val="bottom"/>
              <w:rPr>
                <w:rFonts w:ascii="仿宋_GB2312" w:hAnsi="宋体" w:eastAsia="仿宋_GB2312" w:cs="仿宋_GB2312"/>
                <w:color w:val="000000"/>
                <w:kern w:val="0"/>
                <w:sz w:val="28"/>
                <w:szCs w:val="28"/>
              </w:rPr>
            </w:pPr>
          </w:p>
        </w:tc>
        <w:tc>
          <w:tcPr>
            <w:tcW w:w="1501" w:type="dxa"/>
            <w:vMerge w:val="continue"/>
            <w:tcMar>
              <w:top w:w="15" w:type="dxa"/>
              <w:left w:w="15" w:type="dxa"/>
              <w:right w:w="15" w:type="dxa"/>
            </w:tcMar>
            <w:vAlign w:val="center"/>
          </w:tcPr>
          <w:p>
            <w:pPr>
              <w:widowControl/>
              <w:tabs>
                <w:tab w:val="left" w:pos="2940"/>
              </w:tabs>
              <w:spacing w:line="360" w:lineRule="exact"/>
              <w:textAlignment w:val="bottom"/>
              <w:rPr>
                <w:rFonts w:ascii="仿宋_GB2312" w:hAnsi="宋体" w:eastAsia="仿宋_GB2312" w:cs="仿宋_GB2312"/>
                <w:color w:val="000000"/>
                <w:kern w:val="0"/>
                <w:sz w:val="28"/>
                <w:szCs w:val="28"/>
              </w:rPr>
            </w:pPr>
          </w:p>
        </w:tc>
        <w:tc>
          <w:tcPr>
            <w:tcW w:w="5568" w:type="dxa"/>
            <w:tcMar>
              <w:top w:w="15" w:type="dxa"/>
              <w:left w:w="15" w:type="dxa"/>
              <w:right w:w="15" w:type="dxa"/>
            </w:tcMar>
            <w:vAlign w:val="center"/>
          </w:tcPr>
          <w:p>
            <w:pPr>
              <w:widowControl/>
              <w:tabs>
                <w:tab w:val="left" w:pos="2940"/>
              </w:tabs>
              <w:spacing w:line="360" w:lineRule="exact"/>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持有博士后证书的人才</w:t>
            </w:r>
          </w:p>
        </w:tc>
        <w:tc>
          <w:tcPr>
            <w:tcW w:w="960" w:type="dxa"/>
            <w:tcMar>
              <w:top w:w="15" w:type="dxa"/>
              <w:left w:w="15" w:type="dxa"/>
              <w:right w:w="15" w:type="dxa"/>
            </w:tcMar>
            <w:vAlign w:val="center"/>
          </w:tcPr>
          <w:p>
            <w:pPr>
              <w:widowControl/>
              <w:tabs>
                <w:tab w:val="left" w:pos="2940"/>
              </w:tabs>
              <w:spacing w:line="360" w:lineRule="exact"/>
              <w:jc w:val="center"/>
              <w:textAlignment w:val="bottom"/>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5</w:t>
            </w:r>
          </w:p>
        </w:tc>
        <w:tc>
          <w:tcPr>
            <w:tcW w:w="732" w:type="dxa"/>
            <w:tcMar>
              <w:top w:w="15" w:type="dxa"/>
              <w:left w:w="15" w:type="dxa"/>
              <w:right w:w="15" w:type="dxa"/>
            </w:tcMar>
            <w:vAlign w:val="center"/>
          </w:tcPr>
          <w:p>
            <w:pPr>
              <w:widowControl/>
              <w:tabs>
                <w:tab w:val="left" w:pos="2940"/>
              </w:tabs>
              <w:spacing w:line="360" w:lineRule="exact"/>
              <w:jc w:val="center"/>
              <w:textAlignment w:val="bottom"/>
              <w:rPr>
                <w:rFonts w:ascii="仿宋_GB2312" w:hAnsi="宋体" w:eastAsia="仿宋_GB2312" w:cs="仿宋_GB2312"/>
                <w:color w:val="000000"/>
                <w:kern w:val="0"/>
                <w:sz w:val="28"/>
                <w:szCs w:val="28"/>
              </w:rPr>
            </w:pPr>
          </w:p>
        </w:tc>
      </w:tr>
    </w:tbl>
    <w:p>
      <w:pPr>
        <w:widowControl/>
        <w:shd w:val="clear" w:color="auto" w:fill="FFFFFF"/>
        <w:spacing w:line="360" w:lineRule="exact"/>
        <w:textAlignment w:val="baseline"/>
        <w:rPr>
          <w:rFonts w:ascii="黑体" w:hAnsi="宋体" w:eastAsia="黑体" w:cs="Times New Roman"/>
          <w:bCs/>
          <w:color w:val="000000"/>
          <w:sz w:val="32"/>
          <w:szCs w:val="32"/>
          <w:shd w:val="clear" w:color="auto" w:fill="FFFFFF"/>
        </w:rPr>
      </w:pPr>
      <w:r>
        <w:rPr>
          <w:rFonts w:hint="eastAsia" w:ascii="仿宋_GB2312" w:hAnsi="仿宋_GB2312" w:eastAsia="仿宋_GB2312" w:cs="仿宋_GB2312"/>
          <w:color w:val="000000"/>
          <w:kern w:val="0"/>
          <w:sz w:val="28"/>
          <w:szCs w:val="28"/>
        </w:rPr>
        <w:t>注：1.仅按照学历人才申报且所申报学历符合以上情况的加分。</w:t>
      </w:r>
    </w:p>
    <w:p>
      <w:pPr>
        <w:widowControl/>
        <w:shd w:val="clear" w:color="auto" w:fill="FFFFFF"/>
        <w:spacing w:line="560" w:lineRule="exact"/>
        <w:ind w:firstLine="945" w:firstLineChars="450"/>
        <w:jc w:val="center"/>
        <w:rPr>
          <w:rFonts w:ascii="黑体" w:hAnsi="黑体" w:eastAsia="黑体"/>
          <w:color w:val="000000"/>
          <w:kern w:val="0"/>
          <w:szCs w:val="21"/>
        </w:rPr>
      </w:pPr>
    </w:p>
    <w:p>
      <w:pPr>
        <w:widowControl/>
        <w:shd w:val="clear" w:color="auto" w:fill="FFFFFF"/>
        <w:spacing w:line="560" w:lineRule="exact"/>
        <w:ind w:firstLine="1440" w:firstLineChars="450"/>
        <w:jc w:val="center"/>
        <w:rPr>
          <w:rFonts w:ascii="黑体" w:hAnsi="黑体" w:eastAsia="黑体"/>
          <w:color w:val="000000"/>
          <w:kern w:val="0"/>
          <w:sz w:val="32"/>
          <w:szCs w:val="32"/>
        </w:rPr>
      </w:pPr>
    </w:p>
    <w:p>
      <w:pPr>
        <w:widowControl/>
        <w:shd w:val="clear" w:color="auto" w:fill="FFFFFF"/>
        <w:spacing w:line="560" w:lineRule="exact"/>
        <w:ind w:firstLine="1440" w:firstLineChars="450"/>
        <w:jc w:val="center"/>
        <w:rPr>
          <w:rFonts w:ascii="黑体" w:hAnsi="黑体" w:eastAsia="黑体"/>
          <w:color w:val="000000"/>
          <w:kern w:val="0"/>
          <w:sz w:val="32"/>
          <w:szCs w:val="32"/>
        </w:rPr>
      </w:pPr>
    </w:p>
    <w:p>
      <w:pPr>
        <w:widowControl/>
        <w:shd w:val="clear" w:color="auto" w:fill="FFFFFF"/>
        <w:spacing w:line="560" w:lineRule="exact"/>
        <w:ind w:firstLine="1440" w:firstLineChars="450"/>
        <w:jc w:val="center"/>
        <w:rPr>
          <w:rFonts w:ascii="黑体" w:hAnsi="黑体" w:eastAsia="黑体"/>
          <w:color w:val="000000"/>
          <w:kern w:val="0"/>
          <w:sz w:val="32"/>
          <w:szCs w:val="32"/>
        </w:rPr>
      </w:pPr>
    </w:p>
    <w:p>
      <w:pPr>
        <w:widowControl/>
        <w:shd w:val="clear" w:color="auto" w:fill="FFFFFF"/>
        <w:spacing w:line="560" w:lineRule="exact"/>
        <w:jc w:val="left"/>
        <w:rPr>
          <w:rFonts w:ascii="黑体" w:hAnsi="黑体" w:eastAsia="黑体"/>
          <w:color w:val="000000"/>
          <w:kern w:val="0"/>
          <w:sz w:val="32"/>
          <w:szCs w:val="32"/>
        </w:rPr>
      </w:pPr>
    </w:p>
    <w:p>
      <w:pPr>
        <w:pStyle w:val="2"/>
      </w:pPr>
    </w:p>
    <w:p/>
    <w:p>
      <w:pPr>
        <w:widowControl/>
        <w:shd w:val="clear" w:color="auto" w:fill="FFFFFF"/>
        <w:spacing w:line="560" w:lineRule="exact"/>
        <w:jc w:val="left"/>
        <w:rPr>
          <w:rFonts w:ascii="黑体" w:hAnsi="黑体" w:eastAsia="黑体"/>
          <w:color w:val="000000"/>
          <w:kern w:val="0"/>
          <w:sz w:val="32"/>
          <w:szCs w:val="32"/>
        </w:rPr>
      </w:pPr>
      <w:r>
        <w:rPr>
          <w:rFonts w:hint="eastAsia" w:ascii="黑体" w:hAnsi="黑体" w:eastAsia="黑体"/>
          <w:color w:val="000000"/>
          <w:kern w:val="0"/>
          <w:sz w:val="32"/>
          <w:szCs w:val="32"/>
        </w:rPr>
        <w:t>附件3</w:t>
      </w:r>
    </w:p>
    <w:p>
      <w:pPr>
        <w:widowControl/>
        <w:shd w:val="clear" w:color="auto" w:fill="FFFFFF"/>
        <w:spacing w:line="560" w:lineRule="exact"/>
        <w:jc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青岛市人才住房申请材料清单</w:t>
      </w:r>
    </w:p>
    <w:p>
      <w:pPr>
        <w:widowControl/>
        <w:shd w:val="clear" w:color="auto" w:fill="FFFFFF"/>
        <w:spacing w:line="560" w:lineRule="exact"/>
        <w:jc w:val="left"/>
        <w:rPr>
          <w:rFonts w:ascii="Meiryo" w:hAnsi="Meiryo" w:cs="Meiryo"/>
          <w:color w:val="000000"/>
          <w:kern w:val="0"/>
          <w:sz w:val="32"/>
          <w:szCs w:val="32"/>
        </w:rPr>
      </w:pPr>
    </w:p>
    <w:p>
      <w:pPr>
        <w:shd w:val="clear" w:color="auto" w:fill="FFFFFF"/>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一、身份和户籍证明材料</w:t>
      </w:r>
    </w:p>
    <w:p>
      <w:pPr>
        <w:shd w:val="clear" w:color="auto" w:fill="FFFFFF"/>
        <w:spacing w:line="560" w:lineRule="exact"/>
        <w:ind w:firstLine="640" w:firstLineChars="200"/>
        <w:rPr>
          <w:rFonts w:ascii="仿宋_GB2312" w:hAnsi="黑体" w:eastAsia="仿宋_GB2312"/>
          <w:color w:val="000000"/>
          <w:kern w:val="0"/>
          <w:sz w:val="32"/>
          <w:szCs w:val="32"/>
        </w:rPr>
      </w:pPr>
      <w:r>
        <w:rPr>
          <w:rFonts w:hint="eastAsia" w:ascii="仿宋_GB2312" w:hAnsi="宋体" w:eastAsia="仿宋_GB2312"/>
          <w:color w:val="000000"/>
          <w:kern w:val="0"/>
          <w:sz w:val="32"/>
          <w:szCs w:val="32"/>
        </w:rPr>
        <w:t>申请</w:t>
      </w:r>
      <w:r>
        <w:rPr>
          <w:rFonts w:hint="eastAsia" w:ascii="仿宋_GB2312" w:hAnsi="Meiryo" w:eastAsia="仿宋_GB2312" w:cs="Meiryo"/>
          <w:color w:val="000000"/>
          <w:kern w:val="0"/>
          <w:sz w:val="32"/>
          <w:szCs w:val="32"/>
        </w:rPr>
        <w:t>人</w:t>
      </w:r>
      <w:r>
        <w:rPr>
          <w:rFonts w:hint="eastAsia" w:ascii="仿宋_GB2312" w:hAnsi="宋体" w:eastAsia="仿宋_GB2312" w:cs="黑体"/>
          <w:color w:val="000000"/>
          <w:kern w:val="0"/>
          <w:sz w:val="32"/>
          <w:szCs w:val="32"/>
        </w:rPr>
        <w:t>及其配偶身份证件；</w:t>
      </w:r>
      <w:r>
        <w:rPr>
          <w:rFonts w:hint="eastAsia" w:ascii="仿宋_GB2312" w:hAnsi="Meiryo" w:eastAsia="仿宋_GB2312" w:cs="Meiryo"/>
          <w:color w:val="000000"/>
          <w:kern w:val="0"/>
          <w:sz w:val="32"/>
          <w:szCs w:val="32"/>
        </w:rPr>
        <w:t>非</w:t>
      </w:r>
      <w:r>
        <w:rPr>
          <w:rFonts w:hint="eastAsia" w:ascii="仿宋_GB2312" w:hAnsi="宋体" w:eastAsia="仿宋_GB2312" w:cs="黑体"/>
          <w:color w:val="000000"/>
          <w:kern w:val="0"/>
          <w:sz w:val="32"/>
          <w:szCs w:val="32"/>
        </w:rPr>
        <w:t>本市户籍申请</w:t>
      </w:r>
      <w:r>
        <w:rPr>
          <w:rFonts w:hint="eastAsia" w:ascii="仿宋_GB2312" w:hAnsi="Meiryo" w:eastAsia="仿宋_GB2312" w:cs="Meiryo"/>
          <w:color w:val="000000"/>
          <w:kern w:val="0"/>
          <w:sz w:val="32"/>
          <w:szCs w:val="32"/>
        </w:rPr>
        <w:t>人</w:t>
      </w:r>
      <w:r>
        <w:rPr>
          <w:rFonts w:hint="eastAsia" w:ascii="仿宋_GB2312" w:hAnsi="宋体" w:eastAsia="仿宋_GB2312" w:cs="黑体"/>
          <w:color w:val="000000"/>
          <w:kern w:val="0"/>
          <w:sz w:val="32"/>
          <w:szCs w:val="32"/>
        </w:rPr>
        <w:t>提供在</w:t>
      </w:r>
      <w:r>
        <w:rPr>
          <w:rFonts w:hint="eastAsia" w:ascii="仿宋_GB2312" w:hAnsi="Meiryo" w:eastAsia="仿宋_GB2312" w:cs="Meiryo"/>
          <w:color w:val="000000"/>
          <w:kern w:val="0"/>
          <w:sz w:val="32"/>
          <w:szCs w:val="32"/>
        </w:rPr>
        <w:t>青岛</w:t>
      </w:r>
      <w:r>
        <w:rPr>
          <w:rFonts w:hint="eastAsia" w:ascii="仿宋_GB2312" w:hAnsi="宋体" w:eastAsia="仿宋_GB2312" w:cs="黑体"/>
          <w:color w:val="000000"/>
          <w:kern w:val="0"/>
          <w:sz w:val="32"/>
          <w:szCs w:val="32"/>
        </w:rPr>
        <w:t>市</w:t>
      </w:r>
      <w:r>
        <w:rPr>
          <w:rFonts w:hint="eastAsia" w:ascii="仿宋_GB2312" w:hAnsi="宋体" w:eastAsia="仿宋_GB2312"/>
          <w:color w:val="000000"/>
          <w:kern w:val="0"/>
          <w:sz w:val="32"/>
          <w:szCs w:val="32"/>
        </w:rPr>
        <w:t>有效的《</w:t>
      </w:r>
      <w:r>
        <w:rPr>
          <w:rFonts w:hint="eastAsia" w:ascii="仿宋_GB2312" w:hAnsi="Meiryo" w:eastAsia="仿宋_GB2312" w:cs="Meiryo"/>
          <w:color w:val="000000"/>
          <w:kern w:val="0"/>
          <w:sz w:val="32"/>
          <w:szCs w:val="32"/>
        </w:rPr>
        <w:t>山</w:t>
      </w:r>
      <w:r>
        <w:rPr>
          <w:rFonts w:hint="eastAsia" w:ascii="仿宋_GB2312" w:hAnsi="宋体" w:eastAsia="仿宋_GB2312" w:cs="黑体"/>
          <w:color w:val="000000"/>
          <w:kern w:val="0"/>
          <w:sz w:val="32"/>
          <w:szCs w:val="32"/>
        </w:rPr>
        <w:t>东省居住证》</w:t>
      </w:r>
      <w:r>
        <w:rPr>
          <w:rFonts w:hint="eastAsia" w:ascii="仿宋_GB2312" w:hAnsi="宋体" w:eastAsia="仿宋_GB2312"/>
          <w:color w:val="000000"/>
          <w:kern w:val="0"/>
          <w:sz w:val="32"/>
          <w:szCs w:val="32"/>
        </w:rPr>
        <w:t>；港澳台同胞提供《台湾居</w:t>
      </w:r>
      <w:r>
        <w:rPr>
          <w:rFonts w:hint="eastAsia" w:ascii="仿宋_GB2312" w:hAnsi="Meiryo" w:eastAsia="仿宋_GB2312" w:cs="Meiryo"/>
          <w:color w:val="000000"/>
          <w:kern w:val="0"/>
          <w:sz w:val="32"/>
          <w:szCs w:val="32"/>
        </w:rPr>
        <w:t>民</w:t>
      </w:r>
      <w:r>
        <w:rPr>
          <w:rFonts w:hint="eastAsia" w:ascii="仿宋_GB2312" w:hAnsi="宋体" w:eastAsia="仿宋_GB2312" w:cs="黑体"/>
          <w:color w:val="000000"/>
          <w:kern w:val="0"/>
          <w:sz w:val="32"/>
          <w:szCs w:val="32"/>
        </w:rPr>
        <w:t>来往</w:t>
      </w:r>
      <w:r>
        <w:rPr>
          <w:rFonts w:hint="eastAsia" w:ascii="仿宋_GB2312" w:hAnsi="Meiryo" w:eastAsia="仿宋_GB2312" w:cs="Meiryo"/>
          <w:color w:val="000000"/>
          <w:kern w:val="0"/>
          <w:sz w:val="32"/>
          <w:szCs w:val="32"/>
        </w:rPr>
        <w:t>大</w:t>
      </w:r>
      <w:r>
        <w:rPr>
          <w:rFonts w:hint="eastAsia" w:ascii="仿宋_GB2312" w:hAnsi="宋体" w:eastAsia="仿宋_GB2312" w:cs="黑体"/>
          <w:color w:val="000000"/>
          <w:kern w:val="0"/>
          <w:sz w:val="32"/>
          <w:szCs w:val="32"/>
        </w:rPr>
        <w:t>陆</w:t>
      </w:r>
      <w:r>
        <w:rPr>
          <w:rFonts w:hint="eastAsia" w:ascii="仿宋_GB2312" w:hAnsi="宋体" w:eastAsia="仿宋_GB2312"/>
          <w:color w:val="000000"/>
          <w:kern w:val="0"/>
          <w:sz w:val="32"/>
          <w:szCs w:val="32"/>
        </w:rPr>
        <w:t>通</w:t>
      </w:r>
      <w:r>
        <w:rPr>
          <w:rFonts w:hint="eastAsia" w:ascii="仿宋_GB2312" w:hAnsi="Meiryo" w:eastAsia="仿宋_GB2312" w:cs="Meiryo"/>
          <w:color w:val="000000"/>
          <w:kern w:val="0"/>
          <w:sz w:val="32"/>
          <w:szCs w:val="32"/>
        </w:rPr>
        <w:t>行</w:t>
      </w:r>
      <w:r>
        <w:rPr>
          <w:rFonts w:hint="eastAsia" w:ascii="仿宋_GB2312" w:hAnsi="宋体" w:eastAsia="仿宋_GB2312" w:cs="黑体"/>
          <w:color w:val="000000"/>
          <w:kern w:val="0"/>
          <w:sz w:val="32"/>
          <w:szCs w:val="32"/>
        </w:rPr>
        <w:t>证》</w:t>
      </w:r>
      <w:r>
        <w:rPr>
          <w:rFonts w:hint="eastAsia" w:ascii="仿宋_GB2312" w:hAnsi="宋体" w:eastAsia="仿宋_GB2312"/>
          <w:color w:val="000000"/>
          <w:kern w:val="0"/>
          <w:sz w:val="32"/>
          <w:szCs w:val="32"/>
        </w:rPr>
        <w:t>《港澳居</w:t>
      </w:r>
      <w:r>
        <w:rPr>
          <w:rFonts w:hint="eastAsia" w:ascii="仿宋_GB2312" w:hAnsi="Meiryo" w:eastAsia="仿宋_GB2312" w:cs="Meiryo"/>
          <w:color w:val="000000"/>
          <w:kern w:val="0"/>
          <w:sz w:val="32"/>
          <w:szCs w:val="32"/>
        </w:rPr>
        <w:t>民</w:t>
      </w:r>
      <w:r>
        <w:rPr>
          <w:rFonts w:hint="eastAsia" w:ascii="仿宋_GB2312" w:hAnsi="宋体" w:eastAsia="仿宋_GB2312" w:cs="黑体"/>
          <w:color w:val="000000"/>
          <w:kern w:val="0"/>
          <w:sz w:val="32"/>
          <w:szCs w:val="32"/>
        </w:rPr>
        <w:t>来往内地通</w:t>
      </w:r>
      <w:r>
        <w:rPr>
          <w:rFonts w:hint="eastAsia" w:ascii="仿宋_GB2312" w:hAnsi="Meiryo" w:eastAsia="仿宋_GB2312" w:cs="Meiryo"/>
          <w:color w:val="000000"/>
          <w:kern w:val="0"/>
          <w:sz w:val="32"/>
          <w:szCs w:val="32"/>
        </w:rPr>
        <w:t>行</w:t>
      </w:r>
      <w:r>
        <w:rPr>
          <w:rFonts w:hint="eastAsia" w:ascii="仿宋_GB2312" w:hAnsi="宋体" w:eastAsia="仿宋_GB2312" w:cs="黑体"/>
          <w:color w:val="000000"/>
          <w:kern w:val="0"/>
          <w:sz w:val="32"/>
          <w:szCs w:val="32"/>
        </w:rPr>
        <w:t>证》</w:t>
      </w:r>
      <w:r>
        <w:rPr>
          <w:rFonts w:hint="eastAsia" w:ascii="仿宋_GB2312" w:hAnsi="宋体" w:eastAsia="仿宋_GB2312"/>
          <w:color w:val="000000"/>
          <w:kern w:val="0"/>
          <w:sz w:val="32"/>
          <w:szCs w:val="32"/>
        </w:rPr>
        <w:t>或《港澳台居</w:t>
      </w:r>
      <w:r>
        <w:rPr>
          <w:rFonts w:hint="eastAsia" w:ascii="仿宋_GB2312" w:hAnsi="Meiryo" w:eastAsia="仿宋_GB2312" w:cs="Meiryo"/>
          <w:color w:val="000000"/>
          <w:kern w:val="0"/>
          <w:sz w:val="32"/>
          <w:szCs w:val="32"/>
        </w:rPr>
        <w:t>民</w:t>
      </w:r>
      <w:r>
        <w:rPr>
          <w:rFonts w:hint="eastAsia" w:ascii="仿宋_GB2312" w:hAnsi="宋体" w:eastAsia="仿宋_GB2312" w:cs="黑体"/>
          <w:color w:val="000000"/>
          <w:kern w:val="0"/>
          <w:sz w:val="32"/>
          <w:szCs w:val="32"/>
        </w:rPr>
        <w:t>居住证》</w:t>
      </w:r>
      <w:r>
        <w:rPr>
          <w:rFonts w:hint="eastAsia" w:ascii="仿宋_GB2312" w:hAnsi="宋体" w:eastAsia="仿宋_GB2312"/>
          <w:color w:val="000000"/>
          <w:kern w:val="0"/>
          <w:sz w:val="32"/>
          <w:szCs w:val="32"/>
        </w:rPr>
        <w:t>；外籍</w:t>
      </w:r>
      <w:r>
        <w:rPr>
          <w:rFonts w:hint="eastAsia" w:ascii="仿宋_GB2312" w:hAnsi="Meiryo" w:eastAsia="仿宋_GB2312" w:cs="Meiryo"/>
          <w:color w:val="000000"/>
          <w:kern w:val="0"/>
          <w:sz w:val="32"/>
          <w:szCs w:val="32"/>
        </w:rPr>
        <w:t>人</w:t>
      </w:r>
      <w:r>
        <w:rPr>
          <w:rFonts w:hint="eastAsia" w:ascii="仿宋_GB2312" w:hAnsi="宋体" w:eastAsia="仿宋_GB2312" w:cs="黑体"/>
          <w:color w:val="000000"/>
          <w:kern w:val="0"/>
          <w:sz w:val="32"/>
          <w:szCs w:val="32"/>
        </w:rPr>
        <w:t>才提供护照和《</w:t>
      </w:r>
      <w:r>
        <w:rPr>
          <w:rFonts w:hint="eastAsia" w:ascii="仿宋_GB2312" w:hAnsi="宋体" w:eastAsia="仿宋_GB2312"/>
          <w:color w:val="000000"/>
          <w:kern w:val="0"/>
          <w:sz w:val="32"/>
          <w:szCs w:val="32"/>
        </w:rPr>
        <w:t>外国</w:t>
      </w:r>
      <w:r>
        <w:rPr>
          <w:rFonts w:hint="eastAsia" w:ascii="仿宋_GB2312" w:hAnsi="Meiryo" w:eastAsia="仿宋_GB2312" w:cs="Meiryo"/>
          <w:color w:val="000000"/>
          <w:kern w:val="0"/>
          <w:sz w:val="32"/>
          <w:szCs w:val="32"/>
        </w:rPr>
        <w:t>人工</w:t>
      </w:r>
      <w:r>
        <w:rPr>
          <w:rFonts w:hint="eastAsia" w:ascii="仿宋_GB2312" w:hAnsi="宋体" w:eastAsia="仿宋_GB2312" w:cs="黑体"/>
          <w:color w:val="000000"/>
          <w:kern w:val="0"/>
          <w:sz w:val="32"/>
          <w:szCs w:val="32"/>
        </w:rPr>
        <w:t>作许可证》</w:t>
      </w:r>
      <w:r>
        <w:rPr>
          <w:rFonts w:hint="eastAsia" w:ascii="仿宋_GB2312" w:hAnsi="宋体" w:eastAsia="仿宋_GB2312"/>
          <w:color w:val="000000"/>
          <w:kern w:val="0"/>
          <w:sz w:val="32"/>
          <w:szCs w:val="32"/>
        </w:rPr>
        <w:t>或《外国</w:t>
      </w:r>
      <w:r>
        <w:rPr>
          <w:rFonts w:hint="eastAsia" w:ascii="仿宋_GB2312" w:hAnsi="Meiryo" w:eastAsia="仿宋_GB2312" w:cs="Meiryo"/>
          <w:color w:val="000000"/>
          <w:kern w:val="0"/>
          <w:sz w:val="32"/>
          <w:szCs w:val="32"/>
        </w:rPr>
        <w:t>人</w:t>
      </w:r>
      <w:r>
        <w:rPr>
          <w:rFonts w:hint="eastAsia" w:ascii="仿宋_GB2312" w:hAnsi="宋体" w:eastAsia="仿宋_GB2312" w:cs="黑体"/>
          <w:color w:val="000000"/>
          <w:kern w:val="0"/>
          <w:sz w:val="32"/>
          <w:szCs w:val="32"/>
        </w:rPr>
        <w:t>永久居留</w:t>
      </w:r>
      <w:r>
        <w:rPr>
          <w:rFonts w:hint="eastAsia" w:ascii="仿宋_GB2312" w:hAnsi="宋体" w:eastAsia="仿宋_GB2312"/>
          <w:color w:val="000000"/>
          <w:kern w:val="0"/>
          <w:sz w:val="32"/>
          <w:szCs w:val="32"/>
        </w:rPr>
        <w:t>证》。</w:t>
      </w:r>
    </w:p>
    <w:p>
      <w:pPr>
        <w:shd w:val="clear" w:color="auto" w:fill="FFFFFF"/>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二、婚姻证明材料</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在</w:t>
      </w:r>
      <w:r>
        <w:rPr>
          <w:rFonts w:hint="eastAsia" w:ascii="仿宋_GB2312" w:hAnsi="Meiryo" w:eastAsia="仿宋_GB2312" w:cs="Meiryo"/>
          <w:color w:val="000000"/>
          <w:kern w:val="0"/>
          <w:sz w:val="32"/>
          <w:szCs w:val="32"/>
        </w:rPr>
        <w:t>青岛</w:t>
      </w:r>
      <w:r>
        <w:rPr>
          <w:rFonts w:hint="eastAsia" w:ascii="仿宋_GB2312" w:hAnsi="宋体" w:eastAsia="仿宋_GB2312" w:cs="黑体"/>
          <w:color w:val="000000"/>
          <w:kern w:val="0"/>
          <w:sz w:val="32"/>
          <w:szCs w:val="32"/>
        </w:rPr>
        <w:t>市外结婚登记的已婚申请</w:t>
      </w:r>
      <w:r>
        <w:rPr>
          <w:rFonts w:hint="eastAsia" w:ascii="仿宋_GB2312" w:hAnsi="Meiryo" w:eastAsia="仿宋_GB2312" w:cs="Meiryo"/>
          <w:color w:val="000000"/>
          <w:kern w:val="0"/>
          <w:sz w:val="32"/>
          <w:szCs w:val="32"/>
        </w:rPr>
        <w:t>人</w:t>
      </w:r>
      <w:r>
        <w:rPr>
          <w:rFonts w:hint="eastAsia" w:ascii="仿宋_GB2312" w:hAnsi="宋体" w:eastAsia="仿宋_GB2312" w:cs="黑体"/>
          <w:color w:val="000000"/>
          <w:kern w:val="0"/>
          <w:sz w:val="32"/>
          <w:szCs w:val="32"/>
        </w:rPr>
        <w:t>需提供结婚证件；有离异</w:t>
      </w:r>
      <w:r>
        <w:rPr>
          <w:rFonts w:hint="eastAsia" w:ascii="仿宋_GB2312" w:hAnsi="宋体" w:eastAsia="仿宋_GB2312"/>
          <w:color w:val="000000"/>
          <w:kern w:val="0"/>
          <w:sz w:val="32"/>
          <w:szCs w:val="32"/>
        </w:rPr>
        <w:t>经历的申请</w:t>
      </w:r>
      <w:r>
        <w:rPr>
          <w:rFonts w:hint="eastAsia" w:ascii="仿宋_GB2312" w:hAnsi="Meiryo" w:eastAsia="仿宋_GB2312" w:cs="Meiryo"/>
          <w:color w:val="000000"/>
          <w:kern w:val="0"/>
          <w:sz w:val="32"/>
          <w:szCs w:val="32"/>
        </w:rPr>
        <w:t>人</w:t>
      </w:r>
      <w:r>
        <w:rPr>
          <w:rFonts w:hint="eastAsia" w:ascii="仿宋_GB2312" w:hAnsi="宋体" w:eastAsia="仿宋_GB2312" w:cs="黑体"/>
          <w:color w:val="000000"/>
          <w:kern w:val="0"/>
          <w:sz w:val="32"/>
          <w:szCs w:val="32"/>
        </w:rPr>
        <w:t>还需补充提供离婚证和离婚协议书或法院</w:t>
      </w:r>
      <w:r>
        <w:rPr>
          <w:rFonts w:hint="eastAsia" w:ascii="仿宋_GB2312" w:hAnsi="Meiryo" w:eastAsia="仿宋_GB2312" w:cs="Meiryo"/>
          <w:color w:val="000000"/>
          <w:kern w:val="0"/>
          <w:sz w:val="32"/>
          <w:szCs w:val="32"/>
        </w:rPr>
        <w:t>生</w:t>
      </w:r>
      <w:r>
        <w:rPr>
          <w:rFonts w:hint="eastAsia" w:ascii="仿宋_GB2312" w:hAnsi="宋体" w:eastAsia="仿宋_GB2312" w:cs="黑体"/>
          <w:color w:val="000000"/>
          <w:kern w:val="0"/>
          <w:sz w:val="32"/>
          <w:szCs w:val="32"/>
        </w:rPr>
        <w:t>效司</w:t>
      </w:r>
      <w:r>
        <w:rPr>
          <w:rFonts w:hint="eastAsia" w:ascii="仿宋_GB2312" w:hAnsi="宋体" w:eastAsia="仿宋_GB2312"/>
          <w:color w:val="000000"/>
          <w:kern w:val="0"/>
          <w:sz w:val="32"/>
          <w:szCs w:val="32"/>
        </w:rPr>
        <w:t>法</w:t>
      </w:r>
      <w:r>
        <w:rPr>
          <w:rFonts w:hint="eastAsia" w:ascii="仿宋_GB2312" w:hAnsi="Meiryo" w:eastAsia="仿宋_GB2312" w:cs="Meiryo"/>
          <w:color w:val="000000"/>
          <w:kern w:val="0"/>
          <w:sz w:val="32"/>
          <w:szCs w:val="32"/>
        </w:rPr>
        <w:t>文</w:t>
      </w:r>
      <w:r>
        <w:rPr>
          <w:rFonts w:hint="eastAsia" w:ascii="仿宋_GB2312" w:hAnsi="宋体" w:eastAsia="仿宋_GB2312" w:cs="黑体"/>
          <w:color w:val="000000"/>
          <w:kern w:val="0"/>
          <w:sz w:val="32"/>
          <w:szCs w:val="32"/>
        </w:rPr>
        <w:t>书等；</w:t>
      </w:r>
      <w:r>
        <w:rPr>
          <w:rFonts w:hint="eastAsia" w:ascii="仿宋_GB2312" w:hAnsi="宋体" w:eastAsia="仿宋_GB2312"/>
          <w:color w:val="000000"/>
          <w:kern w:val="0"/>
          <w:sz w:val="32"/>
          <w:szCs w:val="32"/>
        </w:rPr>
        <w:t>单身申请</w:t>
      </w:r>
      <w:r>
        <w:rPr>
          <w:rFonts w:hint="eastAsia" w:ascii="仿宋_GB2312" w:hAnsi="Meiryo" w:eastAsia="仿宋_GB2312" w:cs="Meiryo"/>
          <w:color w:val="000000"/>
          <w:kern w:val="0"/>
          <w:sz w:val="32"/>
          <w:szCs w:val="32"/>
        </w:rPr>
        <w:t>人</w:t>
      </w:r>
      <w:r>
        <w:rPr>
          <w:rFonts w:hint="eastAsia" w:ascii="仿宋_GB2312" w:hAnsi="宋体" w:eastAsia="仿宋_GB2312" w:cs="黑体"/>
          <w:color w:val="000000"/>
          <w:kern w:val="0"/>
          <w:sz w:val="32"/>
          <w:szCs w:val="32"/>
        </w:rPr>
        <w:t>提供单身或未婚声明。</w:t>
      </w:r>
    </w:p>
    <w:p>
      <w:pPr>
        <w:shd w:val="clear" w:color="auto" w:fill="FFFFFF"/>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三、</w:t>
      </w:r>
      <w:r>
        <w:rPr>
          <w:rFonts w:hint="eastAsia" w:ascii="黑体" w:hAnsi="黑体" w:eastAsia="黑体" w:cs="Meiryo"/>
          <w:color w:val="000000"/>
          <w:kern w:val="0"/>
          <w:sz w:val="32"/>
          <w:szCs w:val="32"/>
        </w:rPr>
        <w:t>人才类别证明材料</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宋体" w:hAnsi="宋体" w:eastAsia="仿宋_GB2312"/>
          <w:color w:val="000000"/>
          <w:kern w:val="0"/>
          <w:sz w:val="32"/>
          <w:szCs w:val="32"/>
        </w:rPr>
        <w:t>（</w:t>
      </w:r>
      <w:r>
        <w:rPr>
          <w:rFonts w:hint="eastAsia" w:ascii="仿宋_GB2312" w:hAnsi="宋体" w:eastAsia="仿宋_GB2312"/>
          <w:color w:val="000000"/>
          <w:kern w:val="0"/>
          <w:sz w:val="32"/>
          <w:szCs w:val="32"/>
        </w:rPr>
        <w:t>一</w:t>
      </w:r>
      <w:r>
        <w:rPr>
          <w:rFonts w:hint="eastAsia" w:ascii="宋体" w:hAnsi="宋体" w:eastAsia="仿宋_GB2312"/>
          <w:color w:val="000000"/>
          <w:kern w:val="0"/>
          <w:sz w:val="32"/>
          <w:szCs w:val="32"/>
        </w:rPr>
        <w:t>）</w:t>
      </w:r>
      <w:r>
        <w:rPr>
          <w:rFonts w:hint="eastAsia" w:ascii="仿宋_GB2312" w:hAnsi="宋体" w:eastAsia="仿宋_GB2312"/>
          <w:color w:val="000000"/>
          <w:kern w:val="0"/>
          <w:sz w:val="32"/>
          <w:szCs w:val="32"/>
        </w:rPr>
        <w:t>以学历类人才申报的中国内地居民需先通过“青岛人社·学历汇”信息采集平台对学籍学历进行确认。</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以专技类人才申报的，提供中级及以上职称证书和考评材料；在青岛市外取得职称后调入我市所属企事业单位（中央、省驻青单位除外）工作的，需经市或区（市）人力资源社会保障部门确认；取得《青岛市关于明确部分专业技术类职业资格和职称对应关系的通知》（青人社字〔</w:t>
      </w:r>
      <w:r>
        <w:rPr>
          <w:rFonts w:ascii="仿宋_GB2312" w:hAnsi="宋体" w:eastAsia="仿宋_GB2312"/>
          <w:color w:val="000000"/>
          <w:kern w:val="0"/>
          <w:sz w:val="32"/>
          <w:szCs w:val="32"/>
        </w:rPr>
        <w:t>2020</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78</w:t>
      </w:r>
      <w:r>
        <w:rPr>
          <w:rFonts w:hint="eastAsia" w:ascii="仿宋_GB2312" w:hAnsi="宋体" w:eastAsia="仿宋_GB2312"/>
          <w:color w:val="000000"/>
          <w:kern w:val="0"/>
          <w:sz w:val="32"/>
          <w:szCs w:val="32"/>
        </w:rPr>
        <w:t>号）规定的与中级及以上职称对应资格证书的专业技术人员，需提供相应等级的全国专业技术人员职业资格证书，</w:t>
      </w:r>
      <w:r>
        <w:rPr>
          <w:rFonts w:ascii="仿宋_GB2312" w:hAnsi="宋体" w:eastAsia="仿宋_GB2312"/>
          <w:color w:val="000000"/>
          <w:kern w:val="0"/>
          <w:sz w:val="32"/>
          <w:szCs w:val="32"/>
        </w:rPr>
        <w:t>2017</w:t>
      </w:r>
      <w:r>
        <w:rPr>
          <w:rFonts w:hint="eastAsia" w:ascii="仿宋_GB2312" w:hAnsi="宋体" w:eastAsia="仿宋_GB2312"/>
          <w:color w:val="000000"/>
          <w:kern w:val="0"/>
          <w:sz w:val="32"/>
          <w:szCs w:val="32"/>
        </w:rPr>
        <w:t>年以前取得的需同时提供《专业技术资格考试登记表》或《执（职）业资格考试登记表》；</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（三）以技能人才申报的，提供可经人力资源和社会保障部职业技能鉴定中心或山东省职业技能鉴定指导中心验证的高级工（三级）及以上技能人员职业资格证书或职业技能等级证书；</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（四）以高级管理人才申报的，提供近三年（分配公告发布前</w:t>
      </w:r>
      <w:r>
        <w:rPr>
          <w:rFonts w:ascii="仿宋_GB2312" w:hAnsi="宋体" w:eastAsia="仿宋_GB2312"/>
          <w:color w:val="000000"/>
          <w:kern w:val="0"/>
          <w:sz w:val="32"/>
          <w:szCs w:val="32"/>
        </w:rPr>
        <w:t>36</w:t>
      </w:r>
      <w:r>
        <w:rPr>
          <w:rFonts w:hint="eastAsia" w:ascii="仿宋_GB2312" w:hAnsi="宋体" w:eastAsia="仿宋_GB2312"/>
          <w:color w:val="000000"/>
          <w:kern w:val="0"/>
          <w:sz w:val="32"/>
          <w:szCs w:val="32"/>
        </w:rPr>
        <w:t>个月）个税缴纳记录（申报项目仅含单位计缴工资、薪金所得和劳务报酬所得）；如在青工作不满三年，应补充提供原工作地近三年个税缴纳记录；</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（五）投资创业人才提供本人作为第一大股东或企业法人代表（近一年发生变更的除外）所创办企业的股东出资证明，以及本市税务机关出具的上年度企业纳税完税凭证或本市户籍员工花名册。</w:t>
      </w:r>
    </w:p>
    <w:p>
      <w:pPr>
        <w:shd w:val="clear" w:color="auto" w:fill="FFFFFF"/>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四、工</w:t>
      </w:r>
      <w:r>
        <w:rPr>
          <w:rFonts w:hint="eastAsia" w:ascii="黑体" w:hAnsi="黑体" w:eastAsia="黑体" w:cs="黑体"/>
          <w:color w:val="000000"/>
          <w:kern w:val="0"/>
          <w:sz w:val="32"/>
          <w:szCs w:val="32"/>
        </w:rPr>
        <w:t>作关系证明材料</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（一）在青全职工作人才需提供与用人单位签订的劳动（聘用）合同等工作关系证明，其中人力资源机构派遣制人员需同时提供与人力资源机构签订的劳动合同以及实际用工单位出具的工作证明；</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（二）毕业学年在校大学生需提供与在青用人单位签订的就业协议，其中与人力资源机构签订就业协议的，应补充提供实际用工单位出具的证明；</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（三）柔性引进的高层次人才需提供合作协议和个税缴纳记录等证明。</w:t>
      </w:r>
    </w:p>
    <w:p>
      <w:pPr>
        <w:shd w:val="clear" w:color="auto" w:fill="FFFFFF"/>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五、配偶加分证明材料</w:t>
      </w:r>
    </w:p>
    <w:p>
      <w:pPr>
        <w:shd w:val="clear" w:color="auto" w:fill="FFFFFF"/>
        <w:spacing w:line="560" w:lineRule="exact"/>
        <w:ind w:firstLine="640" w:firstLineChars="200"/>
        <w:rPr>
          <w:rFonts w:ascii="仿宋_GB2312" w:hAnsi="宋体" w:eastAsia="仿宋_GB2312"/>
          <w:color w:val="auto"/>
          <w:kern w:val="0"/>
          <w:sz w:val="32"/>
          <w:szCs w:val="32"/>
        </w:rPr>
      </w:pPr>
      <w:r>
        <w:rPr>
          <w:rFonts w:hint="eastAsia" w:ascii="仿宋_GB2312" w:hAnsi="宋体" w:eastAsia="仿宋_GB2312"/>
          <w:color w:val="auto"/>
          <w:kern w:val="0"/>
          <w:sz w:val="32"/>
          <w:szCs w:val="32"/>
        </w:rPr>
        <w:t>配偶工作在青岛且符合人才类别要求的，还需提供其人才类别相关证明材料（同第三项内容</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rPr>
        <w:t>以及与用人单位签订的劳动（聘用）合同。</w:t>
      </w:r>
    </w:p>
    <w:p>
      <w:pPr>
        <w:shd w:val="clear" w:color="auto" w:fill="FFFFFF"/>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六、高层次人才证明材料</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（一）《青岛市高层次人才分类目录》中规定人才如未办理《青岛市高层次人才服务绿卡》的可提供《山东惠才卡》；</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青岛市名师名校长、青岛市高层次卫生人才、青岛市文化领军人才、青岛市高层次金融人才、公共事业急需紧缺高层次人才、“青岛市首席技师”称号获得者需提供青岛市政府或相应市级主管部门印发的文件或证书。</w:t>
      </w:r>
    </w:p>
    <w:p>
      <w:pPr>
        <w:shd w:val="clear" w:color="auto" w:fill="FFFFFF"/>
        <w:spacing w:line="560" w:lineRule="exact"/>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七、《青岛市人才住房项目申请表》</w:t>
      </w:r>
    </w:p>
    <w:p>
      <w:pPr>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相关信息填报完成，系统自动生成《青岛市人才住房项目申请表》，申请人和用人单位需签字盖章后上传。</w:t>
      </w:r>
    </w:p>
    <w:p>
      <w:pPr>
        <w:pStyle w:val="2"/>
      </w:pPr>
    </w:p>
    <w:p/>
    <w:p>
      <w:pPr>
        <w:pStyle w:val="2"/>
      </w:pPr>
    </w:p>
    <w:p/>
    <w:p>
      <w:pPr>
        <w:pStyle w:val="2"/>
      </w:pPr>
    </w:p>
    <w:p/>
    <w:p>
      <w:pPr>
        <w:widowControl/>
        <w:spacing w:line="560" w:lineRule="exact"/>
        <w:jc w:val="left"/>
      </w:pPr>
      <w:bookmarkStart w:id="0" w:name="_GoBack"/>
      <w:bookmarkEnd w:id="0"/>
    </w:p>
    <w:sectPr>
      <w:footerReference r:id="rId3" w:type="default"/>
      <w:pgSz w:w="11906" w:h="16838"/>
      <w:pgMar w:top="2098" w:right="1475"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eiryo">
    <w:altName w:val="方正书宋_GBK"/>
    <w:panose1 w:val="020B0604030504040204"/>
    <w:charset w:val="80"/>
    <w:family w:val="auto"/>
    <w:pitch w:val="default"/>
    <w:sig w:usb0="00000000" w:usb1="00000000" w:usb2="00010012" w:usb3="00000000" w:csb0="6002009F" w:csb1="DFD7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ascii="Calibri" w:hAnsi="Calibri" w:eastAsia="宋体" w:cs="宋体"/>
        <w:kern w:val="2"/>
        <w:sz w:val="18"/>
        <w:szCs w:val="18"/>
        <w:lang w:val="en-US" w:eastAsia="zh-CN" w:bidi="ar-SA"/>
      </w:rPr>
      <w:pict>
        <v:shape id="Quad Arrow 1" o:spid="_x0000_s2049" o:spt="202" type="#_x0000_t202"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9</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c0MGU2YTVkNzQ0ODhlMjExM2E3MjhlODQ4NzIwZTQifQ=="/>
  </w:docVars>
  <w:rsids>
    <w:rsidRoot w:val="00A07FB8"/>
    <w:rsid w:val="00007310"/>
    <w:rsid w:val="000100CE"/>
    <w:rsid w:val="0002739C"/>
    <w:rsid w:val="00050738"/>
    <w:rsid w:val="00060444"/>
    <w:rsid w:val="00061CE3"/>
    <w:rsid w:val="000873BA"/>
    <w:rsid w:val="000B685F"/>
    <w:rsid w:val="000B68F5"/>
    <w:rsid w:val="000C6068"/>
    <w:rsid w:val="000C71AA"/>
    <w:rsid w:val="00102201"/>
    <w:rsid w:val="0010226D"/>
    <w:rsid w:val="00104C4A"/>
    <w:rsid w:val="00106220"/>
    <w:rsid w:val="00114326"/>
    <w:rsid w:val="00114400"/>
    <w:rsid w:val="001145FE"/>
    <w:rsid w:val="0011475F"/>
    <w:rsid w:val="001246D5"/>
    <w:rsid w:val="0012531A"/>
    <w:rsid w:val="00126DAA"/>
    <w:rsid w:val="001407CB"/>
    <w:rsid w:val="00147B94"/>
    <w:rsid w:val="00155046"/>
    <w:rsid w:val="00167A00"/>
    <w:rsid w:val="00167F1F"/>
    <w:rsid w:val="00173F85"/>
    <w:rsid w:val="001830AE"/>
    <w:rsid w:val="00194F0B"/>
    <w:rsid w:val="001A1172"/>
    <w:rsid w:val="001B2580"/>
    <w:rsid w:val="001B554E"/>
    <w:rsid w:val="001C7357"/>
    <w:rsid w:val="001C7DC7"/>
    <w:rsid w:val="001D5C57"/>
    <w:rsid w:val="001D6C43"/>
    <w:rsid w:val="001E41EA"/>
    <w:rsid w:val="001F09DA"/>
    <w:rsid w:val="001F40C0"/>
    <w:rsid w:val="001F771D"/>
    <w:rsid w:val="00204118"/>
    <w:rsid w:val="00221E38"/>
    <w:rsid w:val="002249A5"/>
    <w:rsid w:val="00232881"/>
    <w:rsid w:val="00246D4F"/>
    <w:rsid w:val="00262EAD"/>
    <w:rsid w:val="002716C8"/>
    <w:rsid w:val="00272A66"/>
    <w:rsid w:val="00274DBE"/>
    <w:rsid w:val="00275661"/>
    <w:rsid w:val="00275A25"/>
    <w:rsid w:val="00281B53"/>
    <w:rsid w:val="00283D99"/>
    <w:rsid w:val="00284DB8"/>
    <w:rsid w:val="0028723C"/>
    <w:rsid w:val="00294DA9"/>
    <w:rsid w:val="002A2E93"/>
    <w:rsid w:val="002C3849"/>
    <w:rsid w:val="002C7174"/>
    <w:rsid w:val="002E7F82"/>
    <w:rsid w:val="002F3D05"/>
    <w:rsid w:val="00301428"/>
    <w:rsid w:val="003108DF"/>
    <w:rsid w:val="003118D1"/>
    <w:rsid w:val="00316BDD"/>
    <w:rsid w:val="0032118F"/>
    <w:rsid w:val="00323D6F"/>
    <w:rsid w:val="0032426A"/>
    <w:rsid w:val="003271FE"/>
    <w:rsid w:val="00356246"/>
    <w:rsid w:val="0035669E"/>
    <w:rsid w:val="003673EA"/>
    <w:rsid w:val="00373275"/>
    <w:rsid w:val="00381C91"/>
    <w:rsid w:val="003A13C6"/>
    <w:rsid w:val="003A793B"/>
    <w:rsid w:val="003B473F"/>
    <w:rsid w:val="003C1ADF"/>
    <w:rsid w:val="003C3444"/>
    <w:rsid w:val="003C799F"/>
    <w:rsid w:val="003C7C2E"/>
    <w:rsid w:val="003D67D1"/>
    <w:rsid w:val="003E2ACE"/>
    <w:rsid w:val="003E2B7F"/>
    <w:rsid w:val="003E338E"/>
    <w:rsid w:val="003E456B"/>
    <w:rsid w:val="003F72D1"/>
    <w:rsid w:val="00405764"/>
    <w:rsid w:val="00424D3B"/>
    <w:rsid w:val="00431E6B"/>
    <w:rsid w:val="00440C7C"/>
    <w:rsid w:val="004512E0"/>
    <w:rsid w:val="0046263F"/>
    <w:rsid w:val="004820D1"/>
    <w:rsid w:val="00496A16"/>
    <w:rsid w:val="00496ED8"/>
    <w:rsid w:val="004A50B6"/>
    <w:rsid w:val="004A7EFC"/>
    <w:rsid w:val="004B2C3D"/>
    <w:rsid w:val="004B2C5A"/>
    <w:rsid w:val="004B3460"/>
    <w:rsid w:val="004C514C"/>
    <w:rsid w:val="004D24FF"/>
    <w:rsid w:val="004E1583"/>
    <w:rsid w:val="004E50CE"/>
    <w:rsid w:val="004E77CC"/>
    <w:rsid w:val="004F2532"/>
    <w:rsid w:val="00515C5E"/>
    <w:rsid w:val="00524939"/>
    <w:rsid w:val="00543FA5"/>
    <w:rsid w:val="00556E14"/>
    <w:rsid w:val="0056454C"/>
    <w:rsid w:val="00586355"/>
    <w:rsid w:val="00587DCB"/>
    <w:rsid w:val="005A0B7D"/>
    <w:rsid w:val="005A2011"/>
    <w:rsid w:val="005C256E"/>
    <w:rsid w:val="005D0E79"/>
    <w:rsid w:val="005D3518"/>
    <w:rsid w:val="005D5B8D"/>
    <w:rsid w:val="005F4505"/>
    <w:rsid w:val="00600042"/>
    <w:rsid w:val="00606D63"/>
    <w:rsid w:val="00614B30"/>
    <w:rsid w:val="00615C4E"/>
    <w:rsid w:val="006166F7"/>
    <w:rsid w:val="00616FB6"/>
    <w:rsid w:val="006201B8"/>
    <w:rsid w:val="00635F19"/>
    <w:rsid w:val="00646FA3"/>
    <w:rsid w:val="0065638E"/>
    <w:rsid w:val="0065717F"/>
    <w:rsid w:val="00666D2C"/>
    <w:rsid w:val="00671BEF"/>
    <w:rsid w:val="00680FDD"/>
    <w:rsid w:val="006817D3"/>
    <w:rsid w:val="0069442A"/>
    <w:rsid w:val="006A6732"/>
    <w:rsid w:val="006B0457"/>
    <w:rsid w:val="006C4C09"/>
    <w:rsid w:val="006E77A0"/>
    <w:rsid w:val="006F3E2A"/>
    <w:rsid w:val="00705B79"/>
    <w:rsid w:val="00712A57"/>
    <w:rsid w:val="00713FCF"/>
    <w:rsid w:val="0071498B"/>
    <w:rsid w:val="00715742"/>
    <w:rsid w:val="00722D20"/>
    <w:rsid w:val="0074230F"/>
    <w:rsid w:val="007451E3"/>
    <w:rsid w:val="00751C04"/>
    <w:rsid w:val="00770619"/>
    <w:rsid w:val="007807A9"/>
    <w:rsid w:val="00780B9D"/>
    <w:rsid w:val="00784A69"/>
    <w:rsid w:val="00792711"/>
    <w:rsid w:val="007A26EF"/>
    <w:rsid w:val="007A65F4"/>
    <w:rsid w:val="007B55ED"/>
    <w:rsid w:val="007B69DC"/>
    <w:rsid w:val="007C767E"/>
    <w:rsid w:val="007E1FDB"/>
    <w:rsid w:val="007E291C"/>
    <w:rsid w:val="007E2D49"/>
    <w:rsid w:val="007F3157"/>
    <w:rsid w:val="00816A49"/>
    <w:rsid w:val="00817D35"/>
    <w:rsid w:val="00817F5F"/>
    <w:rsid w:val="008307A5"/>
    <w:rsid w:val="00831C66"/>
    <w:rsid w:val="00832FEB"/>
    <w:rsid w:val="00837FE8"/>
    <w:rsid w:val="00843FF5"/>
    <w:rsid w:val="00861A32"/>
    <w:rsid w:val="00862ED2"/>
    <w:rsid w:val="00871385"/>
    <w:rsid w:val="0087307F"/>
    <w:rsid w:val="00885EE0"/>
    <w:rsid w:val="00895069"/>
    <w:rsid w:val="00895BC1"/>
    <w:rsid w:val="008B0135"/>
    <w:rsid w:val="008D2CDD"/>
    <w:rsid w:val="008D4494"/>
    <w:rsid w:val="008E3F7E"/>
    <w:rsid w:val="009111AE"/>
    <w:rsid w:val="00921619"/>
    <w:rsid w:val="00933FBC"/>
    <w:rsid w:val="00935100"/>
    <w:rsid w:val="00937FCF"/>
    <w:rsid w:val="00941981"/>
    <w:rsid w:val="009437EA"/>
    <w:rsid w:val="00943F13"/>
    <w:rsid w:val="0095275D"/>
    <w:rsid w:val="00952A5A"/>
    <w:rsid w:val="00967998"/>
    <w:rsid w:val="009712A5"/>
    <w:rsid w:val="00991708"/>
    <w:rsid w:val="009A3C53"/>
    <w:rsid w:val="009B3D7B"/>
    <w:rsid w:val="009B75E6"/>
    <w:rsid w:val="009C7386"/>
    <w:rsid w:val="009E4F51"/>
    <w:rsid w:val="009E5776"/>
    <w:rsid w:val="009E5D9D"/>
    <w:rsid w:val="009F7717"/>
    <w:rsid w:val="00A00EBA"/>
    <w:rsid w:val="00A060A5"/>
    <w:rsid w:val="00A07FB8"/>
    <w:rsid w:val="00A23923"/>
    <w:rsid w:val="00A32049"/>
    <w:rsid w:val="00A34B8C"/>
    <w:rsid w:val="00A36FD3"/>
    <w:rsid w:val="00A4326D"/>
    <w:rsid w:val="00A51699"/>
    <w:rsid w:val="00A53013"/>
    <w:rsid w:val="00A75829"/>
    <w:rsid w:val="00A92636"/>
    <w:rsid w:val="00A927BC"/>
    <w:rsid w:val="00A92879"/>
    <w:rsid w:val="00A9788E"/>
    <w:rsid w:val="00A979B1"/>
    <w:rsid w:val="00AA5E53"/>
    <w:rsid w:val="00AA6861"/>
    <w:rsid w:val="00AA76C1"/>
    <w:rsid w:val="00AB1847"/>
    <w:rsid w:val="00AB5E23"/>
    <w:rsid w:val="00AB678F"/>
    <w:rsid w:val="00AB7101"/>
    <w:rsid w:val="00AC45C0"/>
    <w:rsid w:val="00AF4166"/>
    <w:rsid w:val="00AF4741"/>
    <w:rsid w:val="00AF5153"/>
    <w:rsid w:val="00B05DC0"/>
    <w:rsid w:val="00B0660A"/>
    <w:rsid w:val="00B1032F"/>
    <w:rsid w:val="00B10578"/>
    <w:rsid w:val="00B123C0"/>
    <w:rsid w:val="00B14558"/>
    <w:rsid w:val="00B14CA0"/>
    <w:rsid w:val="00B3420E"/>
    <w:rsid w:val="00B50BC6"/>
    <w:rsid w:val="00B74923"/>
    <w:rsid w:val="00B74E2E"/>
    <w:rsid w:val="00B82B0F"/>
    <w:rsid w:val="00B9057B"/>
    <w:rsid w:val="00B91EE5"/>
    <w:rsid w:val="00B9784C"/>
    <w:rsid w:val="00BA1031"/>
    <w:rsid w:val="00BA3950"/>
    <w:rsid w:val="00BB0F3C"/>
    <w:rsid w:val="00BC0055"/>
    <w:rsid w:val="00BC3C01"/>
    <w:rsid w:val="00BE7783"/>
    <w:rsid w:val="00BF0717"/>
    <w:rsid w:val="00C13C96"/>
    <w:rsid w:val="00C24C03"/>
    <w:rsid w:val="00C34DAD"/>
    <w:rsid w:val="00C60799"/>
    <w:rsid w:val="00C76C2C"/>
    <w:rsid w:val="00C9249D"/>
    <w:rsid w:val="00C9262D"/>
    <w:rsid w:val="00C94AC5"/>
    <w:rsid w:val="00CA0885"/>
    <w:rsid w:val="00CA5A7C"/>
    <w:rsid w:val="00CB60BD"/>
    <w:rsid w:val="00CC0D7A"/>
    <w:rsid w:val="00CC7999"/>
    <w:rsid w:val="00CD0BE6"/>
    <w:rsid w:val="00CD7456"/>
    <w:rsid w:val="00CD766C"/>
    <w:rsid w:val="00CD7D6F"/>
    <w:rsid w:val="00CE7AED"/>
    <w:rsid w:val="00CF5453"/>
    <w:rsid w:val="00CF6C86"/>
    <w:rsid w:val="00CF7589"/>
    <w:rsid w:val="00D05155"/>
    <w:rsid w:val="00D10965"/>
    <w:rsid w:val="00D26124"/>
    <w:rsid w:val="00D27580"/>
    <w:rsid w:val="00D27BC8"/>
    <w:rsid w:val="00D36694"/>
    <w:rsid w:val="00D367BC"/>
    <w:rsid w:val="00D42C71"/>
    <w:rsid w:val="00D4314E"/>
    <w:rsid w:val="00D435A4"/>
    <w:rsid w:val="00D45F17"/>
    <w:rsid w:val="00D50696"/>
    <w:rsid w:val="00D57537"/>
    <w:rsid w:val="00D608F9"/>
    <w:rsid w:val="00D74F7A"/>
    <w:rsid w:val="00D90CF8"/>
    <w:rsid w:val="00D944F7"/>
    <w:rsid w:val="00DA3DBF"/>
    <w:rsid w:val="00DA67BC"/>
    <w:rsid w:val="00DB0DD8"/>
    <w:rsid w:val="00DB2A17"/>
    <w:rsid w:val="00DC2D21"/>
    <w:rsid w:val="00DC2F15"/>
    <w:rsid w:val="00DD71F4"/>
    <w:rsid w:val="00DE7CFF"/>
    <w:rsid w:val="00E008DB"/>
    <w:rsid w:val="00E02CB6"/>
    <w:rsid w:val="00E0417A"/>
    <w:rsid w:val="00E17DF3"/>
    <w:rsid w:val="00E50517"/>
    <w:rsid w:val="00E540B9"/>
    <w:rsid w:val="00E62459"/>
    <w:rsid w:val="00E712F7"/>
    <w:rsid w:val="00E82D5B"/>
    <w:rsid w:val="00EA7BD3"/>
    <w:rsid w:val="00EB1D95"/>
    <w:rsid w:val="00EB3339"/>
    <w:rsid w:val="00EC1E6D"/>
    <w:rsid w:val="00EC42DF"/>
    <w:rsid w:val="00EF391A"/>
    <w:rsid w:val="00EF4661"/>
    <w:rsid w:val="00F00D84"/>
    <w:rsid w:val="00F00F99"/>
    <w:rsid w:val="00F02E28"/>
    <w:rsid w:val="00F20304"/>
    <w:rsid w:val="00F2180F"/>
    <w:rsid w:val="00F22410"/>
    <w:rsid w:val="00F2579A"/>
    <w:rsid w:val="00F34067"/>
    <w:rsid w:val="00F41215"/>
    <w:rsid w:val="00F76A05"/>
    <w:rsid w:val="00F8440F"/>
    <w:rsid w:val="00F926F7"/>
    <w:rsid w:val="00FD0ED4"/>
    <w:rsid w:val="00FD4091"/>
    <w:rsid w:val="00FE2DFC"/>
    <w:rsid w:val="00FF5329"/>
    <w:rsid w:val="01161381"/>
    <w:rsid w:val="01541EA9"/>
    <w:rsid w:val="018C33F1"/>
    <w:rsid w:val="02EE3C38"/>
    <w:rsid w:val="04852880"/>
    <w:rsid w:val="05F62732"/>
    <w:rsid w:val="064918B1"/>
    <w:rsid w:val="0C346B5F"/>
    <w:rsid w:val="0DB2437D"/>
    <w:rsid w:val="0DD0193C"/>
    <w:rsid w:val="0E4D215A"/>
    <w:rsid w:val="0F057B00"/>
    <w:rsid w:val="108160EB"/>
    <w:rsid w:val="10CC223E"/>
    <w:rsid w:val="12541D09"/>
    <w:rsid w:val="140E7C96"/>
    <w:rsid w:val="14922675"/>
    <w:rsid w:val="15D829A9"/>
    <w:rsid w:val="16A164A7"/>
    <w:rsid w:val="16B748E3"/>
    <w:rsid w:val="17101F77"/>
    <w:rsid w:val="191A70DD"/>
    <w:rsid w:val="1A2B77F4"/>
    <w:rsid w:val="1BC4566C"/>
    <w:rsid w:val="1C0E117B"/>
    <w:rsid w:val="1C1A48A7"/>
    <w:rsid w:val="1D036806"/>
    <w:rsid w:val="1DCC309C"/>
    <w:rsid w:val="1EBF083B"/>
    <w:rsid w:val="20517769"/>
    <w:rsid w:val="218E0668"/>
    <w:rsid w:val="25956469"/>
    <w:rsid w:val="265C135E"/>
    <w:rsid w:val="27483067"/>
    <w:rsid w:val="279D7857"/>
    <w:rsid w:val="29B81B4D"/>
    <w:rsid w:val="29D55086"/>
    <w:rsid w:val="2A6C2FFD"/>
    <w:rsid w:val="2D1B36F8"/>
    <w:rsid w:val="2D7626DC"/>
    <w:rsid w:val="2DBB27E5"/>
    <w:rsid w:val="2DD00881"/>
    <w:rsid w:val="2E1015D9"/>
    <w:rsid w:val="2E516CA5"/>
    <w:rsid w:val="2E826461"/>
    <w:rsid w:val="2F063F34"/>
    <w:rsid w:val="35561943"/>
    <w:rsid w:val="369B6B85"/>
    <w:rsid w:val="383137C8"/>
    <w:rsid w:val="385362AC"/>
    <w:rsid w:val="3B2771E4"/>
    <w:rsid w:val="3B813C9C"/>
    <w:rsid w:val="3EFB74A4"/>
    <w:rsid w:val="43525542"/>
    <w:rsid w:val="436314FD"/>
    <w:rsid w:val="449D27EC"/>
    <w:rsid w:val="474C4141"/>
    <w:rsid w:val="47571378"/>
    <w:rsid w:val="486C0E54"/>
    <w:rsid w:val="48AF2AEE"/>
    <w:rsid w:val="4977265F"/>
    <w:rsid w:val="49951CE4"/>
    <w:rsid w:val="4ABA40F8"/>
    <w:rsid w:val="4AC97E97"/>
    <w:rsid w:val="4AF403AA"/>
    <w:rsid w:val="4C0C68AE"/>
    <w:rsid w:val="4C177328"/>
    <w:rsid w:val="4DB841F3"/>
    <w:rsid w:val="4F155DA1"/>
    <w:rsid w:val="4F252D25"/>
    <w:rsid w:val="4FD74E04"/>
    <w:rsid w:val="50566671"/>
    <w:rsid w:val="50E84DEF"/>
    <w:rsid w:val="54BC0A6D"/>
    <w:rsid w:val="54FB1595"/>
    <w:rsid w:val="55AC6D33"/>
    <w:rsid w:val="56E9366F"/>
    <w:rsid w:val="572823EA"/>
    <w:rsid w:val="585A2A77"/>
    <w:rsid w:val="59266DFD"/>
    <w:rsid w:val="59C77C98"/>
    <w:rsid w:val="59CC3500"/>
    <w:rsid w:val="59D2663D"/>
    <w:rsid w:val="5A8A35E5"/>
    <w:rsid w:val="5AEE0879"/>
    <w:rsid w:val="5B0D5B7E"/>
    <w:rsid w:val="5BCF72D8"/>
    <w:rsid w:val="5D4D110B"/>
    <w:rsid w:val="5FFF5CB2"/>
    <w:rsid w:val="606F2E37"/>
    <w:rsid w:val="60CA62C0"/>
    <w:rsid w:val="6292283D"/>
    <w:rsid w:val="63442359"/>
    <w:rsid w:val="65E87914"/>
    <w:rsid w:val="66833819"/>
    <w:rsid w:val="674548F2"/>
    <w:rsid w:val="674768BC"/>
    <w:rsid w:val="68925915"/>
    <w:rsid w:val="68B735CD"/>
    <w:rsid w:val="695B03FD"/>
    <w:rsid w:val="69B550B0"/>
    <w:rsid w:val="69D16911"/>
    <w:rsid w:val="6A102F95"/>
    <w:rsid w:val="6A246A40"/>
    <w:rsid w:val="6E0A23F1"/>
    <w:rsid w:val="6FBB39A3"/>
    <w:rsid w:val="7012558D"/>
    <w:rsid w:val="709B5583"/>
    <w:rsid w:val="7128150C"/>
    <w:rsid w:val="72B666A4"/>
    <w:rsid w:val="72BD27C7"/>
    <w:rsid w:val="74067F0C"/>
    <w:rsid w:val="75E60096"/>
    <w:rsid w:val="766D75CC"/>
    <w:rsid w:val="771A5453"/>
    <w:rsid w:val="79E317E2"/>
    <w:rsid w:val="79FC05FF"/>
    <w:rsid w:val="7AB33C12"/>
    <w:rsid w:val="7C014E34"/>
    <w:rsid w:val="7CA37C99"/>
    <w:rsid w:val="7E5356EF"/>
    <w:rsid w:val="7FDD1F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qFormat/>
    <w:uiPriority w:val="99"/>
    <w:pPr>
      <w:spacing w:before="200" w:line="271" w:lineRule="auto"/>
      <w:outlineLvl w:val="2"/>
    </w:pPr>
    <w:rPr>
      <w:rFonts w:ascii="Cambria" w:hAnsi="Cambria" w:cs="Cambria"/>
      <w:b/>
      <w:bCs/>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5"/>
    <w:unhideWhenUsed/>
    <w:qFormat/>
    <w:uiPriority w:val="99"/>
    <w:pPr>
      <w:ind w:left="100" w:leftChars="2500"/>
    </w:pPr>
  </w:style>
  <w:style w:type="paragraph" w:styleId="4">
    <w:name w:val="Balloon Text"/>
    <w:basedOn w:val="1"/>
    <w:link w:val="12"/>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snapToGrid w:val="0"/>
      <w:spacing w:line="560" w:lineRule="exact"/>
      <w:ind w:firstLine="880" w:firstLineChars="200"/>
    </w:pPr>
    <w:rPr>
      <w:rFonts w:ascii="Times New Roman" w:hAnsi="Times New Roman" w:eastAsia="仿宋_GB2312" w:cs="Times New Roman"/>
      <w:color w:val="000000"/>
      <w:sz w:val="32"/>
      <w:szCs w:val="36"/>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qFormat/>
    <w:uiPriority w:val="34"/>
    <w:pPr>
      <w:ind w:firstLine="420" w:firstLineChars="200"/>
    </w:pPr>
  </w:style>
  <w:style w:type="character" w:customStyle="1" w:styleId="12">
    <w:name w:val="批注框文本 Char"/>
    <w:basedOn w:val="10"/>
    <w:link w:val="4"/>
    <w:qFormat/>
    <w:uiPriority w:val="99"/>
    <w:rPr>
      <w:sz w:val="18"/>
      <w:szCs w:val="18"/>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日期 Char"/>
    <w:basedOn w:val="10"/>
    <w:link w:val="3"/>
    <w:semiHidden/>
    <w:qFormat/>
    <w:uiPriority w:val="99"/>
    <w:rPr>
      <w:rFonts w:ascii="Calibri" w:hAnsi="Calibri" w:cs="宋体"/>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16</Pages>
  <Words>6630</Words>
  <Characters>7060</Characters>
  <Lines>52</Lines>
  <Paragraphs>14</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2022-05-13T14:53:00Z</dcterms:created>
  <dc:creator>User</dc:creator>
  <cp:lastModifiedBy>user</cp:lastModifiedBy>
  <cp:lastPrinted>2022-06-07T10:44:00Z</cp:lastPrinted>
  <dcterms:modified xsi:type="dcterms:W3CDTF">2024-09-26T10:33:24Z</dcterms:modified>
  <dc:title>青岛西海岸新区住房和城乡建设局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SaveFontToCloudKey">
    <vt:lpwstr>379575269_cloud</vt:lpwstr>
  </property>
  <property fmtid="{D5CDD505-2E9C-101B-9397-08002B2CF9AE}" pid="4" name="ICV">
    <vt:lpwstr>96858FAEE91A4635820209728A22F016</vt:lpwstr>
  </property>
</Properties>
</file>