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ascii="黑体" w:hAnsi="黑体" w:eastAsia="黑体" w:cs="黑体"/>
          <w:spacing w:val="0"/>
          <w:sz w:val="31"/>
          <w:szCs w:val="31"/>
        </w:rPr>
      </w:pPr>
      <w:r>
        <w:rPr>
          <w:rFonts w:ascii="黑体" w:hAnsi="黑体" w:eastAsia="黑体" w:cs="黑体"/>
          <w:spacing w:val="0"/>
          <w:sz w:val="32"/>
          <w:szCs w:val="32"/>
        </w:rPr>
        <w:t>附件</w:t>
      </w:r>
      <w:r>
        <w:rPr>
          <w:rFonts w:ascii="黑体" w:hAnsi="黑体" w:eastAsia="黑体" w:cs="黑体"/>
          <w:spacing w:val="0"/>
          <w:sz w:val="31"/>
          <w:szCs w:val="31"/>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9"/>
          <w:sz w:val="44"/>
          <w:szCs w:val="44"/>
        </w:rPr>
        <w:t>冬期施工工程质量专项检查表</w:t>
      </w:r>
    </w:p>
    <w:p>
      <w:pPr>
        <w:spacing w:before="26" w:line="227" w:lineRule="auto"/>
        <w:ind w:left="245"/>
        <w:rPr>
          <w:rFonts w:hint="eastAsia" w:ascii="黑体" w:hAnsi="黑体" w:eastAsia="黑体" w:cs="黑体"/>
          <w:spacing w:val="7"/>
          <w:sz w:val="28"/>
          <w:szCs w:val="28"/>
        </w:rPr>
      </w:pPr>
    </w:p>
    <w:p>
      <w:pPr>
        <w:spacing w:before="26" w:line="227" w:lineRule="auto"/>
        <w:ind w:left="245"/>
        <w:rPr>
          <w:rFonts w:hint="eastAsia" w:ascii="黑体" w:hAnsi="黑体" w:eastAsia="黑体" w:cs="黑体"/>
          <w:sz w:val="28"/>
          <w:szCs w:val="28"/>
        </w:rPr>
      </w:pPr>
      <w:r>
        <w:rPr>
          <w:rFonts w:hint="eastAsia" w:ascii="黑体" w:hAnsi="黑体" w:eastAsia="黑体" w:cs="黑体"/>
          <w:spacing w:val="7"/>
          <w:sz w:val="28"/>
          <w:szCs w:val="28"/>
        </w:rPr>
        <w:t>工程名称：</w:t>
      </w:r>
    </w:p>
    <w:p>
      <w:pPr>
        <w:spacing w:line="42" w:lineRule="auto"/>
        <w:rPr>
          <w:rFonts w:ascii="Arial"/>
          <w:sz w:val="2"/>
        </w:rPr>
      </w:pPr>
    </w:p>
    <w:tbl>
      <w:tblPr>
        <w:tblStyle w:val="8"/>
        <w:tblW w:w="9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095"/>
        <w:gridCol w:w="4703"/>
        <w:gridCol w:w="943"/>
        <w:gridCol w:w="915"/>
        <w:gridCol w:w="7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52"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黑体" w:hAnsi="黑体" w:eastAsia="黑体" w:cs="黑体"/>
                <w:spacing w:val="0"/>
                <w:sz w:val="24"/>
                <w:szCs w:val="24"/>
              </w:rPr>
            </w:pPr>
            <w:r>
              <w:rPr>
                <w:rFonts w:ascii="黑体" w:hAnsi="黑体" w:eastAsia="黑体" w:cs="黑体"/>
                <w:spacing w:val="0"/>
                <w:sz w:val="24"/>
                <w:szCs w:val="24"/>
              </w:rPr>
              <w:t>序号</w:t>
            </w:r>
          </w:p>
        </w:tc>
        <w:tc>
          <w:tcPr>
            <w:tcW w:w="1095"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黑体" w:hAnsi="黑体" w:eastAsia="黑体" w:cs="黑体"/>
                <w:spacing w:val="0"/>
                <w:sz w:val="24"/>
                <w:szCs w:val="24"/>
              </w:rPr>
            </w:pPr>
            <w:r>
              <w:rPr>
                <w:rFonts w:ascii="黑体" w:hAnsi="黑体" w:eastAsia="黑体" w:cs="黑体"/>
                <w:spacing w:val="0"/>
                <w:sz w:val="24"/>
                <w:szCs w:val="24"/>
              </w:rPr>
              <w:t>检查内容</w:t>
            </w:r>
          </w:p>
        </w:tc>
        <w:tc>
          <w:tcPr>
            <w:tcW w:w="4703"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黑体" w:hAnsi="黑体" w:eastAsia="黑体" w:cs="黑体"/>
                <w:spacing w:val="0"/>
                <w:sz w:val="24"/>
                <w:szCs w:val="24"/>
              </w:rPr>
            </w:pPr>
            <w:r>
              <w:rPr>
                <w:rFonts w:ascii="黑体" w:hAnsi="黑体" w:eastAsia="黑体" w:cs="黑体"/>
                <w:spacing w:val="0"/>
                <w:sz w:val="24"/>
                <w:szCs w:val="24"/>
              </w:rPr>
              <w:t>检查要点</w:t>
            </w:r>
          </w:p>
        </w:tc>
        <w:tc>
          <w:tcPr>
            <w:tcW w:w="185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黑体" w:hAnsi="黑体" w:eastAsia="黑体" w:cs="黑体"/>
                <w:spacing w:val="0"/>
                <w:sz w:val="24"/>
                <w:szCs w:val="24"/>
              </w:rPr>
            </w:pPr>
            <w:r>
              <w:rPr>
                <w:rFonts w:ascii="黑体" w:hAnsi="黑体" w:eastAsia="黑体" w:cs="黑体"/>
                <w:spacing w:val="0"/>
                <w:sz w:val="24"/>
                <w:szCs w:val="24"/>
              </w:rPr>
              <w:t>检查情况</w:t>
            </w:r>
          </w:p>
        </w:tc>
        <w:tc>
          <w:tcPr>
            <w:tcW w:w="734" w:type="dxa"/>
            <w:vMerge w:val="restart"/>
            <w:tcBorders>
              <w:bottom w:val="nil"/>
            </w:tcBorders>
            <w:noWrap w:val="0"/>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spacing w:val="0"/>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黑体" w:hAnsi="黑体" w:eastAsia="黑体" w:cs="黑体"/>
                <w:spacing w:val="0"/>
                <w:sz w:val="24"/>
                <w:szCs w:val="24"/>
              </w:rPr>
            </w:pPr>
            <w:r>
              <w:rPr>
                <w:rFonts w:ascii="黑体" w:hAnsi="黑体" w:eastAsia="黑体" w:cs="黑体"/>
                <w:spacing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Merge w:val="continue"/>
            <w:tcBorders>
              <w:top w:val="nil"/>
            </w:tcBorders>
            <w:noWrap w:val="0"/>
            <w:vAlign w:val="top"/>
          </w:tcPr>
          <w:p>
            <w:pPr>
              <w:pStyle w:val="7"/>
            </w:pPr>
          </w:p>
        </w:tc>
        <w:tc>
          <w:tcPr>
            <w:tcW w:w="1095" w:type="dxa"/>
            <w:vMerge w:val="continue"/>
            <w:tcBorders>
              <w:top w:val="nil"/>
            </w:tcBorders>
            <w:noWrap w:val="0"/>
            <w:vAlign w:val="top"/>
          </w:tcPr>
          <w:p>
            <w:pPr>
              <w:pStyle w:val="7"/>
            </w:pPr>
          </w:p>
        </w:tc>
        <w:tc>
          <w:tcPr>
            <w:tcW w:w="4703" w:type="dxa"/>
            <w:vMerge w:val="continue"/>
            <w:tcBorders>
              <w:top w:val="nil"/>
            </w:tcBorders>
            <w:noWrap w:val="0"/>
            <w:vAlign w:val="top"/>
          </w:tcPr>
          <w:p>
            <w:pPr>
              <w:pStyle w:val="7"/>
            </w:pPr>
          </w:p>
        </w:tc>
        <w:tc>
          <w:tcPr>
            <w:tcW w:w="943" w:type="dxa"/>
            <w:noWrap w:val="0"/>
            <w:vAlign w:val="top"/>
          </w:tcPr>
          <w:p>
            <w:pPr>
              <w:spacing w:before="201" w:line="219" w:lineRule="auto"/>
              <w:ind w:left="197"/>
              <w:rPr>
                <w:rFonts w:ascii="黑体" w:hAnsi="黑体" w:eastAsia="黑体" w:cs="黑体"/>
                <w:sz w:val="24"/>
                <w:szCs w:val="24"/>
              </w:rPr>
            </w:pPr>
            <w:r>
              <w:rPr>
                <w:rFonts w:ascii="黑体" w:hAnsi="黑体" w:eastAsia="黑体" w:cs="黑体"/>
                <w:spacing w:val="-8"/>
                <w:sz w:val="24"/>
                <w:szCs w:val="24"/>
              </w:rPr>
              <w:t>有/无</w:t>
            </w:r>
          </w:p>
        </w:tc>
        <w:tc>
          <w:tcPr>
            <w:tcW w:w="915" w:type="dxa"/>
            <w:noWrap w:val="0"/>
            <w:vAlign w:val="top"/>
          </w:tcPr>
          <w:p>
            <w:pPr>
              <w:spacing w:before="53" w:line="218" w:lineRule="auto"/>
              <w:ind w:left="239"/>
              <w:rPr>
                <w:rFonts w:ascii="黑体" w:hAnsi="黑体" w:eastAsia="黑体" w:cs="黑体"/>
                <w:sz w:val="24"/>
                <w:szCs w:val="24"/>
              </w:rPr>
            </w:pPr>
            <w:r>
              <w:rPr>
                <w:rFonts w:ascii="黑体" w:hAnsi="黑体" w:eastAsia="黑体" w:cs="黑体"/>
                <w:spacing w:val="-5"/>
                <w:sz w:val="24"/>
                <w:szCs w:val="24"/>
              </w:rPr>
              <w:t>符合</w:t>
            </w:r>
          </w:p>
          <w:p>
            <w:pPr>
              <w:spacing w:before="7" w:line="211" w:lineRule="auto"/>
              <w:ind w:left="240"/>
              <w:rPr>
                <w:rFonts w:ascii="黑体" w:hAnsi="黑体" w:eastAsia="黑体" w:cs="黑体"/>
                <w:sz w:val="24"/>
                <w:szCs w:val="24"/>
              </w:rPr>
            </w:pPr>
            <w:r>
              <w:rPr>
                <w:rFonts w:ascii="黑体" w:hAnsi="黑体" w:eastAsia="黑体" w:cs="黑体"/>
                <w:spacing w:val="-7"/>
                <w:sz w:val="24"/>
                <w:szCs w:val="24"/>
              </w:rPr>
              <w:t>情况</w:t>
            </w:r>
          </w:p>
        </w:tc>
        <w:tc>
          <w:tcPr>
            <w:tcW w:w="734" w:type="dxa"/>
            <w:vMerge w:val="continue"/>
            <w:tcBorders>
              <w:top w:val="nil"/>
            </w:tcBorders>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652" w:type="dxa"/>
            <w:vMerge w:val="restart"/>
            <w:tcBorders>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1</w:t>
            </w:r>
          </w:p>
        </w:tc>
        <w:tc>
          <w:tcPr>
            <w:tcW w:w="1095" w:type="dxa"/>
            <w:vMerge w:val="restart"/>
            <w:tcBorders>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冬期施工条件</w:t>
            </w: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hanging="23"/>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是否对冬期施工方案进行编制、审核、审批，并严格按照方案组织施工作业。</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652" w:type="dxa"/>
            <w:vMerge w:val="continue"/>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1095" w:type="dxa"/>
            <w:vMerge w:val="continue"/>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是否建立冬施期间组织机构，职责分工明确。</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52" w:type="dxa"/>
            <w:vMerge w:val="continue"/>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1095" w:type="dxa"/>
            <w:vMerge w:val="continue"/>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6"/>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方案中明确冬期施工内容，质量安全等控制措施是否有针对性。</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652" w:type="dxa"/>
            <w:vMerge w:val="continue"/>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1095" w:type="dxa"/>
            <w:vMerge w:val="continue"/>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hanging="14"/>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编制冬施物资计划，建立物资清单及台账，物资是否满足冬期施工要求。</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652" w:type="dxa"/>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1095" w:type="dxa"/>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企业是否按月对承建工程开展自查自纠，检查表、检查内容是否齐全，检查后是否进行奖惩通报。</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0" w:hRule="atLeast"/>
        </w:trPr>
        <w:tc>
          <w:tcPr>
            <w:tcW w:w="65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2</w:t>
            </w:r>
          </w:p>
        </w:tc>
        <w:tc>
          <w:tcPr>
            <w:tcW w:w="109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培训交底</w:t>
            </w: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hanging="18"/>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根据冬期施工方案组织技术管理人员和作业人员分级进行技术交底和安全技术交底。</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652" w:type="dxa"/>
            <w:vMerge w:val="restart"/>
            <w:tcBorders>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3</w:t>
            </w:r>
          </w:p>
        </w:tc>
        <w:tc>
          <w:tcPr>
            <w:tcW w:w="1095" w:type="dxa"/>
            <w:vMerge w:val="restart"/>
            <w:tcBorders>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测温工作</w:t>
            </w: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测温仪器设备已检定合格，使用正常。</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652" w:type="dxa"/>
            <w:vMerge w:val="continue"/>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1095" w:type="dxa"/>
            <w:vMerge w:val="continue"/>
            <w:tcBorders>
              <w:top w:val="nil"/>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7"/>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有专人负责施工期间测温，测温记录及时准确，确定冬施开始和结束时间。</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52" w:type="dxa"/>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1095" w:type="dxa"/>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hanging="22"/>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绘制混凝土测温孔布设图，测孔设置和测温频次符合方案要求，测温记录及时有效。</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1" w:hRule="atLeast"/>
        </w:trPr>
        <w:tc>
          <w:tcPr>
            <w:tcW w:w="65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4</w:t>
            </w:r>
          </w:p>
        </w:tc>
        <w:tc>
          <w:tcPr>
            <w:tcW w:w="109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自查自纠</w:t>
            </w: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冬施期间定期、不定期开展自查， 自查问题有记录及整改情况。</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52" w:type="dxa"/>
            <w:vMerge w:val="restart"/>
            <w:tcBorders>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5</w:t>
            </w:r>
          </w:p>
        </w:tc>
        <w:tc>
          <w:tcPr>
            <w:tcW w:w="1095" w:type="dxa"/>
            <w:vMerge w:val="restart"/>
            <w:tcBorders>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监理履职</w:t>
            </w: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编制冬期施工实施细则，针对施工单位冬施内容制定质量安全重点监控点。</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652"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1095"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冬施期间定期、不定期对施工单位冬施措施执行情况进行检查，记录齐全有效；冬施结束后组织对实施内容的质量是否达到设计及规范要求进行检查。</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652" w:type="dxa"/>
            <w:vMerge w:val="restart"/>
            <w:tcBorders>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6</w:t>
            </w:r>
          </w:p>
        </w:tc>
        <w:tc>
          <w:tcPr>
            <w:tcW w:w="1095" w:type="dxa"/>
            <w:vMerge w:val="restart"/>
            <w:tcBorders>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主体工程</w:t>
            </w: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施工日志和旁站记录应对技术管理和质量管理活动、重大事项以及效果逐日、连续、完整的记录，是否按专业由项目部专人负责记载，并保证内容真实、连续和完整，附施工照片。</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3" w:hRule="atLeast"/>
        </w:trPr>
        <w:tc>
          <w:tcPr>
            <w:tcW w:w="652" w:type="dxa"/>
            <w:vMerge w:val="continue"/>
            <w:tcBorders>
              <w:top w:val="nil"/>
              <w:bottom w:val="nil"/>
            </w:tcBorders>
            <w:noWrap w:val="0"/>
            <w:vAlign w:val="top"/>
          </w:tcPr>
          <w:p>
            <w:pPr>
              <w:pStyle w:val="7"/>
              <w:rPr>
                <w:rFonts w:hint="eastAsia" w:ascii="仿宋_GB2312" w:hAnsi="仿宋_GB2312" w:eastAsia="仿宋_GB2312" w:cs="仿宋_GB2312"/>
                <w:sz w:val="24"/>
                <w:szCs w:val="24"/>
              </w:rPr>
            </w:pPr>
          </w:p>
        </w:tc>
        <w:tc>
          <w:tcPr>
            <w:tcW w:w="1095" w:type="dxa"/>
            <w:vMerge w:val="continue"/>
            <w:tcBorders>
              <w:top w:val="nil"/>
              <w:bottom w:val="nil"/>
            </w:tcBorders>
            <w:noWrap w:val="0"/>
            <w:vAlign w:val="top"/>
          </w:tcPr>
          <w:p>
            <w:pPr>
              <w:pStyle w:val="7"/>
              <w:rPr>
                <w:rFonts w:hint="eastAsia" w:ascii="仿宋_GB2312" w:hAnsi="仿宋_GB2312" w:eastAsia="仿宋_GB2312" w:cs="仿宋_GB2312"/>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回填土隐蔽工程验收记录及土壤压实度试验报告。</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652" w:type="dxa"/>
            <w:vMerge w:val="continue"/>
            <w:tcBorders>
              <w:top w:val="nil"/>
              <w:bottom w:val="nil"/>
            </w:tcBorders>
            <w:noWrap w:val="0"/>
            <w:vAlign w:val="top"/>
          </w:tcPr>
          <w:p>
            <w:pPr>
              <w:pStyle w:val="7"/>
              <w:rPr>
                <w:rFonts w:hint="eastAsia" w:ascii="仿宋_GB2312" w:hAnsi="仿宋_GB2312" w:eastAsia="仿宋_GB2312" w:cs="仿宋_GB2312"/>
                <w:sz w:val="24"/>
                <w:szCs w:val="24"/>
              </w:rPr>
            </w:pPr>
          </w:p>
        </w:tc>
        <w:tc>
          <w:tcPr>
            <w:tcW w:w="1095" w:type="dxa"/>
            <w:vMerge w:val="continue"/>
            <w:tcBorders>
              <w:top w:val="nil"/>
              <w:bottom w:val="nil"/>
            </w:tcBorders>
            <w:noWrap w:val="0"/>
            <w:vAlign w:val="top"/>
          </w:tcPr>
          <w:p>
            <w:pPr>
              <w:pStyle w:val="7"/>
              <w:rPr>
                <w:rFonts w:hint="eastAsia" w:ascii="仿宋_GB2312" w:hAnsi="仿宋_GB2312" w:eastAsia="仿宋_GB2312" w:cs="仿宋_GB2312"/>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混凝土的出罐、入模及养护测温记录，测温频次是否符合要求。</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652" w:type="dxa"/>
            <w:vMerge w:val="continue"/>
            <w:tcBorders>
              <w:top w:val="nil"/>
              <w:bottom w:val="nil"/>
            </w:tcBorders>
            <w:noWrap w:val="0"/>
            <w:vAlign w:val="top"/>
          </w:tcPr>
          <w:p>
            <w:pPr>
              <w:pStyle w:val="7"/>
              <w:rPr>
                <w:rFonts w:hint="eastAsia" w:ascii="仿宋_GB2312" w:hAnsi="仿宋_GB2312" w:eastAsia="仿宋_GB2312" w:cs="仿宋_GB2312"/>
                <w:sz w:val="24"/>
                <w:szCs w:val="24"/>
              </w:rPr>
            </w:pPr>
          </w:p>
        </w:tc>
        <w:tc>
          <w:tcPr>
            <w:tcW w:w="1095" w:type="dxa"/>
            <w:vMerge w:val="continue"/>
            <w:tcBorders>
              <w:top w:val="nil"/>
              <w:bottom w:val="nil"/>
            </w:tcBorders>
            <w:noWrap w:val="0"/>
            <w:vAlign w:val="top"/>
          </w:tcPr>
          <w:p>
            <w:pPr>
              <w:pStyle w:val="7"/>
              <w:rPr>
                <w:rFonts w:hint="eastAsia" w:ascii="仿宋_GB2312" w:hAnsi="仿宋_GB2312" w:eastAsia="仿宋_GB2312" w:cs="仿宋_GB2312"/>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混凝土是否留置冬施标准养护试块和同条件养护试块，且养护环境是否符合要求与结构实体一致。</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52" w:type="dxa"/>
            <w:vMerge w:val="continue"/>
            <w:tcBorders>
              <w:top w:val="nil"/>
              <w:bottom w:val="nil"/>
            </w:tcBorders>
            <w:noWrap w:val="0"/>
            <w:vAlign w:val="top"/>
          </w:tcPr>
          <w:p>
            <w:pPr>
              <w:pStyle w:val="7"/>
              <w:rPr>
                <w:rFonts w:hint="eastAsia" w:ascii="仿宋_GB2312" w:hAnsi="仿宋_GB2312" w:eastAsia="仿宋_GB2312" w:cs="仿宋_GB2312"/>
                <w:sz w:val="24"/>
                <w:szCs w:val="24"/>
              </w:rPr>
            </w:pPr>
          </w:p>
        </w:tc>
        <w:tc>
          <w:tcPr>
            <w:tcW w:w="1095" w:type="dxa"/>
            <w:vMerge w:val="continue"/>
            <w:tcBorders>
              <w:top w:val="nil"/>
              <w:bottom w:val="nil"/>
            </w:tcBorders>
            <w:noWrap w:val="0"/>
            <w:vAlign w:val="top"/>
          </w:tcPr>
          <w:p>
            <w:pPr>
              <w:pStyle w:val="7"/>
              <w:rPr>
                <w:rFonts w:hint="eastAsia" w:ascii="仿宋_GB2312" w:hAnsi="仿宋_GB2312" w:eastAsia="仿宋_GB2312" w:cs="仿宋_GB2312"/>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砌筑砂浆拌合水的温度控制措施，砌筑作业环境温度保证措施及检查记录。</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8" w:hRule="atLeast"/>
        </w:trPr>
        <w:tc>
          <w:tcPr>
            <w:tcW w:w="652" w:type="dxa"/>
            <w:vMerge w:val="continue"/>
            <w:tcBorders>
              <w:top w:val="nil"/>
              <w:bottom w:val="nil"/>
            </w:tcBorders>
            <w:noWrap w:val="0"/>
            <w:vAlign w:val="top"/>
          </w:tcPr>
          <w:p>
            <w:pPr>
              <w:pStyle w:val="7"/>
              <w:rPr>
                <w:rFonts w:hint="eastAsia" w:ascii="仿宋_GB2312" w:hAnsi="仿宋_GB2312" w:eastAsia="仿宋_GB2312" w:cs="仿宋_GB2312"/>
                <w:sz w:val="24"/>
                <w:szCs w:val="24"/>
              </w:rPr>
            </w:pPr>
          </w:p>
        </w:tc>
        <w:tc>
          <w:tcPr>
            <w:tcW w:w="1095" w:type="dxa"/>
            <w:vMerge w:val="continue"/>
            <w:tcBorders>
              <w:top w:val="nil"/>
              <w:bottom w:val="nil"/>
            </w:tcBorders>
            <w:noWrap w:val="0"/>
            <w:vAlign w:val="top"/>
          </w:tcPr>
          <w:p>
            <w:pPr>
              <w:pStyle w:val="7"/>
              <w:rPr>
                <w:rFonts w:hint="eastAsia" w:ascii="仿宋_GB2312" w:hAnsi="仿宋_GB2312" w:eastAsia="仿宋_GB2312" w:cs="仿宋_GB2312"/>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冬施期间砌筑砂浆同条件试块的留置情况。</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652" w:type="dxa"/>
            <w:vMerge w:val="continue"/>
            <w:tcBorders>
              <w:top w:val="nil"/>
            </w:tcBorders>
            <w:noWrap w:val="0"/>
            <w:vAlign w:val="top"/>
          </w:tcPr>
          <w:p>
            <w:pPr>
              <w:pStyle w:val="7"/>
              <w:rPr>
                <w:rFonts w:hint="eastAsia" w:ascii="仿宋_GB2312" w:hAnsi="仿宋_GB2312" w:eastAsia="仿宋_GB2312" w:cs="仿宋_GB2312"/>
                <w:sz w:val="24"/>
                <w:szCs w:val="24"/>
              </w:rPr>
            </w:pPr>
          </w:p>
        </w:tc>
        <w:tc>
          <w:tcPr>
            <w:tcW w:w="1095" w:type="dxa"/>
            <w:vMerge w:val="continue"/>
            <w:tcBorders>
              <w:top w:val="nil"/>
            </w:tcBorders>
            <w:noWrap w:val="0"/>
            <w:vAlign w:val="top"/>
          </w:tcPr>
          <w:p>
            <w:pPr>
              <w:pStyle w:val="7"/>
              <w:rPr>
                <w:rFonts w:hint="eastAsia" w:ascii="仿宋_GB2312" w:hAnsi="仿宋_GB2312" w:eastAsia="仿宋_GB2312" w:cs="仿宋_GB2312"/>
                <w:sz w:val="24"/>
                <w:szCs w:val="24"/>
              </w:rPr>
            </w:pPr>
          </w:p>
        </w:tc>
        <w:tc>
          <w:tcPr>
            <w:tcW w:w="470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防水工程编制屋面防水冬施专项方案，由设计、监理及材料供应商共同对方案进行技术分析会议，形成记录。</w:t>
            </w:r>
          </w:p>
        </w:tc>
        <w:tc>
          <w:tcPr>
            <w:tcW w:w="943" w:type="dxa"/>
            <w:noWrap w:val="0"/>
            <w:vAlign w:val="top"/>
          </w:tcPr>
          <w:p>
            <w:pPr>
              <w:pStyle w:val="7"/>
            </w:pPr>
          </w:p>
        </w:tc>
        <w:tc>
          <w:tcPr>
            <w:tcW w:w="915" w:type="dxa"/>
            <w:noWrap w:val="0"/>
            <w:vAlign w:val="top"/>
          </w:tcPr>
          <w:p>
            <w:pPr>
              <w:pStyle w:val="7"/>
            </w:pPr>
          </w:p>
        </w:tc>
        <w:tc>
          <w:tcPr>
            <w:tcW w:w="734" w:type="dxa"/>
            <w:noWrap w:val="0"/>
            <w:vAlign w:val="top"/>
          </w:tcPr>
          <w:p>
            <w:pPr>
              <w:pStyle w:val="7"/>
            </w:pPr>
          </w:p>
        </w:tc>
      </w:tr>
    </w:tbl>
    <w:p>
      <w:pPr>
        <w:rPr>
          <w:rFonts w:ascii="Arial"/>
          <w:sz w:val="21"/>
        </w:rPr>
      </w:pPr>
    </w:p>
    <w:p>
      <w:pPr>
        <w:rPr>
          <w:rFonts w:ascii="Arial"/>
          <w:sz w:val="21"/>
        </w:rPr>
      </w:pPr>
    </w:p>
    <w:p>
      <w:pPr>
        <w:rPr>
          <w:rFonts w:ascii="Arial"/>
          <w:sz w:val="21"/>
        </w:rPr>
      </w:pPr>
    </w:p>
    <w:p>
      <w:pPr>
        <w:pStyle w:val="2"/>
        <w:rPr>
          <w:rFonts w:ascii="Arial"/>
          <w:sz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lang w:val="en-US" w:eastAsia="zh-CN"/>
        </w:rPr>
      </w:pPr>
      <w:bookmarkStart w:id="0" w:name="_GoBack"/>
      <w:bookmarkEnd w:id="0"/>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11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B3CD9"/>
    <w:rsid w:val="0C8B3CD9"/>
    <w:rsid w:val="179A37C7"/>
    <w:rsid w:val="3CF32FE9"/>
    <w:rsid w:val="4BD34E44"/>
    <w:rsid w:val="DFEF0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99"/>
    <w:pPr>
      <w:widowControl/>
      <w:spacing w:before="100" w:beforeAutospacing="1" w:after="100" w:afterAutospacing="1" w:line="240" w:lineRule="auto"/>
      <w:jc w:val="left"/>
      <w:outlineLvl w:val="2"/>
    </w:pPr>
    <w:rPr>
      <w:rFonts w:ascii="宋体" w:hAnsi="宋体" w:eastAsia="宋体" w:cs="Times New Roman"/>
      <w:b/>
      <w:bCs/>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Arial" w:hAnsi="Arial" w:eastAsia="Arial" w:cs="Arial"/>
      <w:sz w:val="21"/>
      <w:szCs w:val="21"/>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1019</Words>
  <Characters>1042</Characters>
  <Lines>0</Lines>
  <Paragraphs>0</Paragraphs>
  <TotalTime>12</TotalTime>
  <ScaleCrop>false</ScaleCrop>
  <LinksUpToDate>false</LinksUpToDate>
  <CharactersWithSpaces>1061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2025-12-16T16:24:00Z</dcterms:created>
  <dc:creator>子春十一</dc:creator>
  <cp:lastModifiedBy>user</cp:lastModifiedBy>
  <dcterms:modified xsi:type="dcterms:W3CDTF">2025-12-19T15:47:05Z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0448AFA4E4B24ABABE4ACCC15441845E_11</vt:lpwstr>
  </property>
  <property fmtid="{D5CDD505-2E9C-101B-9397-08002B2CF9AE}" pid="4" name="KSOTemplateDocerSaveRecord">
    <vt:lpwstr>eyJoZGlkIjoiNjc0MGU2YTVkNzQ0ODhlMjExM2E3MjhlODQ4NzIwZTQiLCJ1c2VySWQiOiIxMjY2MjM4NzQxIn0=</vt:lpwstr>
  </property>
</Properties>
</file>