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line="560" w:lineRule="exact"/>
        <w:ind w:left="-359" w:leftChars="-171" w:right="-334" w:rightChars="-159"/>
        <w:jc w:val="center"/>
        <w:rPr>
          <w:rFonts w:ascii="方正小标宋_GBK" w:eastAsia="方正小标宋_GBK"/>
          <w:color w:val="FF0000"/>
          <w:w w:val="90"/>
          <w:kern w:val="84"/>
          <w:sz w:val="84"/>
          <w:szCs w:val="84"/>
        </w:rPr>
      </w:pPr>
      <w:r>
        <w:rPr>
          <w:rFonts w:hint="eastAsia" w:ascii="方正小标宋_GBK" w:eastAsia="方正小标宋_GBK"/>
          <w:color w:val="FF0000"/>
          <w:w w:val="90"/>
          <w:kern w:val="0"/>
          <w:sz w:val="84"/>
          <w:szCs w:val="84"/>
        </w:rPr>
        <w:t>青岛市住房和城乡建设局</w:t>
      </w:r>
    </w:p>
    <w:p>
      <w:pPr>
        <w:spacing w:line="500" w:lineRule="exact"/>
        <w:jc w:val="center"/>
        <w:rPr>
          <w:b/>
          <w:color w:val="FF0000"/>
          <w:sz w:val="44"/>
          <w:szCs w:val="44"/>
        </w:rPr>
      </w:pPr>
      <w:r>
        <w:rPr>
          <w:rFonts w:ascii="方正小标宋_GBK" w:hAnsi="Calibri" w:eastAsia="方正小标宋_GBK" w:cs="黑体"/>
          <w:b/>
          <w:color w:val="FF0000"/>
          <w:kern w:val="2"/>
          <w:sz w:val="44"/>
          <w:szCs w:val="44"/>
          <w:lang w:val="en-US" w:eastAsia="zh-CN" w:bidi="ar-SA"/>
        </w:rPr>
        <w:pict>
          <v:line id="Line 4" o:spid="_x0000_s1027" o:spt="20" style="position:absolute;left:0pt;margin-left:1.55pt;margin-top:7.8pt;height:0.05pt;width:441pt;z-index:251659264;mso-width-relative:page;mso-height-relative:page;" fillcolor="#FFFFFF" filled="f" o:preferrelative="t" stroked="t" coordsize="21600,21600">
            <v:path arrowok="t"/>
            <v:fill on="f" color2="#FFFFFF" focussize="0,0"/>
            <v:stroke weight="4.5pt" color="#FF0000" color2="#FFFFFF" linestyle="thickThin" joinstyle="round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widowControl/>
        <w:shd w:val="clear" w:color="auto" w:fill="FFFFFF"/>
        <w:spacing w:line="500" w:lineRule="exact"/>
        <w:jc w:val="center"/>
        <w:rPr>
          <w:rFonts w:ascii="方正小标宋_GBK" w:hAnsi="inherit" w:eastAsia="方正小标宋_GBK" w:cs="宋体"/>
          <w:color w:val="404040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方正小标宋_GBK" w:hAnsi="inherit" w:eastAsia="方正小标宋_GBK" w:cs="宋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inherit" w:eastAsia="方正小标宋_GBK" w:cs="宋体"/>
          <w:color w:val="000000"/>
          <w:kern w:val="0"/>
          <w:sz w:val="44"/>
          <w:szCs w:val="44"/>
          <w:shd w:val="clear" w:color="auto" w:fill="FFFFFF"/>
        </w:rPr>
        <w:t>青岛市住房和城乡建设局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_GBK" w:hAnsi="inherit" w:eastAsia="方正小标宋_GBK" w:cs="宋体"/>
          <w:b w:val="0"/>
          <w:bCs w:val="0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_GBK" w:hAnsi="inherit" w:eastAsia="方正小标宋_GBK" w:cs="宋体"/>
          <w:b w:val="0"/>
          <w:bCs w:val="0"/>
          <w:color w:val="000000"/>
          <w:kern w:val="0"/>
          <w:sz w:val="44"/>
          <w:szCs w:val="44"/>
          <w:shd w:val="clear" w:color="auto" w:fill="FFFFFF"/>
        </w:rPr>
        <w:t>关于征集202</w:t>
      </w:r>
      <w:r>
        <w:rPr>
          <w:rFonts w:hint="eastAsia" w:ascii="方正小标宋_GBK" w:hAnsi="inherit" w:eastAsia="方正小标宋_GBK" w:cs="宋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ascii="方正小标宋_GBK" w:hAnsi="inherit" w:eastAsia="方正小标宋_GBK" w:cs="宋体"/>
          <w:b w:val="0"/>
          <w:bCs w:val="0"/>
          <w:color w:val="000000"/>
          <w:kern w:val="0"/>
          <w:sz w:val="44"/>
          <w:szCs w:val="44"/>
          <w:shd w:val="clear" w:color="auto" w:fill="FFFFFF"/>
        </w:rPr>
        <w:t>年度青岛市智能建造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spacing w:val="8"/>
          <w:sz w:val="44"/>
          <w:szCs w:val="44"/>
          <w:shd w:val="clear" w:color="auto" w:fill="FFFFFF"/>
        </w:rPr>
      </w:pPr>
      <w:r>
        <w:rPr>
          <w:rFonts w:ascii="方正小标宋_GBK" w:hAnsi="inherit" w:eastAsia="方正小标宋_GBK" w:cs="宋体"/>
          <w:b w:val="0"/>
          <w:bCs w:val="0"/>
          <w:color w:val="000000"/>
          <w:kern w:val="0"/>
          <w:sz w:val="44"/>
          <w:szCs w:val="44"/>
          <w:shd w:val="clear" w:color="auto" w:fill="FFFFFF"/>
        </w:rPr>
        <w:t>项目的通知</w:t>
      </w:r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color="070000" w:fill="FFFFFF"/>
        </w:rPr>
      </w:pPr>
    </w:p>
    <w:p>
      <w:pPr>
        <w:widowControl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功能区）住房城乡建设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主管部门，各相关单位：</w:t>
      </w:r>
    </w:p>
    <w:p>
      <w:pPr>
        <w:widowControl w:val="0"/>
        <w:adjustRightInd/>
        <w:snapToGrid/>
        <w:spacing w:line="58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color w:val="000000"/>
          <w:spacing w:val="-4"/>
          <w:sz w:val="32"/>
          <w:szCs w:val="32"/>
          <w:lang w:val="en-US" w:eastAsia="zh-CN"/>
        </w:rPr>
        <w:t>为贯彻落实《青岛市人民政府</w:t>
      </w:r>
      <w:r>
        <w:rPr>
          <w:rFonts w:hint="eastAsia" w:ascii="仿宋_GB2312" w:hAnsi="Times New Roman" w:eastAsia="仿宋_GB2312" w:cs="仿宋_GB2312"/>
          <w:color w:val="000000"/>
          <w:spacing w:val="-4"/>
          <w:sz w:val="32"/>
          <w:szCs w:val="32"/>
        </w:rPr>
        <w:t>关于推进智能建造高质量发展的实施意见》</w:t>
      </w:r>
      <w:r>
        <w:rPr>
          <w:rFonts w:hint="eastAsia" w:ascii="仿宋_GB2312" w:hAnsi="Times New Roman" w:eastAsia="仿宋_GB2312" w:cs="仿宋_GB2312"/>
          <w:color w:val="000000"/>
          <w:spacing w:val="-4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仿宋_GB2312"/>
          <w:color w:val="000000"/>
          <w:spacing w:val="-4"/>
          <w:sz w:val="32"/>
          <w:szCs w:val="32"/>
          <w:lang w:val="en-US" w:eastAsia="zh-CN"/>
        </w:rPr>
        <w:t>青政字〔2023〕19号</w:t>
      </w:r>
      <w:r>
        <w:rPr>
          <w:rFonts w:hint="eastAsia" w:ascii="仿宋_GB2312" w:hAnsi="Times New Roman" w:eastAsia="仿宋_GB2312" w:cs="仿宋_GB2312"/>
          <w:color w:val="000000"/>
          <w:spacing w:val="-4"/>
          <w:sz w:val="32"/>
          <w:szCs w:val="32"/>
          <w:lang w:eastAsia="zh-CN"/>
        </w:rPr>
        <w:t>）要求</w:t>
      </w:r>
      <w:r>
        <w:rPr>
          <w:rFonts w:hint="eastAsia" w:ascii="仿宋_GB2312" w:hAnsi="Times New Roman" w:eastAsia="仿宋_GB2312" w:cs="仿宋_GB2312"/>
          <w:color w:val="000000"/>
          <w:spacing w:val="-4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color w:val="000000"/>
          <w:spacing w:val="-4"/>
          <w:sz w:val="32"/>
          <w:szCs w:val="32"/>
          <w:lang w:eastAsia="zh-CN"/>
        </w:rPr>
        <w:t>高标准开展智能建造试点，推进工程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、工业化、绿色化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推动智能建造与建筑工业化协同发展，现就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2024年度青岛市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智能建造项目征集有关事项通知如下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widowControl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一、申报要求</w:t>
      </w:r>
    </w:p>
    <w:p>
      <w:pPr>
        <w:widowControl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项目范围。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</w:t>
      </w:r>
      <w:r>
        <w:rPr>
          <w:rFonts w:hint="eastAsia" w:ascii="仿宋_GB2312" w:hAnsi="仿宋_GB2312" w:eastAsia="仿宋_GB2312" w:cs="仿宋_GB2312"/>
          <w:sz w:val="32"/>
          <w:szCs w:val="32"/>
        </w:rPr>
        <w:t>市行政区域内，202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（含）以后开工的新建项目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列入2023年度“智能建造”示范的项目除外）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项目类型。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房屋建筑工程、市政道桥工程、地铁轨道交通工程、地下空间开发工程，工业建筑等。</w:t>
      </w:r>
    </w:p>
    <w:p>
      <w:pPr>
        <w:widowControl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技术要求。</w:t>
      </w:r>
      <w:r>
        <w:rPr>
          <w:rFonts w:hint="eastAsia" w:ascii="仿宋_GB2312" w:hAnsi="仿宋_GB2312" w:eastAsia="仿宋_GB2312" w:cs="仿宋_GB2312"/>
          <w:bCs/>
          <w:color w:val="auto"/>
          <w:kern w:val="3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color w:val="auto"/>
          <w:kern w:val="32"/>
          <w:sz w:val="32"/>
          <w:szCs w:val="32"/>
          <w:lang w:eastAsia="zh-CN"/>
        </w:rPr>
        <w:t>工程</w:t>
      </w:r>
      <w:r>
        <w:rPr>
          <w:rFonts w:hint="eastAsia" w:ascii="仿宋_GB2312" w:hAnsi="仿宋_GB2312" w:eastAsia="仿宋_GB2312" w:cs="仿宋_GB2312"/>
          <w:bCs/>
          <w:color w:val="auto"/>
          <w:kern w:val="32"/>
          <w:sz w:val="32"/>
          <w:szCs w:val="32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设项目策划、设计、生产、施工、运维阶段，开展智能建造相关技术（BIM技术、智能技术与装备、建筑机器人等）应用和数字化、智能化协同管理，对照《青岛市智能建造试点项目评价指标（试行）》（详见附件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）开展试点示范，探索总结智能建造经验。</w:t>
      </w:r>
    </w:p>
    <w:p>
      <w:pPr>
        <w:widowControl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建设单位、总承包单位、设计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单位、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、监理和造价咨询单位等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，可单独申报也可联合申报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，鼓励由建设单位牵头申报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申报方式</w:t>
      </w:r>
    </w:p>
    <w:p>
      <w:pPr>
        <w:widowControl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系统集中申报。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2024年2月28 日前通过青岛市智能建造管理系统（网址：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http://120.221.95.26:8080/SgtQY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）填报项目信息。</w:t>
      </w:r>
    </w:p>
    <w:p>
      <w:pPr>
        <w:pStyle w:val="6"/>
        <w:widowControl w:val="0"/>
        <w:wordWrap w:val="0"/>
        <w:adjustRightInd/>
        <w:snapToGrid/>
        <w:spacing w:before="0" w:beforeAutospacing="0" w:after="0" w:afterAutospacing="0"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2.纸质材料报送。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由各区（市、功能区）住房城乡建设主管部门审核后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送至青岛市住房和城乡建设局建筑节能和科技处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地址：青岛市市南区澳门路121号甲912室。</w:t>
      </w:r>
    </w:p>
    <w:p>
      <w:pPr>
        <w:widowControl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三、其他事项</w:t>
      </w:r>
    </w:p>
    <w:p>
      <w:pPr>
        <w:widowControl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各区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功能区）住房城乡建设主管部门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要按照部、省、市关于推进智能建造和建筑工业化协同发展工作部署和本通知要求，统筹组织落实本辖区智能建造工作，认真做好项目筛选报送，并加强日常工作监督指导。</w:t>
      </w:r>
    </w:p>
    <w:p>
      <w:pPr>
        <w:pStyle w:val="6"/>
        <w:widowControl w:val="0"/>
        <w:numPr>
          <w:ilvl w:val="0"/>
          <w:numId w:val="0"/>
        </w:numPr>
        <w:wordWrap w:val="0"/>
        <w:adjustRightInd/>
        <w:snapToGrid/>
        <w:spacing w:before="0" w:beforeAutospacing="0" w:after="0" w:afterAutospacing="0" w:line="580" w:lineRule="exact"/>
        <w:ind w:right="0"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2.各申报单位要认真组织编制试点项目实施方案，明确目标任务、计划安排，积极开展科技攻关和技术创新，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总结提报工作经验做法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。对于项目实施过程中发现的问题及时报送市、区住建部门。</w:t>
      </w:r>
    </w:p>
    <w:p>
      <w:pPr>
        <w:pStyle w:val="6"/>
        <w:widowControl w:val="0"/>
        <w:numPr>
          <w:ilvl w:val="0"/>
          <w:numId w:val="0"/>
        </w:numPr>
        <w:wordWrap w:val="0"/>
        <w:adjustRightInd/>
        <w:snapToGrid/>
        <w:spacing w:before="0" w:beforeAutospacing="0" w:after="0" w:afterAutospacing="0" w:line="580" w:lineRule="exact"/>
        <w:ind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市住房城乡建设局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组织专家对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征集的智能建造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项目进行审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对符合条件的项目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，纳入我市智能建造项目库，根据项目进度做好跟踪指导，推广先进经验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widowControl w:val="0"/>
        <w:numPr>
          <w:ilvl w:val="0"/>
          <w:numId w:val="0"/>
        </w:numPr>
        <w:wordWrap w:val="0"/>
        <w:adjustRightInd/>
        <w:snapToGrid/>
        <w:spacing w:before="0" w:beforeAutospacing="0" w:after="0" w:afterAutospacing="0" w:line="580" w:lineRule="exact"/>
        <w:ind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附件：1.青岛市智能建造应用试点申报书</w:t>
      </w: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2.青岛市智能建造应用试点项目汇总表</w:t>
      </w: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青岛市智能建造试点项目评价指标（试行）</w:t>
      </w:r>
    </w:p>
    <w:p>
      <w:pPr>
        <w:widowControl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line="58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青岛市住房和城乡建设局                        </w:t>
      </w: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widowControl w:val="0"/>
        <w:numPr>
          <w:ilvl w:val="0"/>
          <w:numId w:val="0"/>
        </w:numPr>
        <w:wordWrap w:val="0"/>
        <w:adjustRightInd/>
        <w:snapToGrid/>
        <w:spacing w:before="0" w:beforeAutospacing="0" w:after="0" w:afterAutospacing="0" w:line="580" w:lineRule="exact"/>
        <w:ind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widowControl w:val="0"/>
        <w:numPr>
          <w:ilvl w:val="0"/>
          <w:numId w:val="0"/>
        </w:numPr>
        <w:wordWrap w:val="0"/>
        <w:adjustRightInd/>
        <w:snapToGrid/>
        <w:spacing w:before="0" w:beforeAutospacing="0" w:after="0" w:afterAutospacing="0" w:line="580" w:lineRule="exact"/>
        <w:ind w:right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（联系人：赵炳伟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，联系方式：0532-85785830</w:t>
      </w:r>
    </w:p>
    <w:p>
      <w:pPr>
        <w:pStyle w:val="6"/>
        <w:widowControl w:val="0"/>
        <w:numPr>
          <w:ilvl w:val="0"/>
          <w:numId w:val="0"/>
        </w:numPr>
        <w:wordWrap w:val="0"/>
        <w:adjustRightInd/>
        <w:snapToGrid/>
        <w:spacing w:before="0" w:beforeAutospacing="0" w:after="0" w:afterAutospacing="0" w:line="580" w:lineRule="exact"/>
        <w:ind w:right="0"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董建琦，联系方式：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8668993673）</w:t>
      </w: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44"/>
          <w:szCs w:val="44"/>
        </w:rPr>
      </w:pPr>
    </w:p>
    <w:p>
      <w:pPr>
        <w:spacing w:before="156" w:beforeLines="50" w:after="312" w:afterLines="100" w:line="58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青岛市智能建造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项目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申报书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（加盖公章）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1606" w:firstLineChars="5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申报日期：     年     月    日</w:t>
      </w:r>
    </w:p>
    <w:p/>
    <w:p/>
    <w:p/>
    <w:p/>
    <w:p/>
    <w:p/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青岛市住房和城乡建设局：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我单位申报的所有材料真实有效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要件齐备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知识产权清晰，申报材料、项目负责人经我单位内部公示无异议。现予报送。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申报单位负责人：        （签字）</w:t>
      </w:r>
    </w:p>
    <w:p>
      <w:pPr>
        <w:ind w:firstLine="4486" w:firstLineChars="140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486" w:firstLineChars="14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公章：</w:t>
      </w:r>
    </w:p>
    <w:p>
      <w:pPr>
        <w:ind w:firstLine="5446" w:firstLineChars="17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p/>
    <w:p/>
    <w:p/>
    <w:p/>
    <w:p/>
    <w:p/>
    <w:p/>
    <w:p/>
    <w:p/>
    <w:p/>
    <w:p>
      <w:pPr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tbl>
      <w:tblPr>
        <w:tblStyle w:val="8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583"/>
        <w:gridCol w:w="1923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73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地址</w:t>
            </w:r>
          </w:p>
        </w:tc>
        <w:tc>
          <w:tcPr>
            <w:tcW w:w="7320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</w:trPr>
        <w:tc>
          <w:tcPr>
            <w:tcW w:w="167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智能建造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主要应用</w:t>
            </w:r>
          </w:p>
        </w:tc>
        <w:tc>
          <w:tcPr>
            <w:tcW w:w="73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</w:trPr>
        <w:tc>
          <w:tcPr>
            <w:tcW w:w="167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项目工期</w:t>
            </w:r>
          </w:p>
        </w:tc>
        <w:tc>
          <w:tcPr>
            <w:tcW w:w="732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计划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开工时间：    年     月     日</w:t>
            </w:r>
          </w:p>
          <w:p>
            <w:pPr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计划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竣工时间：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系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人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9" w:hRule="exact"/>
        </w:trPr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介</w:t>
            </w:r>
          </w:p>
        </w:tc>
        <w:tc>
          <w:tcPr>
            <w:tcW w:w="7320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（500字以内）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项目综述</w:t>
      </w:r>
    </w:p>
    <w:tbl>
      <w:tblPr>
        <w:tblStyle w:val="8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66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7" w:hRule="atLeast"/>
        </w:trPr>
        <w:tc>
          <w:tcPr>
            <w:tcW w:w="8919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详情：（5000字以内）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项目概况、方案策划、相关技术应用、建设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目标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、拟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解决的主要问题和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预期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成效）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三、申报单位</w:t>
      </w:r>
    </w:p>
    <w:tbl>
      <w:tblPr>
        <w:tblStyle w:val="8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2"/>
        <w:gridCol w:w="2930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</w:t>
            </w: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联系人</w:t>
            </w: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四、项目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主要参加人员</w:t>
      </w:r>
    </w:p>
    <w:tbl>
      <w:tblPr>
        <w:tblStyle w:val="7"/>
        <w:tblW w:w="8940" w:type="dxa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33"/>
        <w:gridCol w:w="2389"/>
        <w:gridCol w:w="2640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60" w:type="dxa"/>
            <w:vAlign w:val="top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序号</w:t>
            </w:r>
          </w:p>
        </w:tc>
        <w:tc>
          <w:tcPr>
            <w:tcW w:w="1333" w:type="dxa"/>
            <w:vAlign w:val="top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姓名</w:t>
            </w:r>
          </w:p>
        </w:tc>
        <w:tc>
          <w:tcPr>
            <w:tcW w:w="2389" w:type="dxa"/>
            <w:vAlign w:val="top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lang w:eastAsia="zh-CN"/>
              </w:rPr>
              <w:t>单位</w:t>
            </w:r>
            <w:r>
              <w:rPr>
                <w:rFonts w:hint="eastAsia" w:ascii="仿宋_GB2312" w:hAnsi="宋体" w:eastAsia="仿宋_GB2312"/>
                <w:b/>
                <w:sz w:val="22"/>
              </w:rPr>
              <w:t>职务、职称</w:t>
            </w:r>
          </w:p>
        </w:tc>
        <w:tc>
          <w:tcPr>
            <w:tcW w:w="2640" w:type="dxa"/>
            <w:vAlign w:val="top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承担的主要工作</w:t>
            </w:r>
          </w:p>
        </w:tc>
        <w:tc>
          <w:tcPr>
            <w:tcW w:w="1818" w:type="dxa"/>
            <w:vAlign w:val="top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1</w:t>
            </w:r>
          </w:p>
        </w:tc>
        <w:tc>
          <w:tcPr>
            <w:tcW w:w="1333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640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</w:t>
            </w:r>
          </w:p>
        </w:tc>
        <w:tc>
          <w:tcPr>
            <w:tcW w:w="1333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640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3</w:t>
            </w:r>
          </w:p>
        </w:tc>
        <w:tc>
          <w:tcPr>
            <w:tcW w:w="1333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640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4</w:t>
            </w:r>
          </w:p>
        </w:tc>
        <w:tc>
          <w:tcPr>
            <w:tcW w:w="1333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640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5</w:t>
            </w:r>
          </w:p>
        </w:tc>
        <w:tc>
          <w:tcPr>
            <w:tcW w:w="1333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640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6</w:t>
            </w:r>
          </w:p>
        </w:tc>
        <w:tc>
          <w:tcPr>
            <w:tcW w:w="1333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640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7</w:t>
            </w:r>
          </w:p>
        </w:tc>
        <w:tc>
          <w:tcPr>
            <w:tcW w:w="1333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640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8</w:t>
            </w:r>
          </w:p>
        </w:tc>
        <w:tc>
          <w:tcPr>
            <w:tcW w:w="1333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640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9</w:t>
            </w:r>
          </w:p>
        </w:tc>
        <w:tc>
          <w:tcPr>
            <w:tcW w:w="1333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640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818" w:type="dxa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2"/>
              </w:rPr>
            </w:pPr>
          </w:p>
        </w:tc>
      </w:tr>
    </w:tbl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五、审查意见</w:t>
      </w:r>
    </w:p>
    <w:tbl>
      <w:tblPr>
        <w:tblStyle w:val="8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225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申报单位意见</w:t>
            </w:r>
          </w:p>
        </w:tc>
        <w:tc>
          <w:tcPr>
            <w:tcW w:w="6662" w:type="dxa"/>
            <w:vAlign w:val="top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盖章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25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区、市住建部门意见</w:t>
            </w:r>
          </w:p>
        </w:tc>
        <w:tc>
          <w:tcPr>
            <w:tcW w:w="6662" w:type="dxa"/>
            <w:vAlign w:val="top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盖章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  月  日</w:t>
            </w:r>
          </w:p>
        </w:tc>
      </w:tr>
    </w:tbl>
    <w:p>
      <w:pPr>
        <w:adjustRightInd w:val="0"/>
        <w:snapToGrid w:val="0"/>
        <w:spacing w:line="620" w:lineRule="exact"/>
        <w:jc w:val="left"/>
        <w:rPr>
          <w:rFonts w:ascii="黑体" w:hAnsi="黑体" w:eastAsia="黑体" w:cs="黑体"/>
          <w:bCs/>
          <w:sz w:val="32"/>
          <w:szCs w:val="32"/>
        </w:rPr>
        <w:sectPr>
          <w:footerReference r:id="rId3" w:type="default"/>
          <w:pgSz w:w="11906" w:h="16838"/>
          <w:pgMar w:top="209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3"/>
        <w:spacing w:before="12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青岛市智能建造项目评价指标（试行）</w:t>
      </w:r>
    </w:p>
    <w:tbl>
      <w:tblPr>
        <w:tblStyle w:val="7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825"/>
        <w:gridCol w:w="825"/>
        <w:gridCol w:w="992"/>
        <w:gridCol w:w="4018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</w:trPr>
        <w:tc>
          <w:tcPr>
            <w:tcW w:w="136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napToGrid w:val="0"/>
              <w:spacing w:line="320" w:lineRule="exact"/>
              <w:ind w:right="-34" w:rightChars="-16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ind w:right="-34" w:rightChars="-16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指标解释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62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项目策划（11分）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ind w:right="-27" w:rightChars="-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组织与管理（7分）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ind w:right="-27" w:rightChars="-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组织架构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ind w:right="-27" w:rightChars="-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项目参与方共同组成层级化架构组织，责权利界定清晰，分工层次明确有序。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ind w:right="-27" w:rightChars="-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项目经理负责智能建造管理、实施等职责；配备智能建造专职人员，负责执行、技术支持等职责。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spacing w:line="320" w:lineRule="exact"/>
              <w:ind w:right="-27" w:rightChars="-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项目制度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ind w:right="-27" w:rightChars="-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建立与智能建造需求匹配的项目管理制度和章程，包括制定岗位职责、生产流程、质量管理流程、奖惩制度、协调沟通等相关制度。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管理模式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ind w:right="-27" w:rightChars="-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采用工程总承包模式。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ind w:right="-27" w:rightChars="-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采用工程全过程咨询模式。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ind w:right="-27" w:rightChars="-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采用建筑师负责制模式。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方案制定（4分）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ind w:right="-27" w:rightChars="-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明确智能建造在项目中的总体要求、实施计划、组织管理和应用场景。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ind w:right="-27" w:rightChars="-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策划成果文件应包含但不限于《XXX项目智能建造标准》、《BIM技术应用手册》。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ind w:right="-27" w:rightChars="-1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BIM技术应用于设计、生产、施工和运维，实现数字化全过程交付。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数字设计（24分）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应用管理（6分）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软件应用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使用软件进行建模或可视化查询，及数据处理、分析和预测。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采用国产自主可控的BIM设计软件。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使用平台类软件进行数据采集、管理、存储和共享。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在设计、协同、分析、算量等范围采用体系化软件。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数据管理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使用《建筑信息模型分类和编码标准》（GB/T 51269）、《装配式建筑部品部件分类和编码标准》（T/CCES 14）进行分类和编码。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“BIM+”一体化设计（9分）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正向设计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设计阶段采用BIM正向设计。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辅助设计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采用设计可视化展示、建筑性能分析、VR/AR/MR等虚拟仿真技术、设计冲突检测、标准化部品部件库应用、移动端应用、人工智能、云计算等优化技术4项以上。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结合施工现场实际情况，对各专业深化设计初步成果进行集成、协调、修订与校核，形成综合平面图，综合管线图，保持各专业协调、图纸一致。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辅助审查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提交基于软件自动生成的审核报告，要求：对设计图纸进行智能辅助审查，包括：建筑审核、结构审核、机电审核；审核内容侧重设计质量审查，如碰撞问题、净高问题、规范问题等。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设计成果交付（9分）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表达手段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使用包括但不限于信息模型、电子图纸和文档、点云、多媒体、网页等手段中2项及以上。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成果完整性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交付成果符合信息需求文件和实施计划的要求。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成果文件管理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项目设计成果文件应全部电子化，格式规范、归类有序、命名统一、版本无冲突。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交付要求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设计指导施工，提供设计成果交底和过程资料。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成果提交市智能数字施工图审查系统。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设计应用成果与施工单位进行交接确认。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62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智能生产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过程管理（10分）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数字化应用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应用设计阶段数据，实现数据驱动生产。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基于BIM轻量化模型，对生产阶段关键环节进行可视化进度和质量检查，项目部品部件生产、物流等数据实现在线传输、存储、审核。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基于生产管理系统编制部品部件供应计划，且同步关联设计、施工计划，实现部品部件实际生产进度与项目现场同步。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使用《建筑信息模型分类和编码标准》（GB/T 51269）、《装配式建筑部品部件分类和编码标准》（T/CCES 14）的分类编码体系，基于条形码、二维码、RFID等标识技术，对部品部件进行编码，编码信息可流通、可共享、可附加。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同步更新BIM信息与RFID等标签信息，对部品部件形成唯一信息的识别标签，对部品部件生产的全生命周期进行可追溯管理。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质检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对部品部件进行检查，数据上传相关管理系统。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物流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采用物流管理系统，支持部品部件的仓储和运输管理，可查看实时物流状态。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采用智能堆场装备，自动码垛机或自动吊板码垛设备或构件专用自装卸运输车。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交付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项目部品部件生产合同、生产过程资料、合格证等全部采用数字化交付。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项目部品部件生产过程数据，交付BIM模型及数据。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部品部件应用（10分）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采用智能化、自动化设备生产部品部件。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装配式建筑占本项目建筑面积比例达到50%以上，且装配式建筑单体装配率不低于50%。基础分2分，单体装配率达到79%以上加1分，单体装配率达到91%以上，加2分，面积比例指标每提高5%得1分，满分5分。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采用装配式装修。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restart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智能施工（26分）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智慧工地（20分）</w:t>
            </w:r>
          </w:p>
        </w:tc>
        <w:tc>
          <w:tcPr>
            <w:tcW w:w="5835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评价指标及指标解释详见《青岛市智慧化工地评价标准》。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施工交付运维（6分）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数字管理平台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利用相关平台进行施工模型、施工资料过程管理，便于实现数字化移交。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BIM数字化竣工交付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基于BIM的数字化交付应包括设计模型、施工阶段模型以及竣工模型，且模型中含有使用说明信息，成果交付符合相关管理系统。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档案建立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工程资料与建设进度同步形成，按规定采用电子签章等技术编制电子表单文件，原生电子文件占比50%以上的得1分，占比70%以上的得1.5分，占比90%以上的得2分。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restart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建筑产业互联网（10分）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软件和网络安全（3分）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软件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使用自主可控开发的国产化软件，应用比例达到40%以上的得1分，比例达到60%以上的得2分。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安全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网络安全等级保护符合要求。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智能协同管理（6分）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设计协同管理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针对项目上任务、图档、审查、变更、交付进行协同管理。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生产协同管理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实现部品部件的深化设计、计划安排、生产过程、运输、交付等全过程管理。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施工协同管理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控制项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实现各参建方之间的数字化协同管理。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协同管理平台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应用以BIM技术、物联网、大数据、互联网等新一代信息技术集成的项目协同管理平台，平台能够串联设计、生产、施工等各阶段。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320" w:lineRule="exact"/>
              <w:ind w:left="-105" w:leftChars="-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数字化供应链（1分）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应用互联网平台进行采购管理、物流管理等。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restart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智能建造实施效益（9分）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经济效益（2分）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施工效率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通过智能化管理，优化施工工序，提高施工效率，缩短项目施工工期，提高建造效率。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综合成本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采用智能施工和数字化管理，减少人员投入、提高设备运行效率、降低材料损耗。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生态效益（1分）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一般项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采用智能施工和数字化管理，节省原材料、水等资源，进行建筑垃圾回收再利用，降低能耗与环境污染，减少碳排放量。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1362" w:type="dxa"/>
            <w:vMerge w:val="continue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社会效益（6分）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科技成果、获奖等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优选项</w:t>
            </w:r>
          </w:p>
        </w:tc>
        <w:tc>
          <w:tcPr>
            <w:tcW w:w="40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（1）获得国家发明专利授权每项加1分，实用新型专利授权每项加0.5分；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（2）获行业协会、省部级工法每项加1分；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（3）获国家级奖项：一等奖1.5分、二等奖1分、三等奖0.5分，省级奖项：一等奖1分、二等奖0.5分，市级奖项：一等奖0.5分；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（4）发表专著、核心期刊论文，每项加1分；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（5）举办全国观摩会、交流会，每次加2分；省级观摩会、交流会，每次加1.5分；市级观摩会、交流会，每次加1分；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（6）通过媒体宣传（含报纸、电视等），国家级每次加2分，省级每次加1.5分，市级每次加1分；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（7）入选市级及以上优秀做法的项目，国家级加1.5分，省级加1分，市级加0.5分。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注：同成果获得不同级别奖项按最高级别加分，不重复累加；每类成果至多得2分；该项至多得6分。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</w:tr>
    </w:tbl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nherit">
    <w:altName w:val="Cambri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2049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4"/>
                  <w:rPr>
                    <w:rFonts w:ascii="仿宋_GB2312" w:hAnsi="仿宋_GB2312" w:eastAsia="仿宋_GB2312" w:cs="仿宋_GB2312"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4"/>
                  </w:rPr>
                  <w:t>8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ExMWFhMGQxYTk0ZjA4OGI2ZTE5ODZiMjdmYzYwYzUifQ=="/>
  </w:docVars>
  <w:rsids>
    <w:rsidRoot w:val="42070D86"/>
    <w:rsid w:val="113350B8"/>
    <w:rsid w:val="14856A06"/>
    <w:rsid w:val="14CB129C"/>
    <w:rsid w:val="163D4862"/>
    <w:rsid w:val="27AF3006"/>
    <w:rsid w:val="2A0566B9"/>
    <w:rsid w:val="2AF308D6"/>
    <w:rsid w:val="30986B93"/>
    <w:rsid w:val="3E076FCF"/>
    <w:rsid w:val="3E78348C"/>
    <w:rsid w:val="42070D86"/>
    <w:rsid w:val="42144954"/>
    <w:rsid w:val="45172894"/>
    <w:rsid w:val="481151D2"/>
    <w:rsid w:val="4B2D7363"/>
    <w:rsid w:val="4E9573E5"/>
    <w:rsid w:val="4E9E788D"/>
    <w:rsid w:val="508A32BE"/>
    <w:rsid w:val="552349BA"/>
    <w:rsid w:val="5DC30D1A"/>
    <w:rsid w:val="6BEC459F"/>
    <w:rsid w:val="723B2207"/>
    <w:rsid w:val="7C2D09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2023-12-05T02:18:00Z</dcterms:created>
  <dc:creator>Administrator</dc:creator>
  <cp:lastModifiedBy>WPS_1654844865</cp:lastModifiedBy>
  <dcterms:modified xsi:type="dcterms:W3CDTF">2024-01-02T02:06:42Z</dcterms:modified>
  <dc:title>青岛市住房和城乡建设局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04210C0FA857400DAB88CE66B33D61AA_13</vt:lpwstr>
  </property>
</Properties>
</file>