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0" w:lineRule="exact"/>
        <w:jc w:val="center"/>
        <w:rPr>
          <w:rFonts w:ascii="方正小标宋_GBK" w:hAnsi="文星标宋" w:eastAsia="方正小标宋_GBK"/>
          <w:bCs/>
          <w:color w:val="FF0000"/>
          <w:spacing w:val="-28"/>
          <w:w w:val="38"/>
          <w:sz w:val="144"/>
          <w:szCs w:val="144"/>
        </w:rPr>
      </w:pPr>
    </w:p>
    <w:p>
      <w:pPr>
        <w:spacing w:line="1800" w:lineRule="exact"/>
        <w:jc w:val="center"/>
        <w:rPr>
          <w:rFonts w:ascii="仿宋_GB2312" w:hAnsi="宋体" w:eastAsia="仿宋_GB2312"/>
          <w:bCs/>
          <w:spacing w:val="-28"/>
          <w:w w:val="38"/>
        </w:rPr>
      </w:pPr>
      <w:r>
        <w:rPr>
          <w:rFonts w:hint="eastAsia" w:ascii="方正小标宋_GBK" w:hAnsi="文星标宋" w:eastAsia="方正小标宋_GBK"/>
          <w:bCs/>
          <w:color w:val="FF0000"/>
          <w:spacing w:val="-28"/>
          <w:w w:val="38"/>
          <w:sz w:val="144"/>
          <w:szCs w:val="144"/>
        </w:rPr>
        <w:t>中共青岛市黄岛区</w:t>
      </w:r>
      <w:r>
        <w:rPr>
          <w:rFonts w:ascii="方正小标宋_GBK" w:hAnsi="文星标宋" w:eastAsia="方正小标宋_GBK"/>
          <w:bCs/>
          <w:color w:val="FF0000"/>
          <w:spacing w:val="-28"/>
          <w:w w:val="38"/>
          <w:sz w:val="144"/>
          <w:szCs w:val="144"/>
        </w:rPr>
        <w:t>委教育工作委员会文件</w:t>
      </w:r>
    </w:p>
    <w:p>
      <w:pPr>
        <w:spacing w:line="500" w:lineRule="exact"/>
        <w:jc w:val="center"/>
        <w:rPr>
          <w:rFonts w:ascii="仿宋_GB2312" w:hAnsi="宋体" w:eastAsia="仿宋_GB2312"/>
          <w:bCs/>
        </w:rPr>
      </w:pPr>
    </w:p>
    <w:p>
      <w:pPr>
        <w:spacing w:line="560" w:lineRule="exact"/>
        <w:jc w:val="center"/>
        <w:rPr>
          <w:rFonts w:ascii="方正小标宋_GBK" w:hAnsi="文星标宋" w:eastAsia="方正小标宋_GBK"/>
          <w:bCs/>
          <w:sz w:val="30"/>
          <w:szCs w:val="30"/>
        </w:rPr>
      </w:pPr>
      <w:r>
        <w:rPr>
          <w:rFonts w:hint="eastAsia" w:ascii="仿宋_GB2312" w:eastAsia="仿宋_GB2312"/>
          <w:spacing w:val="16"/>
        </w:rPr>
        <w:t>青黄教工委〔</w:t>
      </w:r>
      <w:r>
        <w:rPr>
          <w:rFonts w:ascii="仿宋_GB2312" w:eastAsia="仿宋_GB2312"/>
          <w:spacing w:val="16"/>
        </w:rPr>
        <w:t>20</w:t>
      </w:r>
      <w:r>
        <w:rPr>
          <w:rFonts w:hint="eastAsia" w:ascii="仿宋_GB2312" w:eastAsia="仿宋_GB2312"/>
          <w:spacing w:val="16"/>
        </w:rPr>
        <w:t>21〕1号</w:t>
      </w:r>
    </w:p>
    <w:p>
      <w:pPr>
        <w:snapToGrid w:val="0"/>
        <w:jc w:val="center"/>
        <w:rPr>
          <w:rFonts w:ascii="方正小标宋_GBK" w:hAnsi="文星标宋" w:eastAsia="方正小标宋_GBK"/>
          <w:bCs/>
          <w:sz w:val="30"/>
          <w:szCs w:val="30"/>
        </w:rPr>
      </w:pPr>
      <w:r>
        <w:pict>
          <v:line id="_x0000_s1026" o:spid="_x0000_s1026" o:spt="20" style="position:absolute;left:0pt;margin-left:0pt;margin-top:9.8pt;height:0pt;width:441pt;mso-wrap-distance-bottom:0pt;mso-wrap-distance-top:0pt;z-index:251659264;mso-width-relative:page;mso-height-relative:page;" stroked="t" coordsize="21600,21600" o:gfxdata="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xsFn1AAAAAYBAAAPAAAAAAAAAAEAIAAA&#10;ACIAAABkcnMvZG93bnJldi54bWxQSwECFAAUAAAACACHTuJA0ub8d9cBAACZAwAADgAAAAAAAAAB&#10;ACAAAAAjAQAAZHJzL2Uyb0RvYy54bWxQSwUGAAAAAAYABgBZAQAAbAUAAAAA&#10;">
            <v:path arrowok="t"/>
            <v:fill focussize="0,0"/>
            <v:stroke weight="1.75pt" color="#FF0000"/>
            <v:imagedata o:title=""/>
            <o:lock v:ext="edit"/>
            <w10:wrap type="topAndBottom"/>
          </v:line>
        </w:pict>
      </w:r>
    </w:p>
    <w:p>
      <w:pPr>
        <w:snapToGrid w:val="0"/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文星标宋" w:eastAsia="方正小标宋简体"/>
          <w:bCs/>
          <w:sz w:val="44"/>
          <w:szCs w:val="44"/>
        </w:rPr>
        <w:t>中共青岛市黄岛区委教育工作委员会</w:t>
      </w:r>
    </w:p>
    <w:p>
      <w:pPr>
        <w:snapToGrid w:val="0"/>
        <w:spacing w:line="560" w:lineRule="exact"/>
        <w:jc w:val="center"/>
        <w:rPr>
          <w:rStyle w:val="17"/>
          <w:rFonts w:ascii="方正小标宋简体" w:eastAsia="方正小标宋简体"/>
          <w:spacing w:val="62"/>
        </w:rPr>
      </w:pPr>
      <w:r>
        <w:rPr>
          <w:rStyle w:val="17"/>
          <w:rFonts w:hint="eastAsia" w:ascii="方正小标宋简体" w:eastAsia="方正小标宋简体"/>
          <w:spacing w:val="62"/>
        </w:rPr>
        <w:t>青岛西海岸新区教育和体育局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Style w:val="17"/>
          <w:rFonts w:hint="eastAsia" w:ascii="方正小标宋简体" w:eastAsia="方正小标宋简体"/>
        </w:rPr>
        <w:t>关于印发《2021年青岛西海岸新区教育体育工作要点》的通知</w:t>
      </w:r>
    </w:p>
    <w:p>
      <w:pPr>
        <w:snapToGrid w:val="0"/>
        <w:spacing w:line="560" w:lineRule="exact"/>
        <w:rPr>
          <w:rFonts w:ascii="仿宋_GB2312" w:eastAsia="仿宋_GB2312"/>
          <w:color w:val="000000"/>
        </w:rPr>
      </w:pPr>
    </w:p>
    <w:p>
      <w:pPr>
        <w:adjustRightInd/>
        <w:spacing w:line="540" w:lineRule="exact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区体育发展中心，各学区教育服务中心，各学校、幼儿园，局属各单位，机关各科室：</w:t>
      </w:r>
    </w:p>
    <w:p>
      <w:pPr>
        <w:adjustRightInd/>
        <w:spacing w:line="540" w:lineRule="exact"/>
        <w:ind w:firstLine="672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现将《2021年青岛西海岸新区教育体育工作要点》印发给你们，请结合实际，认真贯彻落实。</w:t>
      </w:r>
    </w:p>
    <w:p>
      <w:pPr>
        <w:pStyle w:val="2"/>
      </w:pPr>
    </w:p>
    <w:p>
      <w:pPr>
        <w:snapToGrid w:val="0"/>
        <w:spacing w:line="540" w:lineRule="exact"/>
        <w:ind w:firstLine="420" w:firstLineChars="150"/>
        <w:rPr>
          <w:rFonts w:ascii="仿宋_GB2312" w:hAnsi="仿宋_GB2312" w:eastAsia="仿宋_GB2312" w:cs="仿宋_GB2312"/>
          <w:bCs/>
          <w:spacing w:val="-20"/>
        </w:rPr>
      </w:pPr>
      <w:r>
        <w:rPr>
          <w:rFonts w:hint="eastAsia" w:ascii="仿宋_GB2312" w:hAnsi="仿宋_GB2312" w:eastAsia="仿宋_GB2312" w:cs="仿宋_GB2312"/>
          <w:bCs/>
          <w:spacing w:val="-20"/>
        </w:rPr>
        <w:t>中共青岛市黄岛区教育工作委员会  青岛西海岸新区教育和体育局</w:t>
      </w:r>
    </w:p>
    <w:p>
      <w:pPr>
        <w:spacing w:line="540" w:lineRule="exact"/>
        <w:jc w:val="center"/>
        <w:rPr>
          <w:rFonts w:ascii="方正小标宋简体" w:hAnsi="仿宋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2021年2月20日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2021年青岛西海岸新区教育体育工作要点</w:t>
      </w:r>
    </w:p>
    <w:p>
      <w:pPr>
        <w:pStyle w:val="4"/>
        <w:spacing w:line="560" w:lineRule="exact"/>
      </w:pPr>
    </w:p>
    <w:p>
      <w:pPr>
        <w:pStyle w:val="8"/>
        <w:widowControl/>
        <w:adjustRightIn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21"/>
          <w:sz w:val="32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</w:rPr>
        <w:t>2021年是中国共产党成立100周年，是“十四五”规划开局之年。教育体育工作总体思路是：以习近平新时代中国特色社会主义思想为指导，深入贯彻习近平总书记关于教育的重要论述，立足新发展阶段，贯彻新发展理念，构建新发展格局，以高质量发展为主题，按照工委（区委）“攻坚突破年”要求，聚焦“三强化”“三突破”“两提升”，加快构建教育体育高质量发展体系，推动教育体育工作在新起点上向更高目标迈进，为“十四五”开好局、起好步，以优异成绩向建党100周年献礼。</w:t>
      </w:r>
    </w:p>
    <w:p>
      <w:pPr>
        <w:spacing w:line="560" w:lineRule="exact"/>
        <w:ind w:firstLine="672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一、突出“三个强化”，构建高质量发展新格局</w:t>
      </w:r>
    </w:p>
    <w:p>
      <w:pPr>
        <w:spacing w:line="560" w:lineRule="exact"/>
        <w:ind w:firstLine="672" w:firstLineChars="200"/>
        <w:rPr>
          <w:rFonts w:ascii="楷体_GB2312" w:hAnsi="楷体_GB2312" w:cs="楷体_GB2312"/>
        </w:rPr>
      </w:pPr>
      <w:r>
        <w:rPr>
          <w:rFonts w:hint="eastAsia" w:ascii="楷体_GB2312" w:hAnsi="楷体_GB2312" w:cs="楷体_GB2312"/>
        </w:rPr>
        <w:t>（一）强化党建统领</w:t>
      </w:r>
    </w:p>
    <w:p>
      <w:pPr>
        <w:pStyle w:val="8"/>
        <w:widowControl/>
        <w:adjustRightInd/>
        <w:spacing w:before="0" w:beforeAutospacing="0" w:after="0" w:afterAutospacing="0" w:line="560" w:lineRule="exact"/>
        <w:ind w:firstLine="675" w:firstLineChars="200"/>
        <w:jc w:val="both"/>
        <w:textAlignment w:val="auto"/>
        <w:rPr>
          <w:rFonts w:ascii="仿宋_GB2312" w:hAnsi="仿宋_GB2312" w:eastAsia="仿宋_GB2312" w:cs="仿宋_GB2312"/>
          <w:spacing w:val="0"/>
          <w:kern w:val="2"/>
          <w:sz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1"/>
          <w:sz w:val="32"/>
        </w:rPr>
        <w:t>1.加强党的领导。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</w:rPr>
        <w:t>加强和改进党对教育工作的全面领导，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</w:rPr>
        <w:t>推进习近平新时代中国特色社会主义思想学习常态化、制度化，全面抓好领导班子理论学习中心组学习。组织开展庆祝中国共产党建党100周年系列活动，深入开展“党史、新中国史、改革开放史、社会主义发展史”教育。落实意识形态工作责任制，协助驻区高校做好思政和安全稳定工作，努力办好中小学思政课。推进新一轮教育体育综合改革，制定出台《加快推进教育高质量发展的意见》《“十四五”教育体育事业发展规划》，研究制定中小学、幼儿园五年发展规划，建立发展规划落实机制、高质量发展推进机制。用好教育融媒体中心，讲好教育体育好故事。</w:t>
      </w:r>
    </w:p>
    <w:p>
      <w:pPr>
        <w:adjustRightInd/>
        <w:spacing w:line="560" w:lineRule="exact"/>
        <w:ind w:firstLine="675" w:firstLineChars="200"/>
        <w:textAlignment w:val="auto"/>
        <w:rPr>
          <w:rFonts w:ascii="仿宋_GB2312" w:hAnsi="仿宋_GB2312" w:eastAsia="仿宋_GB2312" w:cs="仿宋_GB2312"/>
          <w:color w:val="00000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1"/>
        </w:rPr>
        <w:t>2.提升党建质量。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深入推进基层党组织标准化建设，完善基层党组织书记抓基层党建工作述职评议制度，细化党员积分管理办法。深入推进“千帆计划”，深化“一校一品”党建品牌创建工程，选树一批党建品牌。建立“五型”大党课工作机制，打造一批示范性精品党课。制定民办学校党建任务清单，深化民办学校党建“双覆盖、全引领”工程。强化党建带群团建设，做好工会、妇委会、共青团、少先队、教育文联工作。全面提高离退休干部服务质量，做好关心下一代工作。</w:t>
      </w:r>
    </w:p>
    <w:p>
      <w:pPr>
        <w:pStyle w:val="4"/>
        <w:adjustRightInd/>
        <w:spacing w:line="560" w:lineRule="exact"/>
        <w:ind w:firstLine="675" w:firstLineChars="200"/>
        <w:textAlignment w:val="auto"/>
        <w:rPr>
          <w:rFonts w:ascii="仿宋_GB2312" w:hAnsi="仿宋_GB2312" w:eastAsia="仿宋_GB2312" w:cs="仿宋_GB2312"/>
          <w:color w:val="00000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1"/>
        </w:rPr>
        <w:t>3.推进从严治党。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严格落实全面从严治党责任清单，压实压紧管党治党责任链条。强化党规党纪学习，开展“清廉文化进校园、进机关”活动，推动廉政警示教育常态化。加强教育经费支付审核和审计监督，加大绩效评价力度，提高教育经费使用效益。深化运用监督执纪“四种形态”，开展新一轮基层巡访，健全问题整改“回头看”工作机制。</w:t>
      </w:r>
    </w:p>
    <w:p>
      <w:pPr>
        <w:pStyle w:val="8"/>
        <w:widowControl/>
        <w:adjustRightInd/>
        <w:spacing w:before="0" w:beforeAutospacing="0" w:after="0" w:afterAutospacing="0" w:line="560" w:lineRule="exact"/>
        <w:ind w:firstLine="675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21"/>
          <w:sz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1"/>
          <w:sz w:val="32"/>
        </w:rPr>
        <w:t>4.打造高效机关。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</w:rPr>
        <w:t>优化机关科室职能，深化机关流程再造，推进政务服务“一网通办”。加强机关队伍建设，强化科长能力建设，推动重点工作攻坚突破。加强重点工作督查督办，建立“工作项目化、项目目标化、目标节点化、节点责任化”工作推进机制。深入开展“每月一讲”“三述”活动，举办机关业务比赛，提升机关办文、办会、办事和调研决策水平。强化首问负责制，全面推进政务公开制度化、规范化、常态化。规范机关党支部建设，加强机关文化建设，打造机关服务品牌。</w:t>
      </w:r>
    </w:p>
    <w:p>
      <w:pPr>
        <w:pStyle w:val="4"/>
        <w:spacing w:line="560" w:lineRule="exact"/>
        <w:ind w:firstLine="704"/>
        <w:rPr>
          <w:rFonts w:ascii="楷体_GB2312" w:hAnsi="楷体_GB2312" w:cs="楷体_GB2312"/>
        </w:rPr>
      </w:pPr>
      <w:r>
        <w:rPr>
          <w:rFonts w:hint="eastAsia" w:ascii="楷体_GB2312" w:hAnsi="楷体_GB2312" w:cs="楷体_GB2312"/>
        </w:rPr>
        <w:t>（二）强化立德树人</w:t>
      </w:r>
    </w:p>
    <w:p>
      <w:pPr>
        <w:adjustRightInd/>
        <w:spacing w:line="560" w:lineRule="exact"/>
        <w:ind w:firstLine="675" w:firstLineChars="200"/>
        <w:textAlignment w:val="auto"/>
        <w:outlineLvl w:val="2"/>
        <w:rPr>
          <w:rFonts w:ascii="仿宋_GB2312" w:hAnsi="仿宋_GB2312" w:eastAsia="仿宋_GB2312" w:cs="仿宋_GB2312"/>
          <w:color w:val="00000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1"/>
        </w:rPr>
        <w:t>5.全面提升德育质量。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健全“三全育人”工作体系，推进中小学、幼儿园德育课程一体化建设，遴选推广优秀德育校本课程。加强名班主任工作室和德育联盟建设。全面落实《中小学德育工作指南》，深入开展“学党史、知党情、跟党走”主题教育活动。加强校园文化建设，尊重学校传统和学校实际，提炼学校办学理念，构建积极向上、奋发有为、团结和谐、彰显特色的学校文化。推进阳光校园、文明校园创建，建设校园新时代文明实践站，推动优秀传统文化进校园。制定研学旅行管理办法，建设一批研学旅行特色学校。大力推进家庭教育，完善“万名教师温情家访”制度，健全学校家庭社会协同育人机制，不断增强学生文明素养、社会责任意识和实践创造本领。</w:t>
      </w:r>
    </w:p>
    <w:p>
      <w:pPr>
        <w:pStyle w:val="4"/>
        <w:spacing w:line="560" w:lineRule="exact"/>
        <w:ind w:firstLine="703"/>
        <w:rPr>
          <w:rFonts w:ascii="仿宋_GB2312" w:hAnsi="仿宋_GB2312" w:eastAsia="仿宋_GB2312" w:cs="仿宋_GB2312"/>
          <w:color w:val="00000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1"/>
        </w:rPr>
        <w:t>6.纵深推进艺体改革。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制定《新时代中小学体育美育提升三年行动计划（2021-2023）》。全方位深化体教融合，实现“一体化设计、一体化推进”。健全完善学校体育“健康知识+基本运动技能+专项运动技能”教学模式，探索建立“校内竞赛—校际联赛—选拔性竞赛”为一体的小学、初中、高中竞赛体系，加强体育运动学校管理。构建美育学科课堂教学、实践活动、校园文化和艺术展演“四位一体”的育人机制。充分发挥教育文联及所属协会作用，支持学校建设高水平特色艺术团队。加大学生体质健康、艺术素养监测力度。高标准做好第十四届全国学生运动会西海岸赛区服务保障工作。高水平组织全区中小学生阳光体育联赛、田径运动会、艺术展演、音乐会等活动。依托体育美育联盟，推动体育、美育特色学校建设。</w:t>
      </w:r>
    </w:p>
    <w:p>
      <w:pPr>
        <w:spacing w:line="560" w:lineRule="exact"/>
        <w:ind w:firstLine="675" w:firstLineChars="200"/>
        <w:rPr>
          <w:rFonts w:ascii="仿宋_GB2312" w:hAnsi="仿宋_GB2312" w:eastAsia="仿宋_GB2312" w:cs="仿宋_GB2312"/>
          <w:color w:val="00000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1"/>
        </w:rPr>
        <w:t>7.拓宽学生成长路径。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高效落实、精进实施《促进中小学生全面发展“十个一”项目行动计划》。打造序列化海洋教育精品课程，加强海洋教育特色校建设。打造“基础型+ 拓展型+实践型”科技特色课程，办好“快乐科技秀”创新大赛，提升科技教育水平。创新劳动教育常态化实施路径，建立学生家庭每日劳动清单制度，开展家务劳动、校园劳动和社区志愿服务等劳动实践活动。高度重视学生心理健康教育，将心理健康教育贯穿于教育教学全过程，推进中小学心理辅导室规范化建设，建立心理健康问题学生筛查、识别、干预和跟踪机制。研究制定学校卫生与健康教育工作方案，扎实做好青少年近视防控工作。加强青少年法治教育，全面落实中小学兼职法治教育副校长制度，创新宪法和法治实践教育形式。加强中小学生存教育，做好国防教育和中学生军训工作。加强新时代语言文字工作。</w:t>
      </w:r>
    </w:p>
    <w:p>
      <w:pPr>
        <w:pStyle w:val="4"/>
        <w:spacing w:line="560" w:lineRule="exact"/>
        <w:ind w:firstLine="703"/>
        <w:rPr>
          <w:rFonts w:ascii="楷体_GB2312" w:hAnsi="楷体_GB2312" w:cs="楷体_GB2312"/>
        </w:rPr>
      </w:pPr>
      <w:r>
        <w:rPr>
          <w:rFonts w:hint="eastAsia" w:ascii="楷体_GB2312" w:hAnsi="楷体_GB2312" w:cs="楷体_GB2312"/>
        </w:rPr>
        <w:t>（三）强化队伍建设</w:t>
      </w:r>
    </w:p>
    <w:p>
      <w:pPr>
        <w:pStyle w:val="8"/>
        <w:widowControl/>
        <w:adjustRightInd/>
        <w:spacing w:before="0" w:beforeAutospacing="0" w:after="0" w:afterAutospacing="0" w:line="560" w:lineRule="exact"/>
        <w:ind w:firstLine="675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21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8.加强师德师风建设。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</w:rPr>
        <w:t>出台《关于加强新时代师德师风建设的意见》，坚持把师德师风作为教师评价第一标准，深入开展师德师风专项治理行动，拓宽师德师风监督举报渠道，强化法治、纪律、警示教育，着力解决在职教师有偿家教等师德失范问题。完善师德考核评价体系，建立首席教师制度，深化教师表扬和荣休制度，发掘师德典型、讲好师德故事。</w:t>
      </w:r>
    </w:p>
    <w:p>
      <w:pPr>
        <w:pStyle w:val="8"/>
        <w:widowControl/>
        <w:adjustRightInd/>
        <w:spacing w:before="0" w:beforeAutospacing="0" w:after="0" w:afterAutospacing="0" w:line="560" w:lineRule="exact"/>
        <w:ind w:firstLine="675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21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9.优化教师队伍结构。</w:t>
      </w:r>
      <w:r>
        <w:rPr>
          <w:rFonts w:hint="eastAsia" w:ascii="仿宋_GB2312" w:hAnsi="仿宋_GB2312" w:eastAsia="仿宋_GB2312" w:cs="仿宋_GB2312"/>
          <w:sz w:val="32"/>
        </w:rPr>
        <w:t>实施西海岸“未来教师”建设计划，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</w:rPr>
        <w:t>研究制定名师引进、认定、考评、服务等相关制度，面向全国引进名师、名校长等教育人才300名。完善“1+N”多元化教师招聘机制，提高教师入职学历和专业标准。完善学科带头人、拔尖人才、特级教师等人才管理办法，启动新一期区级名师培养工程人选、名师工作室评选工作。有序推进城乡学校、教育集团师资合理流动，提高师资均衡配置水平。</w:t>
      </w:r>
    </w:p>
    <w:p>
      <w:pPr>
        <w:adjustRightInd/>
        <w:spacing w:line="560" w:lineRule="exact"/>
        <w:ind w:firstLine="675" w:firstLineChars="200"/>
        <w:textAlignment w:val="auto"/>
        <w:rPr>
          <w:rFonts w:ascii="仿宋_GB2312" w:hAnsi="仿宋_GB2312" w:eastAsia="仿宋_GB2312" w:cs="仿宋_GB2312"/>
          <w:color w:val="00000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1"/>
        </w:rPr>
        <w:t>10.提升教师专业能力。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健全“因需选学，按需施训”精准培训机制，完善教师培训考核、评价、反馈体系。遴选优秀教育干部、骨干教师到全国知名中小学和名师名校长工作室跟岗培训。深入开展教师分层分类全员培训，制定《新教师三年规范化培训方案》《“名师+朝阳”工程培训方案》。优化整合培训资源，加强教育基地建设。</w:t>
      </w:r>
    </w:p>
    <w:p>
      <w:pPr>
        <w:adjustRightInd/>
        <w:spacing w:line="560" w:lineRule="exact"/>
        <w:ind w:firstLine="675" w:firstLineChars="200"/>
        <w:rPr>
          <w:rFonts w:ascii="仿宋_GB2312" w:hAnsi="仿宋_GB2312" w:eastAsia="仿宋_GB2312" w:cs="仿宋_GB2312"/>
          <w:color w:val="000000"/>
          <w:spacing w:val="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11.加强干部队伍建设。</w:t>
      </w:r>
      <w:r>
        <w:rPr>
          <w:rFonts w:hint="eastAsia" w:ascii="仿宋_GB2312" w:hAnsi="仿宋_GB2312" w:eastAsia="仿宋_GB2312" w:cs="仿宋_GB2312"/>
          <w:color w:val="000000"/>
          <w:spacing w:val="0"/>
        </w:rPr>
        <w:t>加强教育干部系统培养，健全学校干部选培任制度体系。完善优秀年轻干部人才库，拓宽教育干部培训培养渠道。加强名校（园）长队伍建设，完善名校（园）长管理制度，组织新一轮“名校（园）长工作室”“名校（园）长培养”建设工程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</w:rPr>
        <w:t>全面落实校长任课制度。</w:t>
      </w:r>
    </w:p>
    <w:p>
      <w:pPr>
        <w:spacing w:line="560" w:lineRule="exact"/>
        <w:ind w:firstLine="672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二、实现“三个突破”，塑造高质量发展新优势</w:t>
      </w:r>
    </w:p>
    <w:p>
      <w:pPr>
        <w:pStyle w:val="4"/>
        <w:adjustRightInd/>
        <w:spacing w:line="560" w:lineRule="exact"/>
        <w:ind w:firstLine="640"/>
        <w:textAlignment w:val="auto"/>
        <w:rPr>
          <w:rFonts w:ascii="楷体_GB2312" w:hAnsi="楷体_GB2312" w:cs="楷体_GB2312"/>
        </w:rPr>
      </w:pPr>
      <w:r>
        <w:rPr>
          <w:rFonts w:hint="eastAsia" w:ascii="楷体_GB2312" w:hAnsi="楷体_GB2312" w:cs="楷体_GB2312"/>
        </w:rPr>
        <w:t>（一）实现教学质量新突破</w:t>
      </w:r>
    </w:p>
    <w:p>
      <w:pPr>
        <w:spacing w:line="560" w:lineRule="exact"/>
        <w:ind w:firstLine="675" w:firstLineChars="200"/>
        <w:rPr>
          <w:rFonts w:ascii="仿宋_GB2312" w:hAnsi="仿宋_GB2312" w:eastAsia="仿宋_GB2312" w:cs="仿宋_GB2312"/>
          <w:color w:val="00000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1"/>
        </w:rPr>
        <w:t>12.深化课程教学改革。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梳理各学段学科教学弱势项目，组建区级、校级学科攻坚团队。强化课堂主阵地作用，注重互动式、启发式、探究式、体验式教学，开展研究型、项目化、合作式学习。坚持因材施教，关注学业成绩后30%学生的学业发展，建立学习困难学生帮扶制度，打造学生课堂学习共同体，提升教育教学整体质量。推进小初高一体化教学研究，构建纵向衔接、学段贯通的课堂教学机制。探索实施学生分层分类分流教育。举办第三届中小学“教学节”，培育、推广优秀教学模式、教学案例，推出一批先进教学成果。</w:t>
      </w:r>
    </w:p>
    <w:p>
      <w:pPr>
        <w:pStyle w:val="4"/>
        <w:adjustRightInd/>
        <w:spacing w:line="560" w:lineRule="exact"/>
        <w:ind w:firstLine="675" w:firstLineChars="200"/>
        <w:textAlignment w:val="auto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b/>
          <w:bCs/>
        </w:rPr>
        <w:t>13.聚力创新人才培养。</w:t>
      </w:r>
      <w:r>
        <w:rPr>
          <w:rFonts w:hint="eastAsia" w:ascii="仿宋_GB2312" w:hAnsi="仿宋_GB2312" w:eastAsia="仿宋_GB2312" w:cs="仿宋_GB2312"/>
          <w:color w:val="000000"/>
        </w:rPr>
        <w:t>制定创新人才培养方案，设立“数学奖”“文理奖”，组建创新人才培养导师团队，建立创新人才培养梯队，加快基础学科拔尖人才培养。着力推进普通高中“创新人才培优”工程，扩大普通高中自主招生规模，试点成立自主招生“实验部”。对标高校强基计划，优化整合国家课程，开展强基拓展课程，实现高考创新拔尖人才、“双一流”高校录取人数大幅提升。</w:t>
      </w:r>
    </w:p>
    <w:p>
      <w:pPr>
        <w:adjustRightInd/>
        <w:spacing w:line="560" w:lineRule="exact"/>
        <w:ind w:firstLine="675" w:firstLineChars="200"/>
        <w:textAlignment w:val="auto"/>
        <w:rPr>
          <w:rFonts w:ascii="仿宋_GB2312" w:hAnsi="仿宋_GB2312" w:eastAsia="仿宋_GB2312" w:cs="仿宋_GB2312"/>
          <w:color w:val="00000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1"/>
        </w:rPr>
        <w:t>14.加强教研科研管理。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研究制定教育教学和教研工作行动计划，推进教学组织、教学方式、教学研究和学习方式改革。研究出台《教育评价改革实施方案》，探索制定教育评价负面清单。出台《教研员驻点教研管理办法》，加大基层学校评议教研员力度，强化区域集体备课。探索推进作业、睡眠、手机、读物、体质五项管理改革。优化校本教研，建立专职教研员、学科中心组、学校名师工作室联动教研制度，加强中考、普通高考、职教高考政策解读，形成课程目标引领下的备、教、学、评一体化教学格局。</w:t>
      </w:r>
    </w:p>
    <w:p>
      <w:pPr>
        <w:pStyle w:val="4"/>
        <w:spacing w:line="560" w:lineRule="exact"/>
        <w:ind w:firstLine="704"/>
        <w:rPr>
          <w:rFonts w:ascii="楷体_GB2312" w:hAnsi="楷体_GB2312" w:cs="楷体_GB2312"/>
        </w:rPr>
      </w:pPr>
      <w:r>
        <w:rPr>
          <w:rFonts w:hint="eastAsia" w:ascii="楷体_GB2312" w:hAnsi="楷体_GB2312" w:cs="楷体_GB2312"/>
        </w:rPr>
        <w:t>（二）实现扩优提质新突破</w:t>
      </w:r>
    </w:p>
    <w:p>
      <w:pPr>
        <w:pStyle w:val="4"/>
        <w:spacing w:line="560" w:lineRule="exact"/>
        <w:ind w:firstLine="703"/>
        <w:rPr>
          <w:rFonts w:ascii="仿宋_GB2312" w:hAnsi="仿宋_GB2312" w:eastAsia="仿宋_GB2312" w:cs="仿宋_GB2312"/>
          <w:color w:val="00000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1"/>
        </w:rPr>
        <w:t>15.加快学前教育优质普惠发展。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出台《青岛西海岸新区第四期学前教育行动计划》。建设瞭望山路幼儿园、玉泉路幼儿园等12所公办幼儿园，启用东江路幼儿园等16所公办幼儿园，大力推进热点区域小微园建设，有效扩大公办资源。制定普惠性民办园质量提升意见，做好普惠性民办园分类认定工作。积极培育优质幼儿园，扩大省、市示范幼儿园数量，优质园占比不低于50%。全面推进省游戏实验区建设，优化以游戏为基本活动的幼儿园课程，推动幼小协同、双向衔接。</w:t>
      </w:r>
    </w:p>
    <w:p>
      <w:pPr>
        <w:pStyle w:val="4"/>
        <w:spacing w:line="560" w:lineRule="exact"/>
        <w:ind w:firstLine="703"/>
        <w:rPr>
          <w:rFonts w:ascii="仿宋_GB2312" w:hAnsi="仿宋_GB2312" w:eastAsia="仿宋_GB2312" w:cs="仿宋_GB2312"/>
          <w:color w:val="00000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1"/>
        </w:rPr>
        <w:t>16.促进义务教育优质均衡发展。</w:t>
      </w:r>
      <w:r>
        <w:rPr>
          <w:rFonts w:hint="eastAsia" w:ascii="仿宋_GB2312" w:hAnsi="仿宋_GB2312" w:eastAsia="仿宋_GB2312" w:cs="仿宋_GB2312"/>
          <w:color w:val="000000"/>
        </w:rPr>
        <w:t>深入推进小学“强基”工程、初中“提升”工程。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新建改扩建奋进路中学、弘德学校等义务教育学校11所。启用峨眉山路中学、泊子小学等7所义务教育学校。全面改善义务教育薄弱学校和小规模学校办学条件，推动更多优质教育资源在乡村学校均衡配置，打造“乡村温馨校园”。研究制定第三期特殊教育提升计划，健全残疾儿童随班就读、送教上门、医教康教结合保障机制。</w:t>
      </w:r>
    </w:p>
    <w:p>
      <w:pPr>
        <w:pStyle w:val="4"/>
        <w:spacing w:line="560" w:lineRule="exact"/>
        <w:ind w:firstLine="703"/>
        <w:rPr>
          <w:rFonts w:ascii="仿宋_GB2312" w:hAnsi="仿宋_GB2312" w:eastAsia="仿宋_GB2312" w:cs="仿宋_GB2312"/>
          <w:color w:val="00000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1"/>
        </w:rPr>
        <w:t>17.推动普通高中优质多元发展。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构建普通高中良性竞争格局，充分激发普通高中办学活力。完成城南高级中学主体建设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1"/>
        </w:rPr>
        <w:t>。推进青岛杜威实验学校、青岛二中福瀛分校等民办普通高中建设。推动优质普通高中集团化办学。探索建设普通高中附属初中。研究制定特色高中建设方案，启动特色高中创建计划。深化综合高中改革，推进普职融通。</w:t>
      </w:r>
    </w:p>
    <w:p>
      <w:pPr>
        <w:pStyle w:val="4"/>
        <w:spacing w:line="560" w:lineRule="exact"/>
        <w:ind w:firstLine="703"/>
        <w:rPr>
          <w:rFonts w:ascii="仿宋_GB2312" w:hAnsi="仿宋_GB2312" w:eastAsia="仿宋_GB2312" w:cs="仿宋_GB2312"/>
          <w:color w:val="00000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1"/>
        </w:rPr>
        <w:t>18.深化集团化联盟化办学改革。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完善集团化办学、联盟化办园管理体制和评价体系，加大教育集团人、财、物等资源统筹力度。加强城乡融合型教育集团的管理，全面提升农村薄弱学校办学水平。推行多元化、全覆盖的联盟化办园模式，全面提升城区优质幼儿园+农村幼儿园、公办幼儿园+民办幼儿园等联盟发展共同体的管理水平。</w:t>
      </w:r>
    </w:p>
    <w:p>
      <w:pPr>
        <w:pStyle w:val="4"/>
        <w:spacing w:line="560" w:lineRule="exact"/>
        <w:ind w:firstLine="703"/>
        <w:rPr>
          <w:rFonts w:ascii="仿宋_GB2312" w:hAnsi="仿宋_GB2312" w:eastAsia="仿宋_GB2312" w:cs="仿宋_GB2312"/>
          <w:color w:val="00000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1"/>
        </w:rPr>
        <w:t>19.全面强化阳光招生平安考试。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落实就近入学入园要求，健全完善义务教育学校和幼儿园招生办法。优化义务教育学校招生区域，完善义务教育学校招生平台，推动义务教育招生全程网上办理。认真做好新市民随迁子女入学工作。加大义务教育学校和幼儿园招生公开力度，严肃查处招生过程中的违规违纪行为。加强考试安全和考风考纪教育，打造“平安高考”“平安中考”。</w:t>
      </w:r>
    </w:p>
    <w:p>
      <w:pPr>
        <w:pStyle w:val="4"/>
        <w:spacing w:line="560" w:lineRule="exact"/>
        <w:ind w:firstLine="703"/>
        <w:rPr>
          <w:rFonts w:ascii="楷体_GB2312" w:hAnsi="楷体_GB2312" w:cs="楷体_GB2312"/>
        </w:rPr>
      </w:pPr>
      <w:r>
        <w:rPr>
          <w:rFonts w:hint="eastAsia" w:ascii="楷体_GB2312" w:hAnsi="楷体_GB2312" w:cs="楷体_GB2312"/>
        </w:rPr>
        <w:t>（三）实现智慧教育新突破</w:t>
      </w:r>
    </w:p>
    <w:p>
      <w:pPr>
        <w:adjustRightInd/>
        <w:spacing w:line="560" w:lineRule="exact"/>
        <w:ind w:firstLine="675" w:firstLineChars="200"/>
        <w:textAlignment w:val="auto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</w:rPr>
        <w:t>20.推进智慧课堂建设。</w:t>
      </w:r>
      <w:r>
        <w:rPr>
          <w:rFonts w:hint="eastAsia" w:ascii="仿宋_GB2312" w:hAnsi="仿宋_GB2312" w:eastAsia="仿宋_GB2312" w:cs="仿宋_GB2312"/>
          <w:color w:val="000000"/>
        </w:rPr>
        <w:t>聚焦“教与学”根本，大力推动智慧教育攻坚，制定智慧课堂建设行动方案，组织智慧课堂教学大比武等活动，推出一批智慧课堂样板。建设课堂教学支持系统，为教师提供教学设计指导、学习测评分析等服务，提升教师精准化教学与学生个性化学习能力，推动教育教学模式变革。统筹汇聚名师资源，做优做强“青青益课”名师公益课堂品牌。</w:t>
      </w:r>
    </w:p>
    <w:p>
      <w:pPr>
        <w:adjustRightInd/>
        <w:spacing w:line="560" w:lineRule="exact"/>
        <w:ind w:firstLine="675" w:firstLineChars="200"/>
        <w:textAlignment w:val="auto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</w:rPr>
        <w:t>21.提高师生信息素养。</w:t>
      </w:r>
      <w:r>
        <w:rPr>
          <w:rFonts w:hint="eastAsia" w:ascii="仿宋_GB2312" w:hAnsi="仿宋_GB2312" w:eastAsia="仿宋_GB2312" w:cs="仿宋_GB2312"/>
        </w:rPr>
        <w:t>通</w:t>
      </w:r>
      <w:r>
        <w:rPr>
          <w:rFonts w:hint="eastAsia" w:ascii="仿宋_GB2312" w:hAnsi="仿宋_GB2312" w:eastAsia="仿宋_GB2312" w:cs="仿宋_GB2312"/>
          <w:color w:val="000000"/>
        </w:rPr>
        <w:t>过线上线下相结合方式，深入开展信息化领导力培训、信息素养全员培训，开展机关、学校全员信息素养测评。</w:t>
      </w:r>
      <w:r>
        <w:rPr>
          <w:rFonts w:hint="eastAsia" w:ascii="仿宋_GB2312" w:hAnsi="仿宋_GB2312" w:eastAsia="仿宋_GB2312" w:cs="仿宋_GB2312"/>
        </w:rPr>
        <w:t>制定青少年人工智能素养提升计划，</w:t>
      </w:r>
      <w:r>
        <w:rPr>
          <w:rFonts w:hint="eastAsia" w:ascii="仿宋_GB2312" w:hAnsi="仿宋_GB2312" w:eastAsia="仿宋_GB2312" w:cs="仿宋_GB2312"/>
          <w:color w:val="000000"/>
        </w:rPr>
        <w:t>推进人工智能课程普及，组织学生人工智能素养测评。构建以学习者为中心、线上线下相结合的全新教育教学生态。</w:t>
      </w:r>
    </w:p>
    <w:p>
      <w:pPr>
        <w:spacing w:line="560" w:lineRule="exact"/>
        <w:ind w:firstLine="675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</w:rPr>
        <w:t>22.优化智慧教育环境。</w:t>
      </w:r>
      <w:r>
        <w:rPr>
          <w:rFonts w:hint="eastAsia" w:ascii="仿宋_GB2312" w:hAnsi="仿宋_GB2312" w:eastAsia="仿宋_GB2312" w:cs="仿宋_GB2312"/>
        </w:rPr>
        <w:t>统筹各学段、各学科生成性优质资源，汇聚线上优质资源，构建满足学生个性化学习需求、满足教师教学需求的各类教育教学资源库。</w:t>
      </w:r>
      <w:r>
        <w:rPr>
          <w:rFonts w:hint="eastAsia" w:ascii="仿宋_GB2312" w:hAnsi="仿宋_GB2312" w:eastAsia="仿宋_GB2312" w:cs="仿宋_GB2312"/>
          <w:color w:val="000000"/>
        </w:rPr>
        <w:t>汇聚机关科室、基层学校幼儿园的管理数据、教学数据、学生活动数据等各类多元业务数据，建设开放、融合、共享的新区教育基础数据库，为科学决策、教研教学等提供精准的数据支撑，基本建成数据融合、业务协同的全流程、精细化、高标准智慧教育治理体系。推进区域应用模块深度融合，实现与青岛E平台互联互通。开展智慧校园、新装备新技术试点应用评估，提升教育装备管理水平。</w:t>
      </w:r>
    </w:p>
    <w:p>
      <w:pPr>
        <w:spacing w:line="560" w:lineRule="exact"/>
        <w:ind w:firstLine="672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三、推动“两个提升”，展现高质量发展新作为</w:t>
      </w:r>
    </w:p>
    <w:p>
      <w:pPr>
        <w:spacing w:line="560" w:lineRule="exact"/>
        <w:ind w:firstLine="672" w:firstLineChars="200"/>
        <w:rPr>
          <w:rFonts w:ascii="文星楷体" w:hAnsi="文星楷体" w:eastAsia="文星楷体" w:cs="文星楷体"/>
        </w:rPr>
      </w:pPr>
      <w:r>
        <w:rPr>
          <w:rFonts w:hint="eastAsia" w:ascii="楷体_GB2312" w:hAnsi="楷体_GB2312" w:cs="楷体_GB2312"/>
        </w:rPr>
        <w:t>（一）进一步提升教育体育服务水平</w:t>
      </w:r>
    </w:p>
    <w:p>
      <w:pPr>
        <w:adjustRightInd/>
        <w:spacing w:line="560" w:lineRule="exact"/>
        <w:ind w:firstLine="675" w:firstLineChars="200"/>
        <w:textAlignment w:val="auto"/>
        <w:rPr>
          <w:rFonts w:ascii="仿宋_GB2312" w:hAnsi="仿宋_GB2312" w:eastAsia="仿宋_GB2312" w:cs="仿宋_GB2312"/>
          <w:color w:val="00000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1"/>
        </w:rPr>
        <w:t>23.推进职业教育高地建设。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调整优化中职学校专业设置，加快智能制造、海洋经济、影视产业、大数据产业等新兴专业组群建设。深化产教融合，深入推进“1+x”证书项目试点，培育“双优计划”建设项目学校。加强与德国工商大会、德国汉斯·赛德尔基金会合作，打造“双元三地”中德智能制造技能人才双元培养”新模式。推进中德（青岛）职教合作示范基地建设，高标准举办山东（青岛）中德产教融合发展西海岸分论坛。推进中高职一体化发展，探索中等职业学校长学制人才培养模式。深化职业教育与技工教育融合发展，加快推进青岛中德智能制造技师学院建设。在中德应用技术学校探索混合所有制办学模式改革。</w:t>
      </w:r>
    </w:p>
    <w:p>
      <w:pPr>
        <w:pStyle w:val="8"/>
        <w:widowControl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outlineLvl w:val="0"/>
        <w:rPr>
          <w:rFonts w:ascii="仿宋_GB2312" w:hAnsi="仿宋_GB2312" w:eastAsia="仿宋_GB2312" w:cs="仿宋_GB2312"/>
          <w:color w:val="000000"/>
          <w:kern w:val="21"/>
          <w:sz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</w:rPr>
        <w:t>24.推动校地深度融合发展。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</w:rPr>
        <w:t>建立校地产学研用协同发展机制，促进校地各类要素资源协同创新。协助高水平建设山东高校科创国际客厅，助推加快建设青岛西海岸新区大学科教园区，推动驻鲁有关高校联合发起成立“山东高校战略联盟”，促进高校科技成果转化落地。鼓励驻区高校围绕新区重点产业新增和调整专业学科，扩大新区急需紧缺人才培养规模。协调推进山东工艺美术学院国家产教融合青岛基地项目。推进驻区高校附属学校建设，重点加快推进山东科技大学附属中小学、幼儿园建设。深化驻区高校辐射中小学办学模式改革，推进驻区高校实验室、实训基地、优质课程等资源向中小学开放。充分利用高校美育资源，辐射带动中小学提升美育水平，加大高校美育资源对农村学校和贫困家庭学生的帮扶力度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spacing w:val="0"/>
        </w:rPr>
        <w:t>25.深化</w:t>
      </w:r>
      <w:r>
        <w:rPr>
          <w:rFonts w:hint="eastAsia" w:ascii="仿宋_GB2312" w:hAnsi="仿宋_GB2312" w:eastAsia="仿宋_GB2312" w:cs="仿宋_GB2312"/>
          <w:b/>
          <w:bCs/>
        </w:rPr>
        <w:t>教育开放交流工作</w:t>
      </w:r>
      <w:r>
        <w:rPr>
          <w:rFonts w:hint="eastAsia" w:ascii="仿宋_GB2312" w:hAnsi="仿宋_GB2312" w:eastAsia="仿宋_GB2312" w:cs="仿宋_GB2312"/>
          <w:b/>
          <w:bCs/>
          <w:spacing w:val="0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加强与北京、上海、深圳等教育先进地区友好交流与合作，引进优质教育团队、智库团队。深入推进与上海市静安区的交流合作。加大引进国际优质教育资源力度，推进高水平中外合作办学项目建设。服务自贸区及国际项目建设，做好“一带一路”沿线国家留学生奖学金评定及发放，助力“留学青岛”品牌建设。加强国际理解教育，培养师生人文素养。用好全球中文学习平台，开展中外人文交流活动，建立线上人文交流机制，创建中外人文交流特色学校。</w:t>
      </w:r>
    </w:p>
    <w:p>
      <w:pPr>
        <w:adjustRightIn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spacing w:val="0"/>
        </w:rPr>
        <w:t>26.规范支持民办教育发展。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支持民办学历学校优质特色发展，加强民办学历学校监管和绩效考评，强化举办者主体责任。扩大公民办中小学幼儿园集团化办学、联盟化办园的规模和范围。开展民办培训机构专项治理行动，完善校外培训机构联合执法机制，加强培训机构动态监管。扩大培训机构资金监管范围，继续推进民办学历教育学校教师养老保险试点。稳妥推进民办学校分类改革。</w:t>
      </w:r>
    </w:p>
    <w:p>
      <w:pPr>
        <w:pStyle w:val="5"/>
        <w:adjustRightIn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spacing w:val="0"/>
        </w:rPr>
        <w:t>27.</w:t>
      </w:r>
      <w:r>
        <w:rPr>
          <w:rFonts w:hint="eastAsia" w:ascii="仿宋_GB2312" w:hAnsi="仿宋_GB2312" w:eastAsia="仿宋_GB2312" w:cs="仿宋_GB2312"/>
          <w:b/>
          <w:bCs/>
        </w:rPr>
        <w:t>优化终身学习体系建设</w:t>
      </w:r>
      <w:r>
        <w:rPr>
          <w:rFonts w:hint="eastAsia" w:ascii="仿宋_GB2312" w:hAnsi="仿宋_GB2312" w:eastAsia="仿宋_GB2312" w:cs="仿宋_GB2312"/>
          <w:b/>
          <w:bCs/>
          <w:spacing w:val="0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推进“互联网+继续教育”，扩增全民学习课程资源供给。创建优秀社区教育品牌，加强三级社区教育机构标准化建设，全部达到市级标准。推进各类学习型组织和学分银行建设。举办全民终身学习活动周。</w:t>
      </w:r>
    </w:p>
    <w:p>
      <w:pPr>
        <w:pStyle w:val="5"/>
        <w:adjustRightInd/>
        <w:spacing w:line="560" w:lineRule="exact"/>
        <w:ind w:firstLine="675" w:firstLineChars="200"/>
        <w:textAlignment w:val="auto"/>
        <w:rPr>
          <w:rFonts w:ascii="仿宋_GB2312" w:hAnsi="仿宋_GB2312" w:eastAsia="仿宋_GB2312" w:cs="仿宋_GB2312"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28.扩大全民健身资源供给。</w:t>
      </w:r>
      <w:r>
        <w:rPr>
          <w:rFonts w:hint="eastAsia" w:ascii="仿宋_GB2312" w:hAnsi="仿宋_GB2312" w:eastAsia="仿宋_GB2312" w:cs="仿宋_GB2312"/>
          <w:kern w:val="2"/>
        </w:rPr>
        <w:t>建成并面向社会开放古镇口大学城体育馆，新建智慧体育公园、笼式足球场等健身场地25处，更新新建健身设施100处。加快推进世界羽联青岛国际交流中心项目建设，积极推进中国羽协及羽毛球国家队训练基地项目、F1赛事中国第二站等项目落户新区。高水平办好新区首届全民运动会。高标准承办亚洲沙滩藤球锦标赛、“全民健步中国行”（青岛站）等时尚品牌赛事。加强社会体育指导员队伍建设，完成国民体质监测有效样本1000例。</w:t>
      </w:r>
    </w:p>
    <w:p>
      <w:pPr>
        <w:pStyle w:val="4"/>
        <w:spacing w:line="560" w:lineRule="exact"/>
        <w:ind w:firstLine="672" w:firstLineChars="200"/>
        <w:rPr>
          <w:rFonts w:ascii="楷体_GB2312" w:hAnsi="楷体_GB2312" w:cs="楷体_GB2312"/>
        </w:rPr>
      </w:pPr>
      <w:r>
        <w:rPr>
          <w:rFonts w:hint="eastAsia" w:ascii="楷体_GB2312" w:hAnsi="楷体_GB2312" w:cs="楷体_GB2312"/>
        </w:rPr>
        <w:t>（二）进一步提升教育体育保障水平</w:t>
      </w:r>
    </w:p>
    <w:p>
      <w:pPr>
        <w:adjustRightIn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kern w:val="2"/>
        </w:rPr>
      </w:pPr>
      <w:r>
        <w:rPr>
          <w:rFonts w:hint="eastAsia" w:ascii="仿宋_GB2312" w:hAnsi="仿宋_GB2312" w:eastAsia="仿宋_GB2312" w:cs="仿宋_GB2312"/>
          <w:b/>
          <w:bCs/>
          <w:spacing w:val="0"/>
        </w:rPr>
        <w:t>29.深化教育治理改革。</w:t>
      </w:r>
      <w:r>
        <w:rPr>
          <w:rFonts w:hint="eastAsia" w:ascii="仿宋_GB2312" w:hAnsi="仿宋_GB2312" w:eastAsia="仿宋_GB2312" w:cs="仿宋_GB2312"/>
          <w:kern w:val="2"/>
        </w:rPr>
        <w:t>研究制订深化教育治理改革加快教育治理现代化的实施意见。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理顺学区教育服务中心管理机制，完善学区教育服务中心职能。建立学区教育服务中心与机关、学校对接制度，加强学区统筹区域内教育资源的能力。</w:t>
      </w:r>
      <w:r>
        <w:rPr>
          <w:rFonts w:hint="eastAsia" w:ascii="仿宋_GB2312" w:hAnsi="仿宋_GB2312" w:eastAsia="仿宋_GB2312" w:cs="仿宋_GB2312"/>
          <w:kern w:val="2"/>
        </w:rPr>
        <w:t>指导中小学做好章程修订和正面清单、负面清单实施工作，推行幼儿园、民办中小学和校外培训机构正面清单、负面清单制度。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完善校委会组织形式和运行规则，充分发挥教职工代表大会作用，落实教职工知情权、建议权、决策权及监督权。健全校务公开制度，规范家委会管理。强化依法治教，探索推进教育行政执法标准化。严格控制面向学校的检查验收、创建评比等活动，切实减轻学校和教师负担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kern w:val="21"/>
        </w:rPr>
      </w:pPr>
      <w:r>
        <w:rPr>
          <w:rFonts w:hint="eastAsia" w:ascii="仿宋_GB2312" w:hAnsi="仿宋_GB2312" w:eastAsia="仿宋_GB2312" w:cs="仿宋_GB2312"/>
          <w:b/>
          <w:bCs/>
          <w:spacing w:val="0"/>
        </w:rPr>
        <w:t>30.健全教育督导体系。</w:t>
      </w:r>
      <w:r>
        <w:rPr>
          <w:rFonts w:hint="eastAsia" w:ascii="仿宋_GB2312" w:hAnsi="仿宋_GB2312" w:eastAsia="仿宋_GB2312" w:cs="仿宋_GB2312"/>
          <w:color w:val="000000"/>
          <w:kern w:val="21"/>
        </w:rPr>
        <w:t>深化督学管理机制改革，实行督学队伍素质提升工程，提升督学专业化水平。完善政府履行教育职责评价体系，开展学校督导评估、教育质量监测和教育重点工作任务专项督导。健全督导问题整改机制，形成整改、提高的良性循环。完善督学聘任、培训、考核工作机制，强化学校内部督导机制建设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b/>
          <w:bCs/>
          <w:spacing w:val="0"/>
        </w:rPr>
        <w:t>31.打造平安和谐校园。</w:t>
      </w:r>
      <w:r>
        <w:rPr>
          <w:rFonts w:hint="eastAsia" w:ascii="仿宋_GB2312" w:hAnsi="仿宋_GB2312" w:eastAsia="仿宋_GB2312" w:cs="仿宋_GB2312"/>
          <w:color w:val="000000"/>
        </w:rPr>
        <w:t>学习宣传贯彻落实《青岛市学校安全管理办法》。制定中小学幼儿园安全防范建设和安全生产专项整治三年行动方案。深入开展安全教育和应急演练，提高师生防范意识和避险逃生能力。开展经常化校园安全自查和随机式校园安全督导检查，及时化解风险隐患。加强中小学幼儿园“三支队伍”的融合建设和管理，实现“三支队伍”全覆盖。加强学校校园食品安全、交通安全等综合治理。建立学生营养餐改善长效机制，推进中小学智慧餐厅建设，建成学生营养餐配送中心。优化小学生课后托管服务，不断推进学生精准资助。继续做好校园垃圾分类工作。积极做好信访、舆情应对工作。畅通倾听民意渠道，提升群众满意度。</w:t>
      </w:r>
    </w:p>
    <w:p>
      <w:pPr>
        <w:spacing w:line="560" w:lineRule="exact"/>
        <w:ind w:firstLine="72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0"/>
        </w:rPr>
        <w:t>32.</w:t>
      </w:r>
      <w:r>
        <w:rPr>
          <w:rFonts w:hint="eastAsia" w:ascii="仿宋_GB2312" w:hAnsi="仿宋_GB2312" w:eastAsia="仿宋_GB2312" w:cs="仿宋_GB2312"/>
          <w:b/>
          <w:bCs/>
          <w:color w:val="000000"/>
        </w:rPr>
        <w:t>做好常态化疫情防控。</w:t>
      </w:r>
      <w:r>
        <w:rPr>
          <w:rFonts w:hint="eastAsia" w:ascii="仿宋_GB2312" w:hAnsi="仿宋_GB2312" w:eastAsia="仿宋_GB2312" w:cs="仿宋_GB2312"/>
          <w:color w:val="000000"/>
        </w:rPr>
        <w:t>统筹推进疫情防控和教育体育改革发展，实时优化常态化疫情防控工作方案、应急预案，持续开展集中专项督查和日常随机督查，压实“四方责任”，落实“四早”“五有”措施，做好风险评估研判，强化健康风险提示和校园管控。开展传染病宣传教育，完善校园疾病预防控制体系。深入开展新时代校园爱国卫生运动。</w:t>
      </w:r>
    </w:p>
    <w:p>
      <w:pPr>
        <w:spacing w:line="560" w:lineRule="exact"/>
        <w:rPr>
          <w:rFonts w:ascii="仿宋_GB2312" w:hAnsi="仿宋_GB2312" w:eastAsia="仿宋_GB2312" w:cs="仿宋_GB2312"/>
        </w:rPr>
      </w:pPr>
    </w:p>
    <w:p>
      <w:pPr>
        <w:pStyle w:val="2"/>
        <w:rPr>
          <w:rFonts w:ascii="仿宋_GB2312" w:hAnsi="仿宋_GB2312" w:eastAsia="仿宋_GB2312" w:cs="仿宋_GB2312"/>
        </w:rPr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10"/>
        <w:tblpPr w:leftFromText="180" w:rightFromText="180" w:vertAnchor="text" w:horzAnchor="page" w:tblpX="1569" w:tblpY="6531"/>
        <w:tblOverlap w:val="never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6" w:type="dxa"/>
            <w:tcBorders>
              <w:left w:val="nil"/>
              <w:right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pacing w:val="0"/>
              </w:rPr>
            </w:pPr>
            <w:r>
              <w:rPr>
                <w:rFonts w:hint="eastAsia" w:ascii="仿宋_GB2312" w:eastAsia="仿宋_GB2312"/>
                <w:spacing w:val="0"/>
                <w:sz w:val="28"/>
                <w:szCs w:val="28"/>
              </w:rPr>
              <w:t>青岛西海岸新区教育和体育局办公室</w:t>
            </w:r>
            <w:r>
              <w:rPr>
                <w:rFonts w:hint="eastAsia" w:ascii="仿宋_GB2312" w:eastAsia="仿宋_GB2312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0"/>
                <w:sz w:val="28"/>
                <w:szCs w:val="28"/>
                <w:lang w:eastAsia="zh-CN"/>
              </w:rPr>
              <w:t>主动公开</w:t>
            </w:r>
            <w:r>
              <w:rPr>
                <w:rFonts w:hint="eastAsia" w:ascii="仿宋_GB2312" w:eastAsia="仿宋_GB2312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pacing w:val="0"/>
                <w:sz w:val="28"/>
                <w:szCs w:val="28"/>
              </w:rPr>
              <w:t>2021年2月20日印发</w:t>
            </w:r>
          </w:p>
        </w:tc>
      </w:tr>
    </w:tbl>
    <w:p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楷体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hint="default" w:ascii="仿宋" w:hAnsi="仿宋" w:eastAsia="仿宋"/>
        <w:sz w:val="32"/>
        <w:szCs w:val="32"/>
      </w:rPr>
    </w:pPr>
    <w:r>
      <w:rPr>
        <w:rFonts w:ascii="仿宋" w:hAnsi="仿宋" w:eastAsia="仿宋"/>
        <w:sz w:val="32"/>
        <w:szCs w:val="32"/>
      </w:rPr>
      <w:fldChar w:fldCharType="begin"/>
    </w:r>
    <w:r>
      <w:rPr>
        <w:rFonts w:ascii="仿宋" w:hAnsi="仿宋" w:eastAsia="仿宋"/>
        <w:sz w:val="32"/>
        <w:szCs w:val="32"/>
      </w:rPr>
      <w:instrText xml:space="preserve">PAGE   \* MERGEFORMAT</w:instrText>
    </w:r>
    <w:r>
      <w:rPr>
        <w:rFonts w:ascii="仿宋" w:hAnsi="仿宋" w:eastAsia="仿宋"/>
        <w:sz w:val="32"/>
        <w:szCs w:val="32"/>
      </w:rPr>
      <w:fldChar w:fldCharType="separate"/>
    </w:r>
    <w:r>
      <w:rPr>
        <w:rFonts w:hint="default" w:ascii="仿宋" w:hAnsi="仿宋" w:eastAsia="仿宋"/>
        <w:sz w:val="32"/>
        <w:szCs w:val="32"/>
        <w:lang w:val="zh-CN"/>
      </w:rPr>
      <w:t>-</w:t>
    </w:r>
    <w:r>
      <w:rPr>
        <w:rFonts w:hint="default" w:ascii="仿宋" w:hAnsi="仿宋" w:eastAsia="仿宋"/>
        <w:sz w:val="32"/>
        <w:szCs w:val="32"/>
      </w:rPr>
      <w:t xml:space="preserve"> 14 -</w:t>
    </w:r>
    <w:r>
      <w:rPr>
        <w:rFonts w:ascii="仿宋" w:hAnsi="仿宋" w:eastAsia="仿宋"/>
        <w:sz w:val="32"/>
        <w:szCs w:val="32"/>
      </w:rPr>
      <w:fldChar w:fldCharType="end"/>
    </w:r>
  </w:p>
  <w:p>
    <w:pPr>
      <w:pStyle w:val="6"/>
      <w:ind w:right="360" w:firstLine="360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rFonts w:hint="default" w:ascii="仿宋" w:hAnsi="仿宋" w:eastAsia="仿宋"/>
        <w:sz w:val="32"/>
        <w:szCs w:val="32"/>
      </w:rPr>
    </w:pPr>
    <w:r>
      <w:rPr>
        <w:rFonts w:ascii="仿宋" w:hAnsi="仿宋" w:eastAsia="仿宋"/>
        <w:sz w:val="32"/>
        <w:szCs w:val="32"/>
      </w:rPr>
      <w:fldChar w:fldCharType="begin"/>
    </w:r>
    <w:r>
      <w:rPr>
        <w:rStyle w:val="12"/>
        <w:rFonts w:ascii="仿宋" w:hAnsi="仿宋" w:eastAsia="仿宋"/>
        <w:sz w:val="32"/>
        <w:szCs w:val="32"/>
      </w:rPr>
      <w:instrText xml:space="preserve">PAGE  </w:instrText>
    </w:r>
    <w:r>
      <w:rPr>
        <w:rFonts w:ascii="仿宋" w:hAnsi="仿宋" w:eastAsia="仿宋"/>
        <w:sz w:val="32"/>
        <w:szCs w:val="32"/>
      </w:rPr>
      <w:fldChar w:fldCharType="separate"/>
    </w:r>
    <w:r>
      <w:rPr>
        <w:rStyle w:val="12"/>
        <w:rFonts w:hint="default" w:ascii="仿宋" w:hAnsi="仿宋" w:eastAsia="仿宋"/>
        <w:sz w:val="32"/>
        <w:szCs w:val="32"/>
      </w:rPr>
      <w:t>- 2 -</w:t>
    </w:r>
    <w:r>
      <w:rPr>
        <w:rFonts w:ascii="仿宋" w:hAnsi="仿宋" w:eastAsia="仿宋"/>
        <w:sz w:val="32"/>
        <w:szCs w:val="32"/>
      </w:rPr>
      <w:fldChar w:fldCharType="end"/>
    </w:r>
  </w:p>
  <w:p>
    <w:pPr>
      <w:pStyle w:val="6"/>
      <w:ind w:right="360" w:firstLine="360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1814"/>
    <w:rsid w:val="00065676"/>
    <w:rsid w:val="00066645"/>
    <w:rsid w:val="000C607A"/>
    <w:rsid w:val="000E5807"/>
    <w:rsid w:val="000F447C"/>
    <w:rsid w:val="00163B1A"/>
    <w:rsid w:val="00167F5D"/>
    <w:rsid w:val="001B75F9"/>
    <w:rsid w:val="001B7CA9"/>
    <w:rsid w:val="00231B42"/>
    <w:rsid w:val="00232AA6"/>
    <w:rsid w:val="00274523"/>
    <w:rsid w:val="00275067"/>
    <w:rsid w:val="0027712B"/>
    <w:rsid w:val="003110C7"/>
    <w:rsid w:val="00313380"/>
    <w:rsid w:val="00363C7C"/>
    <w:rsid w:val="00370B15"/>
    <w:rsid w:val="0039688E"/>
    <w:rsid w:val="003A30EC"/>
    <w:rsid w:val="003A6CA2"/>
    <w:rsid w:val="004217B4"/>
    <w:rsid w:val="004272E3"/>
    <w:rsid w:val="00465828"/>
    <w:rsid w:val="005A1814"/>
    <w:rsid w:val="005B15C2"/>
    <w:rsid w:val="00685318"/>
    <w:rsid w:val="006B0D6F"/>
    <w:rsid w:val="006D3AB4"/>
    <w:rsid w:val="006E07A3"/>
    <w:rsid w:val="00734361"/>
    <w:rsid w:val="00745C4E"/>
    <w:rsid w:val="00755D0A"/>
    <w:rsid w:val="007B02CA"/>
    <w:rsid w:val="008A0246"/>
    <w:rsid w:val="008F3199"/>
    <w:rsid w:val="009158C5"/>
    <w:rsid w:val="00957CB2"/>
    <w:rsid w:val="00992333"/>
    <w:rsid w:val="00994411"/>
    <w:rsid w:val="00995E82"/>
    <w:rsid w:val="00A67313"/>
    <w:rsid w:val="00A710F1"/>
    <w:rsid w:val="00A852E7"/>
    <w:rsid w:val="00AA1EE8"/>
    <w:rsid w:val="00B53B48"/>
    <w:rsid w:val="00B83665"/>
    <w:rsid w:val="00B850CD"/>
    <w:rsid w:val="00B92EBC"/>
    <w:rsid w:val="00B95308"/>
    <w:rsid w:val="00D03DFA"/>
    <w:rsid w:val="00D15B5D"/>
    <w:rsid w:val="00D24805"/>
    <w:rsid w:val="00DC6509"/>
    <w:rsid w:val="00DF6ECD"/>
    <w:rsid w:val="00E02076"/>
    <w:rsid w:val="00E140CC"/>
    <w:rsid w:val="00E653B3"/>
    <w:rsid w:val="00EB795C"/>
    <w:rsid w:val="00EE0782"/>
    <w:rsid w:val="00F224B0"/>
    <w:rsid w:val="00F52BA9"/>
    <w:rsid w:val="00FA141A"/>
    <w:rsid w:val="00FC433B"/>
    <w:rsid w:val="01E000C0"/>
    <w:rsid w:val="038573BA"/>
    <w:rsid w:val="06380FD6"/>
    <w:rsid w:val="0B7B6810"/>
    <w:rsid w:val="15C1068C"/>
    <w:rsid w:val="16306A98"/>
    <w:rsid w:val="239522CD"/>
    <w:rsid w:val="266A5A2C"/>
    <w:rsid w:val="31870434"/>
    <w:rsid w:val="344816A6"/>
    <w:rsid w:val="34DC446B"/>
    <w:rsid w:val="36B63096"/>
    <w:rsid w:val="3A510FEE"/>
    <w:rsid w:val="3D936949"/>
    <w:rsid w:val="3FFD0040"/>
    <w:rsid w:val="476018F2"/>
    <w:rsid w:val="48B6676C"/>
    <w:rsid w:val="4AEF290A"/>
    <w:rsid w:val="52D329E0"/>
    <w:rsid w:val="62866B43"/>
    <w:rsid w:val="639E1EA6"/>
    <w:rsid w:val="64DD5463"/>
    <w:rsid w:val="73C528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楷体_GB2312" w:cs="Times New Roman"/>
      <w:spacing w:val="8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bCs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hint="eastAsia" w:ascii="楷体_GB2312" w:hAnsiTheme="minorHAnsi"/>
      <w:kern w:val="2"/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hint="eastAsia" w:ascii="楷体_GB2312" w:hAnsiTheme="minorHAnsi"/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link w:val="7"/>
    <w:qFormat/>
    <w:uiPriority w:val="0"/>
    <w:rPr>
      <w:rFonts w:ascii="楷体_GB2312" w:eastAsia="楷体_GB2312" w:cs="Times New Roman"/>
      <w:spacing w:val="8"/>
      <w:sz w:val="18"/>
      <w:szCs w:val="18"/>
    </w:rPr>
  </w:style>
  <w:style w:type="character" w:customStyle="1" w:styleId="14">
    <w:name w:val="页脚 Char"/>
    <w:link w:val="6"/>
    <w:qFormat/>
    <w:uiPriority w:val="99"/>
    <w:rPr>
      <w:rFonts w:ascii="楷体_GB2312" w:eastAsia="楷体_GB2312" w:cs="Times New Roman"/>
      <w:spacing w:val="8"/>
      <w:sz w:val="18"/>
      <w:szCs w:val="18"/>
    </w:rPr>
  </w:style>
  <w:style w:type="character" w:customStyle="1" w:styleId="15">
    <w:name w:val="页眉 Char1"/>
    <w:basedOn w:val="11"/>
    <w:link w:val="7"/>
    <w:semiHidden/>
    <w:qFormat/>
    <w:uiPriority w:val="99"/>
    <w:rPr>
      <w:rFonts w:ascii="Times New Roman" w:hAnsi="Times New Roman" w:eastAsia="楷体_GB2312" w:cs="Times New Roman"/>
      <w:spacing w:val="8"/>
      <w:kern w:val="0"/>
      <w:sz w:val="18"/>
      <w:szCs w:val="18"/>
    </w:rPr>
  </w:style>
  <w:style w:type="character" w:customStyle="1" w:styleId="16">
    <w:name w:val="页脚 Char1"/>
    <w:basedOn w:val="11"/>
    <w:link w:val="6"/>
    <w:semiHidden/>
    <w:qFormat/>
    <w:uiPriority w:val="99"/>
    <w:rPr>
      <w:rFonts w:ascii="Times New Roman" w:hAnsi="Times New Roman" w:eastAsia="楷体_GB2312" w:cs="Times New Roman"/>
      <w:spacing w:val="8"/>
      <w:kern w:val="0"/>
      <w:sz w:val="18"/>
      <w:szCs w:val="18"/>
    </w:rPr>
  </w:style>
  <w:style w:type="character" w:customStyle="1" w:styleId="17">
    <w:name w:val="fontstyle01"/>
    <w:qFormat/>
    <w:uiPriority w:val="0"/>
    <w:rPr>
      <w:rFonts w:hint="default" w:ascii="方正小标宋_GBK" w:hAnsi="方正小标宋_GBK"/>
      <w:color w:val="000000"/>
      <w:sz w:val="44"/>
      <w:szCs w:val="44"/>
    </w:rPr>
  </w:style>
  <w:style w:type="paragraph" w:customStyle="1" w:styleId="18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spacing w:line="312" w:lineRule="atLeast"/>
      <w:jc w:val="both"/>
    </w:pPr>
    <w:rPr>
      <w:rFonts w:ascii="Arial Unicode MS" w:hAnsi="Arial Unicode MS" w:eastAsia="Times New Roman" w:cs="Arial Unicode MS"/>
      <w:color w:val="000000"/>
      <w:spacing w:val="8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1109</Words>
  <Characters>6323</Characters>
  <Lines>52</Lines>
  <Paragraphs>14</Paragraphs>
  <TotalTime>2</TotalTime>
  <ScaleCrop>false</ScaleCrop>
  <LinksUpToDate>false</LinksUpToDate>
  <CharactersWithSpaces>7418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2019-02-22T01:30:00Z</dcterms:created>
  <dc:creator>Lenovo</dc:creator>
  <cp:lastModifiedBy>薛超</cp:lastModifiedBy>
  <dcterms:modified xsi:type="dcterms:W3CDTF">2021-10-26T06:02:29Z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SaveFontToCloudKey">
    <vt:lpwstr>465113589_btnclosed</vt:lpwstr>
  </property>
  <property fmtid="{D5CDD505-2E9C-101B-9397-08002B2CF9AE}" pid="4" name="ICV">
    <vt:lpwstr>8F02D6DA08E44039809A3B6AB1ACC189</vt:lpwstr>
  </property>
</Properties>
</file>