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rPr>
          <w:rFonts w:hint="eastAsia" w:ascii="方正小标宋简体" w:hAnsi="文星标宋" w:eastAsia="方正小标宋简体"/>
          <w:color w:val="FF0000"/>
          <w:w w:val="45"/>
          <w:sz w:val="130"/>
          <w:szCs w:val="130"/>
        </w:rPr>
      </w:pPr>
    </w:p>
    <w:p>
      <w:pPr>
        <w:spacing w:line="1800" w:lineRule="exact"/>
        <w:rPr>
          <w:rFonts w:ascii="方正小标宋简体" w:eastAsia="方正小标宋简体"/>
          <w:bCs/>
          <w:color w:val="FF0000"/>
          <w:spacing w:val="-20"/>
          <w:w w:val="66"/>
          <w:sz w:val="132"/>
          <w:szCs w:val="132"/>
        </w:rPr>
      </w:pPr>
      <w:r>
        <w:rPr>
          <w:rFonts w:hint="eastAsia" w:ascii="方正小标宋简体" w:hAnsi="文星标宋" w:eastAsia="方正小标宋简体"/>
          <w:color w:val="FF0000"/>
          <w:w w:val="45"/>
          <w:sz w:val="130"/>
          <w:szCs w:val="130"/>
        </w:rPr>
        <w:t>青岛西海岸新区教育和体育局文件</w:t>
      </w:r>
    </w:p>
    <w:p>
      <w:pPr>
        <w:spacing w:line="500" w:lineRule="exact"/>
        <w:jc w:val="center"/>
        <w:rPr>
          <w:rFonts w:ascii="仿宋_GB2312" w:hAnsi="宋体"/>
          <w:bCs/>
          <w:szCs w:val="32"/>
        </w:rPr>
      </w:pPr>
    </w:p>
    <w:p>
      <w:pPr>
        <w:snapToGrid w:val="0"/>
        <w:spacing w:line="560" w:lineRule="exact"/>
        <w:jc w:val="center"/>
        <w:rPr>
          <w:rFonts w:ascii="仿宋_GB2312" w:hAnsi="文星仿宋"/>
          <w:color w:val="000000"/>
          <w:szCs w:val="32"/>
        </w:rPr>
      </w:pPr>
      <w:r>
        <w:rPr>
          <w:rFonts w:hint="eastAsia" w:ascii="仿宋_GB2312" w:hAnsi="文星仿宋"/>
          <w:color w:val="000000"/>
          <w:szCs w:val="32"/>
        </w:rPr>
        <w:t>青西新教体字〔2022〕170号</w:t>
      </w:r>
    </w:p>
    <w:p>
      <w:pPr>
        <w:spacing w:line="500" w:lineRule="exact"/>
        <w:jc w:val="center"/>
        <w:rPr>
          <w:rFonts w:ascii="仿宋_GB2312" w:hAnsi="宋体"/>
          <w:bCs/>
          <w:szCs w:val="32"/>
        </w:rPr>
      </w:pPr>
      <w:r>
        <w:rPr>
          <w:rFonts w:eastAsia="宋体"/>
          <w:szCs w:val="24"/>
        </w:rPr>
        <mc:AlternateContent>
          <mc:Choice Requires="wps">
            <w:drawing>
              <wp:anchor distT="0" distB="0" distL="114300" distR="114300" simplePos="0" relativeHeight="251660288" behindDoc="0" locked="0" layoutInCell="0" allowOverlap="1">
                <wp:simplePos x="0" y="0"/>
                <wp:positionH relativeFrom="column">
                  <wp:posOffset>-71755</wp:posOffset>
                </wp:positionH>
                <wp:positionV relativeFrom="paragraph">
                  <wp:posOffset>180975</wp:posOffset>
                </wp:positionV>
                <wp:extent cx="5600700" cy="0"/>
                <wp:effectExtent l="0" t="10795" r="0" b="17780"/>
                <wp:wrapTopAndBottom/>
                <wp:docPr id="5" name="直线 6"/>
                <wp:cNvGraphicFramePr/>
                <a:graphic xmlns:a="http://schemas.openxmlformats.org/drawingml/2006/main">
                  <a:graphicData uri="http://schemas.microsoft.com/office/word/2010/wordprocessingShape">
                    <wps:wsp>
                      <wps:cNvCnPr/>
                      <wps:spPr>
                        <a:xfrm>
                          <a:off x="0" y="0"/>
                          <a:ext cx="5600700" cy="0"/>
                        </a:xfrm>
                        <a:prstGeom prst="line">
                          <a:avLst/>
                        </a:prstGeom>
                        <a:ln w="22225" cap="flat" cmpd="sng">
                          <a:solidFill>
                            <a:srgbClr val="FF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margin-left:-5.65pt;margin-top:14.25pt;height:0pt;width:441pt;mso-wrap-distance-bottom:0pt;mso-wrap-distance-top:0pt;z-index:251660288;mso-width-relative:page;mso-height-relative:page;" filled="f" stroked="t" coordsize="21600,21600" o:allowincell="f" o:gfxdata="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Erl4bYAAAACQEAAA8AAAAAAAAAAQAgAAAAIgAAAGRycy9kb3ducmV2LnhtbFBLAQIUABQAAAAI&#10;AIdO4kDVsnUk7QEAAOoDAAAOAAAAAAAAAAEAIAAAACcBAABkcnMvZTJvRG9jLnhtbFBLBQYAAAAA&#10;BgAGAFkBAACGBQAAAAA=&#10;">
                <v:fill on="f" focussize="0,0"/>
                <v:stroke weight="1.75pt" color="#FF0000" joinstyle="round"/>
                <v:imagedata o:title=""/>
                <o:lock v:ext="edit" aspectratio="f"/>
                <w10:wrap type="topAndBottom"/>
              </v:line>
            </w:pict>
          </mc:Fallback>
        </mc:AlternateConten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青岛西海岸新区教育和体育局</w:t>
      </w: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关于做好2022年中等职业学校招生工作的</w:t>
      </w:r>
    </w:p>
    <w:p>
      <w:pPr>
        <w:spacing w:line="560" w:lineRule="exact"/>
        <w:jc w:val="center"/>
        <w:rPr>
          <w:rFonts w:ascii="方正小标宋简体" w:eastAsia="方正小标宋简体" w:cs="方正小标宋_GBK"/>
          <w:sz w:val="44"/>
          <w:szCs w:val="44"/>
        </w:rPr>
      </w:pPr>
      <w:r>
        <w:rPr>
          <w:rFonts w:hint="eastAsia" w:ascii="方正小标宋简体" w:hAnsi="宋体" w:eastAsia="方正小标宋简体"/>
          <w:sz w:val="44"/>
          <w:szCs w:val="44"/>
        </w:rPr>
        <w:t xml:space="preserve">通 </w:t>
      </w:r>
      <w:r>
        <w:rPr>
          <w:rFonts w:hint="eastAsia" w:ascii="方正小标宋简体" w:hAnsi="宋体" w:eastAsia="方正小标宋简体"/>
          <w:sz w:val="44"/>
          <w:szCs w:val="44"/>
          <w:lang w:val="en-US" w:eastAsia="zh-CN"/>
        </w:rPr>
        <w:t xml:space="preserve"> </w:t>
      </w:r>
      <w:r>
        <w:rPr>
          <w:rFonts w:hint="eastAsia" w:ascii="方正小标宋简体" w:hAnsi="宋体" w:eastAsia="方正小标宋简体"/>
          <w:sz w:val="44"/>
          <w:szCs w:val="44"/>
        </w:rPr>
        <w:t>知</w:t>
      </w:r>
    </w:p>
    <w:p>
      <w:pPr>
        <w:spacing w:line="560" w:lineRule="exact"/>
        <w:rPr>
          <w:rFonts w:ascii="仿宋_GB2312" w:hAnsi="仿宋"/>
          <w:spacing w:val="-14"/>
          <w:szCs w:val="32"/>
        </w:rPr>
      </w:pPr>
    </w:p>
    <w:p>
      <w:pPr>
        <w:keepNext w:val="0"/>
        <w:keepLines w:val="0"/>
        <w:pageBreakBefore w:val="0"/>
        <w:widowControl w:val="0"/>
        <w:kinsoku/>
        <w:wordWrap/>
        <w:overflowPunct/>
        <w:topLinePunct w:val="0"/>
        <w:autoSpaceDE/>
        <w:autoSpaceDN/>
        <w:bidi w:val="0"/>
        <w:spacing w:line="560" w:lineRule="exact"/>
        <w:ind w:right="0"/>
        <w:rPr>
          <w:rFonts w:ascii="仿宋_GB2312" w:hAnsi="仿宋"/>
          <w:spacing w:val="-14"/>
          <w:szCs w:val="32"/>
        </w:rPr>
      </w:pPr>
      <w:r>
        <w:rPr>
          <w:rFonts w:hint="eastAsia" w:ascii="仿宋_GB2312" w:hAnsi="仿宋"/>
          <w:spacing w:val="-14"/>
          <w:szCs w:val="32"/>
        </w:rPr>
        <w:t>各学区教育服务中心，各初中、职业学校：</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szCs w:val="32"/>
        </w:rPr>
      </w:pPr>
      <w:r>
        <w:rPr>
          <w:rFonts w:hint="eastAsia" w:ascii="仿宋_GB2312" w:hAnsi="仿宋"/>
          <w:szCs w:val="32"/>
        </w:rPr>
        <w:t>根据青岛市教育局《关于做好2022年全市中等职业学校招生工作的通知》（青教通字〔2022〕48号）精</w:t>
      </w:r>
      <w:r>
        <w:rPr>
          <w:rFonts w:hint="eastAsia" w:ascii="仿宋_GB2312" w:hAnsi="仿宋"/>
          <w:spacing w:val="-20"/>
          <w:szCs w:val="32"/>
        </w:rPr>
        <w:t>神，</w:t>
      </w:r>
      <w:r>
        <w:rPr>
          <w:rFonts w:hint="eastAsia" w:ascii="仿宋_GB2312" w:hAnsi="仿宋"/>
          <w:szCs w:val="32"/>
        </w:rPr>
        <w:t>结合我区实</w:t>
      </w:r>
      <w:r>
        <w:rPr>
          <w:rFonts w:hint="eastAsia" w:ascii="仿宋_GB2312" w:hAnsi="仿宋"/>
          <w:spacing w:val="-20"/>
          <w:szCs w:val="32"/>
        </w:rPr>
        <w:t>际，</w:t>
      </w:r>
      <w:r>
        <w:rPr>
          <w:rFonts w:hint="eastAsia" w:ascii="仿宋_GB2312" w:hAnsi="仿宋"/>
          <w:szCs w:val="32"/>
        </w:rPr>
        <w:t>现就做</w:t>
      </w:r>
      <w:r>
        <w:rPr>
          <w:rFonts w:hint="eastAsia" w:ascii="仿宋_GB2312" w:hAnsi="仿宋"/>
          <w:spacing w:val="-20"/>
          <w:szCs w:val="32"/>
        </w:rPr>
        <w:t>好2022年</w:t>
      </w:r>
      <w:r>
        <w:rPr>
          <w:rFonts w:hint="eastAsia" w:ascii="仿宋_GB2312" w:hAnsi="仿宋"/>
          <w:szCs w:val="32"/>
        </w:rPr>
        <w:t>青岛西海岸新区中等职业学校招生工作通知如下：</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黑体" w:eastAsia="黑体"/>
          <w:color w:val="000000"/>
          <w:spacing w:val="8"/>
          <w:kern w:val="0"/>
          <w:szCs w:val="32"/>
        </w:rPr>
      </w:pPr>
      <w:r>
        <w:rPr>
          <w:rFonts w:hint="eastAsia" w:ascii="黑体" w:eastAsia="黑体"/>
          <w:color w:val="000000"/>
          <w:spacing w:val="8"/>
          <w:kern w:val="0"/>
          <w:szCs w:val="32"/>
        </w:rPr>
        <w:t>一、指导思想</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szCs w:val="32"/>
        </w:rPr>
      </w:pPr>
      <w:r>
        <w:rPr>
          <w:rFonts w:hint="eastAsia" w:ascii="仿宋_GB2312" w:hAnsi="仿宋"/>
          <w:szCs w:val="32"/>
        </w:rPr>
        <w:t>按照《中共中央办公厅 国务院办公厅关于推动现代职业教育高质量发展的意见》要求，全面落实新区职业教育高地建设工作部署，坚持提质培优，主动对接职教高考，深化普职融通，拓宽学生升学通道。围绕“九大”产业链，主动对接农业现代化、高端制造业、现代服务业和战略性新兴产业发展，科学调整专业，服务新区经济社会发展。</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黑体" w:hAnsi="黑体" w:eastAsia="黑体"/>
          <w:szCs w:val="32"/>
        </w:rPr>
      </w:pPr>
      <w:r>
        <w:rPr>
          <w:rFonts w:hint="eastAsia" w:ascii="黑体" w:hAnsi="黑体" w:eastAsia="黑体"/>
          <w:szCs w:val="32"/>
        </w:rPr>
        <w:t>二、招生计划</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szCs w:val="32"/>
        </w:rPr>
      </w:pPr>
      <w:r>
        <w:rPr>
          <w:rFonts w:hint="eastAsia" w:ascii="仿宋_GB2312" w:hAnsi="仿宋"/>
          <w:szCs w:val="32"/>
        </w:rPr>
        <w:t>2022年全区初中毕业生16480人，区内职业学校计划招生共计7970人</w:t>
      </w:r>
      <w:r>
        <w:rPr>
          <w:rFonts w:hint="eastAsia" w:ascii="仿宋_GB2312" w:hAnsi="仿宋"/>
          <w:color w:val="000000" w:themeColor="text1"/>
          <w:szCs w:val="32"/>
          <w14:textFill>
            <w14:solidFill>
              <w14:schemeClr w14:val="tx1"/>
            </w14:solidFill>
          </w14:textFill>
        </w:rPr>
        <w:t>(不含综合高中人数)</w:t>
      </w:r>
      <w:r>
        <w:rPr>
          <w:rFonts w:hint="eastAsia" w:ascii="仿宋_GB2312" w:hAnsi="仿宋"/>
          <w:szCs w:val="32"/>
        </w:rPr>
        <w:t>，其中，市内生源计划招生6576人，市外生源计划1394人。</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szCs w:val="32"/>
        </w:rPr>
      </w:pPr>
      <w:r>
        <w:rPr>
          <w:rFonts w:ascii="仿宋_GB2312" w:hAnsi="仿宋_GB2312" w:cs="仿宋_GB2312"/>
          <w:szCs w:val="32"/>
        </w:rPr>
        <w:t>中等职业学校招生形式包括中职与本科</w:t>
      </w:r>
      <w:r>
        <w:rPr>
          <w:rFonts w:hint="eastAsia" w:ascii="仿宋" w:hAnsi="仿宋" w:eastAsia="仿宋" w:cs="仿宋"/>
          <w:szCs w:val="32"/>
        </w:rPr>
        <w:t>“3+4”</w:t>
      </w:r>
      <w:r>
        <w:rPr>
          <w:rFonts w:ascii="仿宋_GB2312" w:hAnsi="仿宋_GB2312" w:cs="仿宋_GB2312"/>
          <w:szCs w:val="32"/>
        </w:rPr>
        <w:t>对口贯通分段培养（以下简称</w:t>
      </w:r>
      <w:r>
        <w:rPr>
          <w:rFonts w:hint="eastAsia" w:ascii="仿宋" w:hAnsi="仿宋" w:eastAsia="仿宋" w:cs="仿宋"/>
          <w:szCs w:val="32"/>
        </w:rPr>
        <w:t>“3+4”</w:t>
      </w:r>
      <w:r>
        <w:rPr>
          <w:rFonts w:ascii="仿宋_GB2312" w:hAnsi="仿宋_GB2312" w:cs="仿宋_GB2312"/>
          <w:szCs w:val="32"/>
        </w:rPr>
        <w:t>本科）、高等师范教育专科（以下简称</w:t>
      </w:r>
      <w:r>
        <w:rPr>
          <w:rFonts w:ascii="Arial" w:hAnsi="Arial" w:eastAsia="Arial" w:cs="Arial"/>
          <w:szCs w:val="32"/>
        </w:rPr>
        <w:t>“</w:t>
      </w:r>
      <w:r>
        <w:rPr>
          <w:rFonts w:ascii="仿宋_GB2312" w:hAnsi="仿宋_GB2312" w:cs="仿宋_GB2312"/>
          <w:szCs w:val="32"/>
        </w:rPr>
        <w:t>五年制高师</w:t>
      </w:r>
      <w:r>
        <w:rPr>
          <w:rFonts w:ascii="Arial" w:hAnsi="Arial" w:eastAsia="Arial" w:cs="Arial"/>
          <w:szCs w:val="32"/>
        </w:rPr>
        <w:t>”</w:t>
      </w:r>
      <w:r>
        <w:rPr>
          <w:rFonts w:ascii="仿宋_GB2312" w:hAnsi="仿宋_GB2312" w:cs="仿宋_GB2312"/>
          <w:szCs w:val="32"/>
        </w:rPr>
        <w:t>）、五年制高等职业教育（含五年一贯制和三二连读高职，以下简称</w:t>
      </w:r>
      <w:r>
        <w:rPr>
          <w:rFonts w:ascii="Arial" w:hAnsi="Arial" w:eastAsia="Arial" w:cs="Arial"/>
          <w:szCs w:val="32"/>
        </w:rPr>
        <w:t>“</w:t>
      </w:r>
      <w:r>
        <w:rPr>
          <w:rFonts w:ascii="仿宋_GB2312" w:hAnsi="仿宋_GB2312" w:cs="仿宋_GB2312"/>
          <w:szCs w:val="32"/>
        </w:rPr>
        <w:t>五年制高职</w:t>
      </w:r>
      <w:r>
        <w:rPr>
          <w:rFonts w:ascii="Arial" w:hAnsi="Arial" w:eastAsia="Arial" w:cs="Arial"/>
          <w:szCs w:val="32"/>
        </w:rPr>
        <w:t>”</w:t>
      </w:r>
      <w:r>
        <w:rPr>
          <w:rFonts w:ascii="仿宋_GB2312" w:hAnsi="仿宋_GB2312" w:cs="仿宋_GB2312"/>
          <w:szCs w:val="32"/>
        </w:rPr>
        <w:t>）、中专（含普职融通实验班）、技工教育。</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szCs w:val="32"/>
        </w:rPr>
      </w:pPr>
      <w:r>
        <w:rPr>
          <w:rFonts w:hint="eastAsia" w:ascii="仿宋_GB2312" w:hAnsi="仿宋"/>
          <w:szCs w:val="32"/>
        </w:rPr>
        <w:t>中等职业学校要根据本学校教学、住宿、师资等基本条件，合理确定年度招生计划，防止出现招生人数超出学校容纳能力的问题。各职业学校要根据市局专业备案专业布局调整工作实施方案的要求，严格控制并逐步缩减拟撤销专业的招生计划，确保职业学校专业布局调整工作成果落到实处。</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黑体" w:hAnsi="黑体" w:eastAsia="黑体"/>
          <w:szCs w:val="32"/>
        </w:rPr>
      </w:pPr>
      <w:r>
        <w:rPr>
          <w:rFonts w:hint="eastAsia" w:ascii="黑体" w:hAnsi="黑体" w:eastAsia="黑体"/>
          <w:szCs w:val="32"/>
        </w:rPr>
        <w:t>三、招生政策</w:t>
      </w:r>
    </w:p>
    <w:p>
      <w:pPr>
        <w:keepNext w:val="0"/>
        <w:keepLines w:val="0"/>
        <w:pageBreakBefore w:val="0"/>
        <w:widowControl w:val="0"/>
        <w:kinsoku/>
        <w:wordWrap/>
        <w:overflowPunct/>
        <w:topLinePunct w:val="0"/>
        <w:autoSpaceDE/>
        <w:autoSpaceDN/>
        <w:bidi w:val="0"/>
        <w:spacing w:line="560" w:lineRule="exact"/>
        <w:ind w:left="0" w:leftChars="0" w:right="0" w:firstLine="672" w:firstLineChars="200"/>
        <w:rPr>
          <w:rFonts w:ascii="仿宋_GB2312" w:hAnsi="Times New Roman"/>
          <w:color w:val="000000"/>
          <w:spacing w:val="8"/>
          <w:kern w:val="0"/>
          <w:szCs w:val="32"/>
        </w:rPr>
      </w:pPr>
      <w:r>
        <w:rPr>
          <w:rFonts w:hint="eastAsia" w:ascii="楷体" w:hAnsi="楷体" w:eastAsia="楷体" w:cs="楷体"/>
          <w:color w:val="000000"/>
          <w:spacing w:val="8"/>
          <w:kern w:val="0"/>
          <w:szCs w:val="32"/>
        </w:rPr>
        <w:t>（一）“3+4”本科招生。</w:t>
      </w:r>
      <w:r>
        <w:rPr>
          <w:rFonts w:hint="eastAsia" w:ascii="仿宋_GB2312" w:hAnsi="Times New Roman"/>
          <w:color w:val="000000"/>
          <w:spacing w:val="8"/>
          <w:kern w:val="0"/>
          <w:szCs w:val="32"/>
        </w:rPr>
        <w:t>继续开展“3+4”本科招生,“3+4”贯通培养中职阶段招生范围为我市参加初中学业水平考试的应届初中毕业生</w:t>
      </w:r>
      <w:r>
        <w:rPr>
          <w:rFonts w:hint="eastAsia" w:ascii="仿宋_GB2312" w:hAnsi="Times New Roman"/>
          <w:color w:val="000000"/>
          <w:spacing w:val="8"/>
          <w:kern w:val="0"/>
          <w:szCs w:val="32"/>
          <w:lang w:eastAsia="zh-CN"/>
        </w:rPr>
        <w:t>，</w:t>
      </w:r>
      <w:r>
        <w:rPr>
          <w:rFonts w:hint="eastAsia" w:ascii="仿宋_GB2312" w:hAnsi="Times New Roman"/>
          <w:color w:val="000000"/>
          <w:spacing w:val="8"/>
          <w:kern w:val="0"/>
          <w:szCs w:val="32"/>
        </w:rPr>
        <w:t>学籍注册地为我市</w:t>
      </w:r>
      <w:r>
        <w:rPr>
          <w:rFonts w:hint="eastAsia" w:ascii="仿宋_GB2312" w:hAnsi="Times New Roman"/>
          <w:color w:val="000000"/>
          <w:spacing w:val="8"/>
          <w:kern w:val="0"/>
          <w:szCs w:val="32"/>
          <w:lang w:eastAsia="zh-CN"/>
        </w:rPr>
        <w:t>，</w:t>
      </w:r>
      <w:r>
        <w:rPr>
          <w:rFonts w:hint="eastAsia" w:ascii="仿宋_GB2312" w:hAnsi="Times New Roman"/>
          <w:color w:val="000000"/>
          <w:spacing w:val="8"/>
          <w:kern w:val="0"/>
          <w:szCs w:val="32"/>
        </w:rPr>
        <w:t>且初中学业水平考试成绩位次排名在我市报考高中阶段学校学生的前55%，非考试科目的考查科目成绩在合格以上。2022年，新区职业中专原与青岛理工大学合作的机械设计制造及其自动化专业（本科专业），调整为与潍坊学院合作数字媒体技术专业（本科专业）。今年，继续将“3+4”本科列为提前批次</w:t>
      </w:r>
      <w:r>
        <w:rPr>
          <w:rFonts w:hint="eastAsia" w:ascii="仿宋_GB2312" w:hAnsi="Times New Roman"/>
          <w:color w:val="000000"/>
          <w:spacing w:val="8"/>
          <w:kern w:val="0"/>
          <w:szCs w:val="32"/>
          <w:lang w:eastAsia="zh-CN"/>
        </w:rPr>
        <w:t>，</w:t>
      </w:r>
      <w:r>
        <w:rPr>
          <w:rFonts w:hint="eastAsia" w:ascii="仿宋_GB2312" w:hAnsi="Times New Roman"/>
          <w:color w:val="000000"/>
          <w:spacing w:val="8"/>
          <w:kern w:val="0"/>
          <w:szCs w:val="32"/>
        </w:rPr>
        <w:t>并实行全市统一录取，被“3+4”本科录取的考生不再被其他学校录取。各区、市报考“3+4”本科的考生均允许兼报本行政区域内的普通高中和全市各职业学校。“3+4”本科学生转段测试工作按照省教育厅《关于做好职业院校与本科高校对口贯通分段培养转段考核测试工作的意见》（鲁教学字〔2013〕24 号）和《山东省职业院校与本科高校对口贯通分段培养转段工作实施方案》（鲁教学发〔2015〕3 号）相关要求执行。对于报考“3+4”本科未被录取的考生，不得采取降分的办法参与其他批次录取。</w:t>
      </w:r>
    </w:p>
    <w:p>
      <w:pPr>
        <w:keepNext w:val="0"/>
        <w:keepLines w:val="0"/>
        <w:pageBreakBefore w:val="0"/>
        <w:widowControl w:val="0"/>
        <w:kinsoku/>
        <w:wordWrap/>
        <w:overflowPunct/>
        <w:topLinePunct w:val="0"/>
        <w:autoSpaceDE/>
        <w:autoSpaceDN/>
        <w:bidi w:val="0"/>
        <w:spacing w:line="560" w:lineRule="exact"/>
        <w:ind w:left="0" w:leftChars="0" w:right="0" w:firstLine="672" w:firstLineChars="200"/>
        <w:rPr>
          <w:rFonts w:ascii="楷体_GB2312" w:hAnsi="Times New Roman" w:eastAsia="楷体_GB2312"/>
          <w:color w:val="000000"/>
          <w:spacing w:val="8"/>
          <w:kern w:val="0"/>
          <w:szCs w:val="32"/>
        </w:rPr>
      </w:pPr>
      <w:r>
        <w:rPr>
          <w:rFonts w:hint="eastAsia" w:ascii="楷体" w:hAnsi="楷体" w:eastAsia="楷体" w:cs="楷体"/>
          <w:color w:val="000000"/>
          <w:spacing w:val="8"/>
          <w:kern w:val="0"/>
          <w:szCs w:val="32"/>
        </w:rPr>
        <w:t>（二）综合高中试点。</w:t>
      </w:r>
      <w:r>
        <w:rPr>
          <w:rFonts w:hint="eastAsia" w:ascii="仿宋_GB2312" w:hAnsi="仿宋"/>
          <w:szCs w:val="32"/>
        </w:rPr>
        <w:t>为构建具有青岛特色的现代职教体系，推进职业学校与普通高中融合互通，为不同能力、知识水平的学生搭建多元化成长的立交桥，根据市教育局有关要求，我区2022年继续在新区职业中专、新区中德应用技术学校、新区高职校3所国办中等职业学校开展综合高中试点（</w:t>
      </w:r>
      <w:r>
        <w:rPr>
          <w:rFonts w:hint="eastAsia" w:ascii="仿宋_GB2312" w:hAnsi="Times New Roman"/>
          <w:spacing w:val="8"/>
          <w:kern w:val="0"/>
          <w:szCs w:val="32"/>
        </w:rPr>
        <w:t>详</w:t>
      </w:r>
      <w:r>
        <w:rPr>
          <w:rFonts w:hint="eastAsia" w:ascii="仿宋_GB2312" w:hAnsi="仿宋"/>
          <w:szCs w:val="32"/>
        </w:rPr>
        <w:t>见附件2）。综合高中兼具知识教育和职业教育两项职能。综合高中实验班录取办法和学籍注册等与普通高中相同。</w:t>
      </w:r>
    </w:p>
    <w:p>
      <w:pPr>
        <w:keepNext w:val="0"/>
        <w:keepLines w:val="0"/>
        <w:pageBreakBefore w:val="0"/>
        <w:widowControl w:val="0"/>
        <w:kinsoku/>
        <w:wordWrap/>
        <w:overflowPunct/>
        <w:topLinePunct w:val="0"/>
        <w:autoSpaceDE/>
        <w:autoSpaceDN/>
        <w:bidi w:val="0"/>
        <w:spacing w:line="560" w:lineRule="exact"/>
        <w:ind w:left="0" w:leftChars="0" w:right="0" w:firstLine="672" w:firstLineChars="200"/>
        <w:rPr>
          <w:rFonts w:ascii="仿宋_GB2312" w:hAnsi="Times New Roman"/>
          <w:color w:val="000000"/>
          <w:spacing w:val="8"/>
          <w:kern w:val="0"/>
          <w:szCs w:val="32"/>
        </w:rPr>
      </w:pPr>
      <w:r>
        <w:rPr>
          <w:rFonts w:hint="eastAsia" w:ascii="楷体" w:hAnsi="楷体" w:eastAsia="楷体" w:cs="楷体"/>
          <w:color w:val="000000"/>
          <w:spacing w:val="8"/>
          <w:kern w:val="0"/>
          <w:szCs w:val="32"/>
        </w:rPr>
        <w:t>（三）五年制贯通培养试点。</w:t>
      </w:r>
      <w:r>
        <w:rPr>
          <w:rFonts w:hint="eastAsia" w:ascii="仿宋_GB2312" w:hAnsi="Times New Roman"/>
          <w:color w:val="000000"/>
          <w:spacing w:val="8"/>
          <w:kern w:val="0"/>
          <w:szCs w:val="32"/>
        </w:rPr>
        <w:t>争取省教育厅支持，调整部分五年制贯通培养合作专业点，合理确定五年制贯通培养试点范围，试点院校和招生计划由省教育厅下达（详见附件3）。试点继续采用“三二连读”计划，试点的中职学校实施五年制贯通培养，录取安排在五年制高职批次进行。为确保试点质量，试点项目将由高职学院牵头，制定五年一体化人才培养方案、课程体系及考核标准。</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Times New Roman"/>
          <w:color w:val="000000"/>
          <w:spacing w:val="8"/>
          <w:kern w:val="0"/>
          <w:szCs w:val="32"/>
        </w:rPr>
      </w:pPr>
      <w:r>
        <w:rPr>
          <w:rFonts w:hint="eastAsia" w:ascii="楷体" w:hAnsi="楷体" w:eastAsia="楷体" w:cs="楷体"/>
          <w:color w:val="000000"/>
          <w:spacing w:val="8"/>
          <w:kern w:val="0"/>
          <w:szCs w:val="32"/>
        </w:rPr>
        <w:t>（四）普职融通实验班。</w:t>
      </w:r>
      <w:r>
        <w:rPr>
          <w:rFonts w:hint="eastAsia" w:ascii="仿宋_GB2312" w:hAnsi="Times New Roman"/>
          <w:color w:val="000000"/>
          <w:spacing w:val="8"/>
          <w:kern w:val="0"/>
          <w:szCs w:val="32"/>
        </w:rPr>
        <w:t>完善普职融通实验班的相关制度，</w:t>
      </w:r>
      <w:r>
        <w:rPr>
          <w:rFonts w:hint="eastAsia" w:ascii="仿宋_GB2312" w:hAnsi="仿宋"/>
          <w:color w:val="000000" w:themeColor="text1"/>
          <w:szCs w:val="32"/>
          <w14:textFill>
            <w14:solidFill>
              <w14:schemeClr w14:val="tx1"/>
            </w14:solidFill>
          </w14:textFill>
        </w:rPr>
        <w:t>新区2022年除继续在新区职业中专、新区中德应用技术学校和新区高职校开展普职融通班试点外，本年度新增音乐学校2个专业</w:t>
      </w:r>
      <w:r>
        <w:rPr>
          <w:rFonts w:hint="eastAsia" w:ascii="仿宋_GB2312" w:hAnsi="仿宋"/>
          <w:szCs w:val="32"/>
        </w:rPr>
        <w:t>（见附件4）。</w:t>
      </w:r>
      <w:r>
        <w:rPr>
          <w:rFonts w:hint="eastAsia" w:ascii="仿宋_GB2312" w:hAnsi="Times New Roman"/>
          <w:spacing w:val="8"/>
          <w:kern w:val="0"/>
          <w:szCs w:val="32"/>
        </w:rPr>
        <w:t>实验班学生在中职学校学习，学生注册中职学籍，学制三年。实验班由对口</w:t>
      </w:r>
      <w:r>
        <w:rPr>
          <w:rFonts w:hint="eastAsia" w:ascii="仿宋_GB2312" w:hAnsi="Times New Roman"/>
          <w:color w:val="000000"/>
          <w:spacing w:val="8"/>
          <w:kern w:val="0"/>
          <w:szCs w:val="32"/>
        </w:rPr>
        <w:t>合作的中职学校和普通高中共同举办，双方签订人才培养框架协议，共同制定人才培养方案。实验班录取根据专业特点和学生实际情况，主要面向职教高考，为应用型高校提供优秀技术技能人才。</w:t>
      </w:r>
    </w:p>
    <w:p>
      <w:pPr>
        <w:keepNext w:val="0"/>
        <w:keepLines w:val="0"/>
        <w:pageBreakBefore w:val="0"/>
        <w:widowControl w:val="0"/>
        <w:kinsoku/>
        <w:wordWrap/>
        <w:overflowPunct/>
        <w:topLinePunct w:val="0"/>
        <w:autoSpaceDE/>
        <w:autoSpaceDN/>
        <w:bidi w:val="0"/>
        <w:snapToGrid w:val="0"/>
        <w:spacing w:line="560" w:lineRule="exact"/>
        <w:ind w:left="0" w:leftChars="0" w:right="0" w:firstLine="672" w:firstLineChars="200"/>
        <w:jc w:val="left"/>
        <w:rPr>
          <w:rFonts w:ascii="仿宋_GB2312" w:hAnsi="楷体_GB2312" w:cs="楷体_GB2312"/>
          <w:szCs w:val="32"/>
        </w:rPr>
      </w:pPr>
      <w:r>
        <w:rPr>
          <w:rFonts w:hint="eastAsia" w:ascii="楷体" w:hAnsi="楷体" w:eastAsia="楷体" w:cs="楷体"/>
          <w:color w:val="000000"/>
          <w:spacing w:val="8"/>
          <w:kern w:val="0"/>
          <w:szCs w:val="32"/>
        </w:rPr>
        <w:t>（五）职业学校招生范围。</w:t>
      </w:r>
      <w:r>
        <w:rPr>
          <w:rFonts w:hint="eastAsia" w:ascii="仿宋_GB2312" w:hAnsi="Times New Roman"/>
          <w:color w:val="000000"/>
          <w:spacing w:val="8"/>
          <w:kern w:val="0"/>
          <w:szCs w:val="32"/>
        </w:rPr>
        <w:t>一是“3+4”本科、五年制高师及五年制高等职业教育、普职融通实验班招生对象只面向应届初中毕业生。中专和技工学校面向应、往届初中毕业生招生。二是本地应届初中毕业生不实行注册入学。往届初中毕业生和外地生源只能报考中专和技工学校，可注册录取(有特殊规定的学校或专业除外)。三是各区市实行普通高中与职业学校兼报政策。全市所有职业学校的招生工作均纳入市招生平台进行统筹管理。</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仿宋"/>
          <w:bCs/>
          <w:color w:val="000000"/>
          <w:spacing w:val="8"/>
          <w:kern w:val="0"/>
          <w:szCs w:val="32"/>
        </w:rPr>
      </w:pPr>
      <w:r>
        <w:rPr>
          <w:rFonts w:hint="eastAsia" w:ascii="楷体" w:hAnsi="楷体" w:eastAsia="楷体" w:cs="楷体"/>
          <w:color w:val="000000"/>
          <w:spacing w:val="8"/>
          <w:kern w:val="0"/>
          <w:szCs w:val="32"/>
        </w:rPr>
        <w:t>（六）志愿和批次设置。</w:t>
      </w:r>
      <w:r>
        <w:rPr>
          <w:rFonts w:hint="eastAsia" w:ascii="仿宋_GB2312" w:hAnsi="Times New Roman"/>
          <w:color w:val="000000"/>
          <w:spacing w:val="8"/>
          <w:kern w:val="0"/>
          <w:szCs w:val="32"/>
        </w:rPr>
        <w:t>志愿设置顺序为“3+4”本科批、普通高中批（含综合高中）、五年制高师和三年制中职普职融通实验班批、五年制高职批（含与部分高职学院联合开展的五年制贯通培养试点班）、三年制中职技校批，共5个批次。职业学校录取第一次投档时，三年制中职招生学校可根据实际情况申请设置投档录取比例。职业学校（含技工学校）</w:t>
      </w:r>
      <w:r>
        <w:rPr>
          <w:rFonts w:hint="eastAsia" w:ascii="仿宋_GB2312" w:hAnsi="仿宋"/>
          <w:bCs/>
          <w:color w:val="000000"/>
          <w:spacing w:val="8"/>
          <w:kern w:val="0"/>
          <w:szCs w:val="32"/>
        </w:rPr>
        <w:t>在一次招生录取结束后，剩余招生计划由各招生学校自行组织生源。</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Times New Roman"/>
          <w:color w:val="000000"/>
          <w:spacing w:val="8"/>
          <w:kern w:val="0"/>
          <w:szCs w:val="32"/>
        </w:rPr>
      </w:pPr>
      <w:r>
        <w:rPr>
          <w:rFonts w:hint="eastAsia" w:ascii="仿宋_GB2312" w:hAnsi="仿宋"/>
          <w:bCs/>
          <w:color w:val="000000"/>
          <w:spacing w:val="8"/>
          <w:kern w:val="0"/>
          <w:szCs w:val="32"/>
        </w:rPr>
        <w:t>提前批志愿为4个平行志愿；五年制高师和普职融通批志愿为2个平行志愿；五年制高职批志愿为3个平行志愿；中职技校批志愿为1个志愿；职业学校每个志愿填报1所学校1个专业。所有批次不设“专业服从调剂”和“学校服从调剂”志愿。</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Times New Roman"/>
          <w:color w:val="000000"/>
          <w:spacing w:val="8"/>
          <w:kern w:val="0"/>
          <w:szCs w:val="32"/>
        </w:rPr>
      </w:pPr>
      <w:r>
        <w:rPr>
          <w:rFonts w:hint="eastAsia" w:ascii="楷体" w:hAnsi="楷体" w:eastAsia="楷体" w:cs="楷体"/>
          <w:color w:val="000000"/>
          <w:spacing w:val="8"/>
          <w:kern w:val="0"/>
          <w:szCs w:val="32"/>
        </w:rPr>
        <w:t>（七）职业学校录取办法。</w:t>
      </w:r>
      <w:r>
        <w:rPr>
          <w:rFonts w:hint="eastAsia" w:ascii="仿宋_GB2312" w:hAnsi="Times New Roman"/>
          <w:color w:val="000000"/>
          <w:spacing w:val="8"/>
          <w:kern w:val="0"/>
          <w:szCs w:val="32"/>
        </w:rPr>
        <w:t>职业学校录取投档分数包括语文、数学、英语3科总分和政策性加分。中等职业学校录取统招生时，将按照录取投档分数从高到低顺序择优录取。录取投档分数相同的考生，依次按语文数学总成绩、语文或数学单科最高成绩、英语（含口语和听力）单科成绩由高到低排序。其中，报考初中起点高等师范教育应为当年参加初中学业水平考试的考生</w:t>
      </w:r>
      <w:r>
        <w:rPr>
          <w:rFonts w:hint="eastAsia" w:ascii="仿宋_GB2312" w:hAnsi="Times New Roman"/>
          <w:color w:val="000000"/>
          <w:spacing w:val="8"/>
          <w:kern w:val="0"/>
          <w:szCs w:val="32"/>
          <w:lang w:eastAsia="zh-CN"/>
        </w:rPr>
        <w:t>，</w:t>
      </w:r>
      <w:r>
        <w:rPr>
          <w:rFonts w:hint="eastAsia" w:ascii="仿宋_GB2312" w:hAnsi="Times New Roman"/>
          <w:color w:val="000000"/>
          <w:spacing w:val="8"/>
          <w:kern w:val="0"/>
          <w:szCs w:val="32"/>
        </w:rPr>
        <w:t>成绩原则上达到初中学业水平考试满分分值的60%，考虑试题难易因素，录取分数线可适当浮动，但浮动比例一般不超过10%。师范类专业学生录取前必须通过面试（面试方式及时间安排详见各学校招生简章）,主要考察普通话、表达能力，并进行心理测试，确定学生具有从事教师职业所需的基本素质和发展潜能，面试工作由招生学校进行。其他需要面试或加试的学校或专业，考生应按学校招生简章要求参加面试或加试，并取得合格证。</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Times New Roman" w:cs="仿宋_GB2312"/>
          <w:color w:val="000000"/>
          <w:spacing w:val="8"/>
          <w:kern w:val="0"/>
          <w:szCs w:val="32"/>
        </w:rPr>
      </w:pPr>
      <w:r>
        <w:rPr>
          <w:rFonts w:hint="eastAsia" w:ascii="楷体" w:hAnsi="楷体" w:eastAsia="楷体" w:cs="楷体"/>
          <w:color w:val="000000"/>
          <w:spacing w:val="8"/>
          <w:kern w:val="0"/>
          <w:szCs w:val="32"/>
        </w:rPr>
        <w:t>（八）不允许职业学校退档和改录。</w:t>
      </w:r>
      <w:r>
        <w:rPr>
          <w:rFonts w:hint="eastAsia" w:ascii="仿宋_GB2312" w:hAnsi="Times New Roman" w:cs="仿宋_GB2312"/>
          <w:color w:val="000000"/>
          <w:spacing w:val="8"/>
          <w:kern w:val="0"/>
          <w:szCs w:val="32"/>
        </w:rPr>
        <w:t>继续执行职业学校不退档不改录相关政策。继续通过扩大宣传、在招生平台上增加报名告知、公示相关收费政策等方式，扩大知晓度，保障报考学生的权益，规范职业学校招生秩序。允许学生在进行分数带志愿填报时调整报考职业学校志愿。</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72" w:firstLineChars="200"/>
        <w:textAlignment w:val="baseline"/>
        <w:rPr>
          <w:rFonts w:ascii="黑体" w:hAnsi="黑体" w:eastAsia="黑体" w:cs="黑体"/>
          <w:bCs/>
          <w:spacing w:val="8"/>
          <w:kern w:val="0"/>
          <w:szCs w:val="32"/>
        </w:rPr>
      </w:pPr>
      <w:r>
        <w:rPr>
          <w:rFonts w:hint="eastAsia" w:ascii="黑体" w:hAnsi="黑体" w:eastAsia="黑体" w:cs="黑体"/>
          <w:bCs/>
          <w:spacing w:val="8"/>
          <w:kern w:val="0"/>
          <w:szCs w:val="32"/>
        </w:rPr>
        <w:t>四、职业学校招生办法及录取工作程序安排</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72" w:firstLineChars="200"/>
        <w:rPr>
          <w:rFonts w:ascii="楷体_GB2312" w:hAnsi="Times New Roman" w:eastAsia="楷体_GB2312"/>
          <w:color w:val="000000"/>
          <w:spacing w:val="8"/>
          <w:kern w:val="0"/>
          <w:szCs w:val="32"/>
        </w:rPr>
      </w:pPr>
      <w:r>
        <w:rPr>
          <w:rFonts w:hint="eastAsia" w:ascii="楷体_GB2312" w:hAnsi="Times New Roman" w:eastAsia="楷体_GB2312"/>
          <w:color w:val="000000"/>
          <w:spacing w:val="8"/>
          <w:kern w:val="0"/>
          <w:szCs w:val="32"/>
        </w:rPr>
        <w:t>（一）职业学校招生办法</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72" w:firstLineChars="200"/>
        <w:textAlignment w:val="baseline"/>
        <w:rPr>
          <w:rFonts w:ascii="仿宋_GB2312" w:hAnsi="仿宋_GB2312" w:cs="仿宋_GB2312"/>
          <w:color w:val="000000"/>
          <w:spacing w:val="8"/>
          <w:kern w:val="0"/>
          <w:szCs w:val="32"/>
        </w:rPr>
      </w:pPr>
      <w:r>
        <w:rPr>
          <w:rFonts w:hint="eastAsia" w:ascii="仿宋_GB2312" w:hAnsi="仿宋_GB2312" w:cs="仿宋_GB2312"/>
          <w:color w:val="000000"/>
          <w:spacing w:val="8"/>
          <w:kern w:val="0"/>
          <w:szCs w:val="32"/>
        </w:rPr>
        <w:t>1.职业学校招生实行分级管理。“3+4”本科、五年制高师、五年制高职招生由市招考院投档并审核预录取，省教育招生考试院批准录取；中职技校招生由市招考院批准录取。</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仿宋_GB2312" w:cs="仿宋_GB2312"/>
          <w:color w:val="000000"/>
          <w:spacing w:val="8"/>
          <w:kern w:val="0"/>
          <w:szCs w:val="32"/>
        </w:rPr>
      </w:pPr>
      <w:r>
        <w:rPr>
          <w:rFonts w:hint="eastAsia" w:ascii="仿宋_GB2312" w:hAnsi="仿宋_GB2312" w:cs="仿宋_GB2312"/>
          <w:color w:val="000000"/>
          <w:spacing w:val="8"/>
          <w:kern w:val="0"/>
          <w:szCs w:val="32"/>
        </w:rPr>
        <w:t>2.职业学校招生实行市级统筹，报考职业学校的考生，符合普通高中报考条件的，可以同时兼报面向本区市招生的普通高中。</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仿宋_GB2312" w:cs="仿宋_GB2312"/>
          <w:color w:val="000000"/>
          <w:spacing w:val="8"/>
          <w:kern w:val="0"/>
          <w:szCs w:val="32"/>
        </w:rPr>
      </w:pPr>
      <w:r>
        <w:rPr>
          <w:rFonts w:hint="eastAsia" w:ascii="仿宋_GB2312" w:hAnsi="仿宋_GB2312" w:cs="仿宋_GB2312"/>
          <w:color w:val="000000"/>
          <w:spacing w:val="8"/>
          <w:kern w:val="0"/>
          <w:szCs w:val="32"/>
        </w:rPr>
        <w:t>3.我市“3+4”本科作为提前批录取，被“3+4”本科录取的考生不再参加其它学校(含公办普通高中、综合高中、民办高中和各类职业学校)录取。</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仿宋_GB2312" w:cs="仿宋_GB2312"/>
          <w:color w:val="000000"/>
          <w:spacing w:val="8"/>
          <w:kern w:val="0"/>
          <w:szCs w:val="32"/>
        </w:rPr>
      </w:pPr>
      <w:r>
        <w:rPr>
          <w:rFonts w:hint="eastAsia" w:ascii="仿宋_GB2312" w:hAnsi="仿宋_GB2312" w:cs="仿宋_GB2312"/>
          <w:color w:val="000000"/>
          <w:spacing w:val="8"/>
          <w:kern w:val="0"/>
          <w:szCs w:val="32"/>
        </w:rPr>
        <w:t>4.我市三年制中等职业教育（普职融通实验班除外）和技工学校可以注册录取的方式招收外地生源，由招生学校负责办理录取手续。</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仿宋_GB2312" w:cs="仿宋_GB2312"/>
          <w:color w:val="000000"/>
          <w:spacing w:val="8"/>
          <w:kern w:val="0"/>
          <w:szCs w:val="32"/>
        </w:rPr>
      </w:pPr>
      <w:r>
        <w:rPr>
          <w:rFonts w:hint="eastAsia" w:ascii="仿宋_GB2312" w:hAnsi="仿宋_GB2312" w:cs="仿宋_GB2312"/>
          <w:color w:val="000000"/>
          <w:spacing w:val="8"/>
          <w:kern w:val="0"/>
          <w:szCs w:val="32"/>
        </w:rPr>
        <w:t>中职注册录取直接到招生学校报名。报名时，须持初、高中毕（结）业证书或义务教育证书、身份证（或户口簿）。注册录取须控制在各校招生计划总量内。</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仿宋_GB2312" w:cs="仿宋_GB2312"/>
          <w:color w:val="000000"/>
          <w:spacing w:val="8"/>
          <w:kern w:val="0"/>
          <w:szCs w:val="32"/>
        </w:rPr>
      </w:pPr>
      <w:r>
        <w:rPr>
          <w:rFonts w:hint="eastAsia" w:ascii="仿宋_GB2312" w:hAnsi="仿宋_GB2312" w:cs="仿宋_GB2312"/>
          <w:color w:val="000000"/>
          <w:spacing w:val="8"/>
          <w:kern w:val="0"/>
          <w:szCs w:val="32"/>
        </w:rPr>
        <w:t>5.职业学校招生中有面试要求的专业，须经市教育局批准，并须在招生平台申报招生计划时，注明“须面试合格”字样，录取投档时将关联面试合格名单数据库投档，未参加招生学校面试或面试不合格的考生将无法投档。</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仿宋_GB2312" w:cs="仿宋_GB2312"/>
          <w:color w:val="000000"/>
          <w:spacing w:val="8"/>
          <w:kern w:val="0"/>
          <w:szCs w:val="32"/>
        </w:rPr>
      </w:pPr>
      <w:r>
        <w:rPr>
          <w:rFonts w:hint="eastAsia" w:ascii="仿宋_GB2312" w:hAnsi="仿宋_GB2312" w:cs="仿宋_GB2312"/>
          <w:color w:val="000000"/>
          <w:spacing w:val="8"/>
          <w:kern w:val="0"/>
          <w:szCs w:val="32"/>
        </w:rPr>
        <w:t>有面试要求的招生学校，须在4月28日（周三）前将《2022年青岛市职业学校面试安排表》（附件6）纸质和电子版报市招考院中招处。5月16日（星期一）至22日（星期日）各校须完成面试工作，5月23日（星期一）将面试合格考生分专业录入“青岛市初中学业水平考试（高中阶段学校招生）管理平台”，同时将打印盖章的合格考生名单报市招考院中招处备案，面试考生合格名单内容包括：学校代号、专业代号、专业名称、学籍号、姓名、性别、身份证号、初中毕业学校、合格证编号（其中学校代号、专业代号、专业名称以市招考院公布的招生计划为准）。同一招生学校有多个面试专业的，须分专业分别上报。</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仿宋_GB2312" w:cs="仿宋_GB2312"/>
          <w:color w:val="000000"/>
          <w:spacing w:val="8"/>
          <w:kern w:val="0"/>
          <w:szCs w:val="32"/>
        </w:rPr>
      </w:pPr>
      <w:r>
        <w:rPr>
          <w:rFonts w:hint="eastAsia" w:ascii="仿宋_GB2312" w:hAnsi="仿宋_GB2312" w:cs="仿宋_GB2312"/>
          <w:color w:val="000000"/>
          <w:spacing w:val="8"/>
          <w:kern w:val="0"/>
          <w:szCs w:val="32"/>
        </w:rPr>
        <w:t>各职业学校务必严格按规定时间和格式上报面试合格名单并在平台录入面试合格信息，若因此造成的录取投档问题，由招生学校负责。</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72" w:firstLineChars="200"/>
        <w:textAlignment w:val="baseline"/>
        <w:rPr>
          <w:rFonts w:ascii="仿宋_GB2312" w:hAnsi="仿宋"/>
          <w:bCs/>
          <w:color w:val="000000"/>
          <w:spacing w:val="8"/>
          <w:kern w:val="0"/>
          <w:szCs w:val="32"/>
        </w:rPr>
      </w:pPr>
      <w:r>
        <w:rPr>
          <w:rFonts w:hint="eastAsia" w:ascii="楷体_GB2312" w:hAnsi="Times New Roman" w:eastAsia="楷体_GB2312"/>
          <w:color w:val="000000"/>
          <w:spacing w:val="8"/>
          <w:kern w:val="0"/>
          <w:szCs w:val="32"/>
        </w:rPr>
        <w:t>（二）职业学校录取工作程序安排</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录取结果和投档满额学校名单等信息在“青岛市初中学业水平考试（高中阶段学校招生）管理平台”（登录青岛教育政务网，网址：http://edu.qingdao.gov.cn，通过“招生考试”栏目中的“便民服务系统”进入）统一发布，考生应在录取结束后及时查询录取去向，按时到招生学校报到。</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录取工作分2个阶段进行（见附件7）：</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1.第一阶段：完成提前批（“3+4”本科）、五年制高师和普职融通批、五年制高职批、三年制中职技校批投档。</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四区（指市南区、市北区、李沧区、崂山区）和高新区</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网上填报分数带志愿时，全市未被录取的考生可以同时调整已填报的“五年制高师和普职融通批”、“五年制高职批”、“三年制中职技校批”志愿。</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根据《青岛市教育局关于做好2022年全市中等职业学校招生工作的通知》（青教通字〔2022〕48号）文件要求，不允许职业学校退档和改录。</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第一阶段录取结束并公布录取结果后，考生自行登录平台查询第一阶段投档结果，并按规定时间到招生学校报到。有缺额计划且需要面试的职业学校组织第二次面试，报考考生在规定时间内到招生学校参加面试。各职业学校在平台完成第一阶段投档考生报到信息确认工作，并在省计划管理平台完成计划调整工作。</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2.第二阶段：职业学校第一阶段录取结束后，有缺额计划的招生学校自主组织生源。未投档考生可参考市招考院公布的职业学校第一阶段投档满额学校名单，到未满额的招生学校报名参加缺额补录。各招生学校根据生源组织情况，按照市招考院要求在录取平台提报缺额补录录取信息。</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在规定时间内，驻青招生学校通过中考平台办理录取手续（含注册录取）。</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中职部分的录取，市招考院集中审核后，确定录取名单，直接办结录取手续；“3+4”本科、五年制高师、五年制高职部分由省考试院负责审核及打印录取新生花名册。8月4日后，不再接受新办理录取手续的申请。相关职业招生学校须按省考试院要求规定的时间完成网上招生计划调整。</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000000"/>
          <w:szCs w:val="32"/>
        </w:rPr>
      </w:pPr>
      <w:r>
        <w:rPr>
          <w:rFonts w:hint="eastAsia" w:ascii="仿宋_GB2312" w:hAnsi="仿宋"/>
          <w:color w:val="000000"/>
          <w:szCs w:val="32"/>
        </w:rPr>
        <w:t>3.市招考院和有关职业学校，按照省教育招生考试院相关文件要求，办结录取表盖章手续。</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黑体" w:hAnsi="宋体" w:eastAsia="黑体"/>
          <w:color w:val="000000"/>
          <w:szCs w:val="32"/>
        </w:rPr>
      </w:pPr>
      <w:r>
        <w:rPr>
          <w:rFonts w:hint="eastAsia" w:ascii="黑体" w:hAnsi="宋体" w:eastAsia="黑体"/>
          <w:color w:val="000000"/>
          <w:szCs w:val="32"/>
        </w:rPr>
        <w:t>五、有关要求</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楷体" w:hAnsi="楷体" w:eastAsia="楷体"/>
          <w:color w:val="000000"/>
          <w:szCs w:val="32"/>
        </w:rPr>
      </w:pPr>
      <w:r>
        <w:rPr>
          <w:rFonts w:hint="eastAsia" w:ascii="楷体" w:hAnsi="楷体" w:eastAsia="楷体"/>
          <w:color w:val="000000"/>
          <w:szCs w:val="32"/>
        </w:rPr>
        <w:t>（一）</w:t>
      </w:r>
      <w:r>
        <w:rPr>
          <w:rFonts w:hint="eastAsia" w:ascii="楷体" w:hAnsi="楷体" w:eastAsia="楷体" w:cs="微软雅黑"/>
          <w:color w:val="000000"/>
          <w:szCs w:val="32"/>
        </w:rPr>
        <w:t>适当提</w:t>
      </w:r>
      <w:r>
        <w:rPr>
          <w:rFonts w:hint="eastAsia" w:ascii="楷体" w:hAnsi="楷体" w:eastAsia="楷体" w:cs="___WRD_EMBED_SUB_44"/>
          <w:color w:val="000000"/>
          <w:szCs w:val="32"/>
        </w:rPr>
        <w:t>高</w:t>
      </w:r>
      <w:r>
        <w:rPr>
          <w:rFonts w:hint="eastAsia" w:ascii="楷体" w:hAnsi="楷体" w:eastAsia="楷体" w:cs="微软雅黑"/>
          <w:color w:val="000000"/>
          <w:szCs w:val="32"/>
        </w:rPr>
        <w:t>我区</w:t>
      </w:r>
      <w:r>
        <w:rPr>
          <w:rFonts w:hint="eastAsia" w:ascii="楷体" w:hAnsi="楷体" w:eastAsia="楷体"/>
          <w:color w:val="000000"/>
          <w:szCs w:val="32"/>
        </w:rPr>
        <w:t>职业学校招</w:t>
      </w:r>
      <w:r>
        <w:rPr>
          <w:rFonts w:hint="eastAsia" w:ascii="楷体" w:hAnsi="楷体" w:eastAsia="楷体" w:cs="微软雅黑"/>
          <w:color w:val="000000"/>
          <w:szCs w:val="32"/>
        </w:rPr>
        <w:t>收外地</w:t>
      </w:r>
      <w:r>
        <w:rPr>
          <w:rFonts w:hint="eastAsia" w:ascii="楷体" w:hAnsi="楷体" w:eastAsia="楷体"/>
          <w:color w:val="000000"/>
          <w:szCs w:val="32"/>
        </w:rPr>
        <w:t>生</w:t>
      </w:r>
      <w:r>
        <w:rPr>
          <w:rFonts w:hint="eastAsia" w:ascii="楷体" w:hAnsi="楷体" w:eastAsia="楷体" w:cs="微软雅黑"/>
          <w:color w:val="000000"/>
          <w:szCs w:val="32"/>
        </w:rPr>
        <w:t>源的数量</w:t>
      </w:r>
      <w:r>
        <w:rPr>
          <w:rFonts w:hint="eastAsia" w:ascii="楷体" w:hAnsi="楷体" w:eastAsia="楷体"/>
          <w:color w:val="000000"/>
          <w:szCs w:val="32"/>
        </w:rPr>
        <w:t>和</w:t>
      </w:r>
      <w:r>
        <w:rPr>
          <w:rFonts w:hint="eastAsia" w:ascii="楷体" w:hAnsi="楷体" w:eastAsia="楷体" w:cs="微软雅黑"/>
          <w:color w:val="000000"/>
          <w:szCs w:val="32"/>
        </w:rPr>
        <w:t>比例</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40" w:firstLineChars="200"/>
        <w:rPr>
          <w:rFonts w:hint="eastAsia" w:ascii="仿宋_GB2312" w:hAnsi="仿宋"/>
          <w:color w:val="auto"/>
          <w:szCs w:val="32"/>
        </w:rPr>
      </w:pPr>
      <w:r>
        <w:rPr>
          <w:rFonts w:hint="eastAsia" w:ascii="仿宋_GB2312" w:hAnsi="仿宋"/>
          <w:color w:val="auto"/>
          <w:szCs w:val="32"/>
        </w:rPr>
        <w:t>在满足办学条件和教学质量</w:t>
      </w:r>
      <w:r>
        <w:rPr>
          <w:rFonts w:hint="eastAsia" w:ascii="仿宋_GB2312" w:hAnsi="仿宋"/>
          <w:color w:val="auto"/>
          <w:szCs w:val="32"/>
          <w:lang w:eastAsia="zh-CN"/>
        </w:rPr>
        <w:t>、</w:t>
      </w:r>
      <w:r>
        <w:rPr>
          <w:rFonts w:hint="eastAsia" w:ascii="仿宋_GB2312" w:hAnsi="仿宋"/>
          <w:color w:val="auto"/>
          <w:szCs w:val="32"/>
        </w:rPr>
        <w:t>完成招生计划的前提下，经申请</w:t>
      </w:r>
      <w:r>
        <w:rPr>
          <w:rFonts w:hint="eastAsia" w:ascii="仿宋_GB2312" w:hAnsi="仿宋"/>
          <w:color w:val="auto"/>
          <w:szCs w:val="32"/>
          <w:lang w:eastAsia="zh-CN"/>
        </w:rPr>
        <w:t>，</w:t>
      </w:r>
      <w:r>
        <w:rPr>
          <w:rFonts w:hint="eastAsia" w:ascii="仿宋_GB2312" w:hAnsi="仿宋"/>
          <w:color w:val="auto"/>
          <w:szCs w:val="32"/>
        </w:rPr>
        <w:t>新区各职业学校可增加外地生源招生计划。要积极贯彻落实国家关于“积极招收初高中毕业未升学学生、退役军人、退役运动员、下岗职工、返乡农民工等接受中等职业教育”的要求，扩大招收城乡劳动者数量，使有意愿接受中等职业教育的城乡劳动者能够接受优质中职教育。</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color w:val="FF0000"/>
          <w:szCs w:val="32"/>
        </w:rPr>
      </w:pPr>
      <w:r>
        <w:rPr>
          <w:rFonts w:hint="eastAsia" w:ascii="仿宋_GB2312" w:hAnsi="仿宋"/>
          <w:color w:val="auto"/>
          <w:szCs w:val="32"/>
        </w:rPr>
        <w:t>积极开展东西部联合招生、合作办学，适当提高我区职业教育招收外地生源的数量和比例。鼓励各中等职业学校面向陇南、定西、菏泽安排专项招生计划，确定培养方式，做好接收对口帮扶市建档立卡贫困家庭“两后生”的中等职业教育工作。</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楷体" w:hAnsi="楷体" w:eastAsia="楷体" w:cs="微软雅黑"/>
          <w:color w:val="000000"/>
          <w:szCs w:val="32"/>
        </w:rPr>
      </w:pPr>
      <w:r>
        <w:rPr>
          <w:rFonts w:hint="eastAsia" w:ascii="楷体" w:hAnsi="楷体" w:eastAsia="楷体" w:cs="微软雅黑"/>
          <w:color w:val="000000"/>
          <w:szCs w:val="32"/>
        </w:rPr>
        <w:t>（二）加强宣传引导，切实做好招生服务工作</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40" w:firstLineChars="200"/>
        <w:rPr>
          <w:rFonts w:hint="eastAsia" w:ascii="仿宋_GB2312" w:hAnsi="仿宋" w:eastAsia="仿宋_GB2312"/>
          <w:color w:val="auto"/>
          <w:szCs w:val="32"/>
          <w:lang w:eastAsia="zh-CN"/>
        </w:rPr>
      </w:pPr>
      <w:r>
        <w:rPr>
          <w:rFonts w:hint="eastAsia" w:ascii="仿宋_GB2312" w:hAnsi="仿宋"/>
          <w:color w:val="auto"/>
          <w:szCs w:val="32"/>
        </w:rPr>
        <w:t>各初中学校、中等职业学校要加大对外宣传力度,在各自门户网站上及时</w:t>
      </w:r>
      <w:r>
        <w:rPr>
          <w:rFonts w:hint="eastAsia" w:ascii="仿宋_GB2312" w:hAnsi="仿宋"/>
          <w:color w:val="auto"/>
          <w:szCs w:val="32"/>
          <w:lang w:val="en-US" w:eastAsia="zh-CN"/>
        </w:rPr>
        <w:t>公示</w:t>
      </w:r>
      <w:r>
        <w:rPr>
          <w:rFonts w:hint="eastAsia" w:ascii="仿宋_GB2312" w:hAnsi="仿宋"/>
          <w:color w:val="auto"/>
          <w:szCs w:val="32"/>
        </w:rPr>
        <w:t>本年度普通高中、职业学校招生政策、招生计划</w:t>
      </w:r>
      <w:r>
        <w:rPr>
          <w:rFonts w:hint="eastAsia" w:ascii="仿宋_GB2312" w:hAnsi="仿宋"/>
          <w:color w:val="auto"/>
          <w:szCs w:val="32"/>
          <w:lang w:val="en-US" w:eastAsia="zh-CN"/>
        </w:rPr>
        <w:t>等</w:t>
      </w:r>
      <w:r>
        <w:rPr>
          <w:rFonts w:hint="eastAsia" w:ascii="仿宋_GB2312" w:hAnsi="仿宋"/>
          <w:color w:val="auto"/>
          <w:szCs w:val="32"/>
        </w:rPr>
        <w:t>，进一步加强对初中毕业生的报考指导和服务工作，使所有有意向报考职业学校的学生能够及时获得相关信息</w:t>
      </w:r>
      <w:r>
        <w:rPr>
          <w:rFonts w:hint="eastAsia" w:ascii="仿宋_GB2312" w:hAnsi="仿宋"/>
          <w:color w:val="auto"/>
          <w:szCs w:val="32"/>
          <w:lang w:eastAsia="zh-CN"/>
        </w:rPr>
        <w:t>。</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40" w:firstLineChars="200"/>
        <w:rPr>
          <w:rFonts w:hint="eastAsia" w:ascii="仿宋_GB2312" w:hAnsi="仿宋"/>
          <w:color w:val="auto"/>
          <w:szCs w:val="32"/>
        </w:rPr>
      </w:pPr>
      <w:r>
        <w:rPr>
          <w:rFonts w:hint="eastAsia" w:ascii="仿宋_GB2312" w:hAnsi="仿宋"/>
          <w:color w:val="auto"/>
          <w:szCs w:val="32"/>
        </w:rPr>
        <w:t>各职业学校要继续通过</w:t>
      </w:r>
      <w:r>
        <w:rPr>
          <w:rFonts w:hint="eastAsia" w:ascii="仿宋_GB2312" w:hAnsi="仿宋"/>
          <w:color w:val="auto"/>
          <w:szCs w:val="32"/>
          <w:lang w:val="en-US" w:eastAsia="zh-CN"/>
        </w:rPr>
        <w:t>多</w:t>
      </w:r>
      <w:r>
        <w:rPr>
          <w:rFonts w:hint="eastAsia" w:ascii="仿宋_GB2312" w:hAnsi="仿宋"/>
          <w:color w:val="auto"/>
          <w:szCs w:val="32"/>
        </w:rPr>
        <w:t>种形式，重点对职教高考、普职融通实验班、“3+4”本科、综合高中实验班、五年制贯通培养、职业教育免学费、普职兼报等招生政策进行宣传，突出办学特色、职教魅力。各初中学校要进一步加强对毕业生的升学指导，引导毕业生正确填报志愿，合理规划生涯发展方向。</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40" w:firstLineChars="200"/>
        <w:rPr>
          <w:rFonts w:ascii="楷体_GB2312" w:hAnsi="宋体"/>
          <w:color w:val="000000"/>
          <w:szCs w:val="32"/>
        </w:rPr>
      </w:pPr>
      <w:r>
        <w:rPr>
          <w:rFonts w:hint="eastAsia" w:ascii="楷体" w:hAnsi="楷体" w:eastAsia="楷体"/>
          <w:color w:val="000000"/>
          <w:szCs w:val="32"/>
        </w:rPr>
        <w:t>（三）规范招生秩序，严肃招生纪律</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40" w:firstLineChars="200"/>
        <w:rPr>
          <w:rFonts w:ascii="仿宋_GB2312" w:hAnsi="仿宋"/>
          <w:color w:val="auto"/>
          <w:szCs w:val="32"/>
        </w:rPr>
      </w:pPr>
      <w:r>
        <w:rPr>
          <w:rFonts w:hint="eastAsia" w:ascii="仿宋_GB2312" w:hAnsi="仿宋"/>
          <w:szCs w:val="32"/>
        </w:rPr>
        <w:t>继续加大对职业学校特别是民办职业学校的监管力度，2022年新区10所职业学校招生简章经业务科室审核后，统一发放给</w:t>
      </w:r>
      <w:r>
        <w:rPr>
          <w:rFonts w:hint="eastAsia" w:ascii="仿宋_GB2312" w:hAnsi="仿宋"/>
          <w:color w:val="auto"/>
          <w:szCs w:val="32"/>
        </w:rPr>
        <w:t>各初中学校宣传，在</w:t>
      </w:r>
      <w:r>
        <w:rPr>
          <w:rFonts w:hint="eastAsia" w:ascii="仿宋_GB2312" w:hAnsi="仿宋"/>
          <w:color w:val="auto"/>
          <w:szCs w:val="32"/>
          <w:lang w:val="en-US" w:eastAsia="zh-CN"/>
        </w:rPr>
        <w:t>政务</w:t>
      </w:r>
      <w:r>
        <w:rPr>
          <w:rFonts w:hint="eastAsia" w:ascii="仿宋_GB2312" w:hAnsi="仿宋"/>
          <w:color w:val="auto"/>
          <w:szCs w:val="32"/>
        </w:rPr>
        <w:t>网站公示，方便学生</w:t>
      </w:r>
      <w:r>
        <w:rPr>
          <w:rFonts w:hint="eastAsia" w:ascii="仿宋_GB2312" w:hAnsi="仿宋"/>
          <w:color w:val="auto"/>
          <w:szCs w:val="32"/>
          <w:lang w:eastAsia="zh-CN"/>
        </w:rPr>
        <w:t>、</w:t>
      </w:r>
      <w:r>
        <w:rPr>
          <w:rFonts w:hint="eastAsia" w:ascii="仿宋_GB2312" w:hAnsi="仿宋"/>
          <w:color w:val="auto"/>
          <w:szCs w:val="32"/>
        </w:rPr>
        <w:t>家长和社会各界查询</w:t>
      </w:r>
      <w:r>
        <w:rPr>
          <w:rFonts w:hint="eastAsia" w:ascii="仿宋_GB2312" w:hAnsi="仿宋"/>
          <w:color w:val="auto"/>
          <w:szCs w:val="32"/>
          <w:lang w:eastAsia="zh-CN"/>
        </w:rPr>
        <w:t>、</w:t>
      </w:r>
      <w:r>
        <w:rPr>
          <w:rFonts w:hint="eastAsia" w:ascii="仿宋_GB2312" w:hAnsi="仿宋"/>
          <w:color w:val="auto"/>
          <w:szCs w:val="32"/>
        </w:rPr>
        <w:t>监督。各职业学校要严格执行市局批复公布的招生计划，不得擅自突破。未经批准，突破招生计划的，超计划部分不予注册学籍。</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szCs w:val="32"/>
        </w:rPr>
      </w:pPr>
      <w:r>
        <w:rPr>
          <w:rFonts w:hint="eastAsia" w:ascii="仿宋_GB2312" w:hAnsi="仿宋"/>
          <w:color w:val="auto"/>
          <w:szCs w:val="32"/>
          <w:lang w:val="en-US" w:eastAsia="zh-CN"/>
        </w:rPr>
        <w:t>各职业学校</w:t>
      </w:r>
      <w:r>
        <w:rPr>
          <w:rFonts w:hint="eastAsia" w:ascii="仿宋_GB2312" w:hAnsi="仿宋"/>
          <w:color w:val="auto"/>
          <w:szCs w:val="32"/>
        </w:rPr>
        <w:t>学校</w:t>
      </w:r>
      <w:r>
        <w:rPr>
          <w:rFonts w:hint="eastAsia" w:ascii="仿宋_GB2312" w:hAnsi="仿宋"/>
          <w:color w:val="auto"/>
          <w:szCs w:val="32"/>
          <w:lang w:val="en-US" w:eastAsia="zh-CN"/>
        </w:rPr>
        <w:t>必须</w:t>
      </w:r>
      <w:r>
        <w:rPr>
          <w:rFonts w:hint="eastAsia" w:ascii="仿宋_GB2312" w:hAnsi="仿宋"/>
          <w:color w:val="auto"/>
          <w:szCs w:val="32"/>
        </w:rPr>
        <w:t>做到“八个严禁”</w:t>
      </w:r>
      <w:r>
        <w:rPr>
          <w:rFonts w:hint="eastAsia" w:ascii="仿宋_GB2312" w:hAnsi="仿宋"/>
          <w:color w:val="auto"/>
          <w:szCs w:val="32"/>
          <w:lang w:val="en-US" w:eastAsia="zh-CN"/>
        </w:rPr>
        <w:t>：</w:t>
      </w:r>
      <w:r>
        <w:rPr>
          <w:rFonts w:hint="eastAsia" w:ascii="仿宋_GB2312" w:hAnsi="仿宋"/>
          <w:color w:val="auto"/>
          <w:szCs w:val="32"/>
        </w:rPr>
        <w:t>严禁贬低他人、</w:t>
      </w:r>
      <w:r>
        <w:rPr>
          <w:rFonts w:hint="eastAsia" w:ascii="仿宋_GB2312" w:hAnsi="仿宋"/>
          <w:szCs w:val="32"/>
        </w:rPr>
        <w:t>抬高自己、误导考生；严禁刊登虚假广告，进行虚假宣传，欺诈招生；严禁违规印发招生宣传资料；严禁采取宴请、赠送礼品、给中介费或给初中学校提供资助等不正当竞争手段招生；严禁不按规定时间、方式到初中学校进行招生宣传；严禁未经录取，采取提前收费等方式抢拉生源；严禁自行开设专业、超计划招生及虚报注册学籍</w:t>
      </w:r>
      <w:r>
        <w:rPr>
          <w:rFonts w:hint="eastAsia" w:ascii="仿宋_GB2312" w:hAnsi="仿宋"/>
          <w:color w:val="auto"/>
          <w:szCs w:val="32"/>
          <w:lang w:val="en-US" w:eastAsia="zh-CN"/>
        </w:rPr>
        <w:t>;</w:t>
      </w:r>
      <w:r>
        <w:rPr>
          <w:rFonts w:hint="eastAsia" w:ascii="仿宋_GB2312" w:hAnsi="仿宋"/>
          <w:szCs w:val="32"/>
        </w:rPr>
        <w:t>严</w:t>
      </w:r>
      <w:r>
        <w:rPr>
          <w:rFonts w:hint="eastAsia" w:ascii="仿宋_GB2312" w:hAnsi="仿宋"/>
          <w:color w:val="auto"/>
          <w:szCs w:val="32"/>
        </w:rPr>
        <w:t>禁</w:t>
      </w:r>
      <w:r>
        <w:rPr>
          <w:rFonts w:hint="eastAsia" w:ascii="仿宋_GB2312" w:hAnsi="仿宋"/>
          <w:color w:val="auto"/>
          <w:szCs w:val="32"/>
          <w:lang w:val="en-US" w:eastAsia="zh-CN"/>
        </w:rPr>
        <w:t>违反</w:t>
      </w:r>
      <w:r>
        <w:rPr>
          <w:rFonts w:hint="eastAsia" w:ascii="仿宋_GB2312" w:hAnsi="仿宋"/>
          <w:color w:val="auto"/>
          <w:szCs w:val="32"/>
        </w:rPr>
        <w:t>疫情防控</w:t>
      </w:r>
      <w:r>
        <w:rPr>
          <w:rFonts w:hint="eastAsia" w:ascii="仿宋_GB2312" w:hAnsi="仿宋"/>
          <w:color w:val="auto"/>
          <w:szCs w:val="32"/>
          <w:lang w:val="en-US" w:eastAsia="zh-CN"/>
        </w:rPr>
        <w:t>相关</w:t>
      </w:r>
      <w:r>
        <w:rPr>
          <w:rFonts w:hint="eastAsia" w:ascii="仿宋_GB2312" w:hAnsi="仿宋"/>
          <w:color w:val="auto"/>
          <w:szCs w:val="32"/>
        </w:rPr>
        <w:t>规定</w:t>
      </w:r>
      <w:r>
        <w:rPr>
          <w:rFonts w:hint="eastAsia" w:ascii="仿宋_GB2312" w:hAnsi="仿宋"/>
          <w:szCs w:val="32"/>
        </w:rPr>
        <w:t>进出校园及有关场所进行宣传。</w:t>
      </w:r>
    </w:p>
    <w:p>
      <w:pPr>
        <w:keepNext w:val="0"/>
        <w:keepLines w:val="0"/>
        <w:pageBreakBefore w:val="0"/>
        <w:widowControl w:val="0"/>
        <w:kinsoku/>
        <w:wordWrap/>
        <w:overflowPunct/>
        <w:topLinePunct w:val="0"/>
        <w:autoSpaceDE/>
        <w:autoSpaceDN/>
        <w:bidi w:val="0"/>
        <w:spacing w:line="560" w:lineRule="exact"/>
        <w:ind w:left="0" w:leftChars="0" w:right="0" w:firstLine="640" w:firstLineChars="200"/>
        <w:rPr>
          <w:rFonts w:ascii="仿宋_GB2312" w:hAnsi="仿宋"/>
          <w:szCs w:val="32"/>
        </w:rPr>
      </w:pPr>
      <w:r>
        <w:rPr>
          <w:rFonts w:hint="eastAsia" w:ascii="仿宋_GB2312" w:hAnsi="仿宋"/>
          <w:szCs w:val="32"/>
        </w:rPr>
        <w:t>各初中学校必须做到“四个严禁”。要面向全体学生进行中职招生宣传，严禁各初中学校及个人违规接纳、安排区教体局集中组织外的各种招生宣传活动和招生资料发放；严禁违背学生意愿代替或强制学生填报志愿；严禁不按规定时间和统一安排，自行组织学生到招生学校报到；严禁以任何方式向招生学校索要、接受或变相索要、接受礼品、宴请、介绍费等。</w:t>
      </w:r>
    </w:p>
    <w:p>
      <w:pPr>
        <w:keepNext w:val="0"/>
        <w:keepLines w:val="0"/>
        <w:pageBreakBefore w:val="0"/>
        <w:widowControl w:val="0"/>
        <w:kinsoku/>
        <w:wordWrap/>
        <w:overflowPunct/>
        <w:topLinePunct w:val="0"/>
        <w:autoSpaceDE/>
        <w:autoSpaceDN/>
        <w:bidi w:val="0"/>
        <w:adjustRightInd w:val="0"/>
        <w:spacing w:line="560" w:lineRule="exact"/>
        <w:ind w:left="0" w:leftChars="0" w:right="0" w:firstLine="640" w:firstLineChars="200"/>
        <w:rPr>
          <w:rFonts w:ascii="仿宋_GB2312" w:hAnsi="仿宋"/>
          <w:szCs w:val="32"/>
        </w:rPr>
      </w:pPr>
      <w:r>
        <w:rPr>
          <w:rFonts w:hint="eastAsia" w:ascii="仿宋_GB2312" w:hAnsi="仿宋"/>
          <w:szCs w:val="32"/>
          <w:lang w:val="en-US" w:eastAsia="zh-CN"/>
        </w:rPr>
        <w:t>各学校</w:t>
      </w:r>
      <w:r>
        <w:rPr>
          <w:rFonts w:hint="eastAsia" w:ascii="仿宋_GB2312" w:hAnsi="仿宋"/>
          <w:szCs w:val="32"/>
        </w:rPr>
        <w:t>要严格执行市教育局有关规范招生秩序的规定，按照公开、公平和公正的原则开展招生工作</w:t>
      </w:r>
      <w:bookmarkStart w:id="0" w:name="_Hlk70420163"/>
      <w:r>
        <w:rPr>
          <w:rFonts w:hint="eastAsia" w:ascii="仿宋_GB2312" w:hAnsi="仿宋"/>
          <w:szCs w:val="32"/>
        </w:rPr>
        <w:t>，共同维护</w:t>
      </w:r>
      <w:r>
        <w:rPr>
          <w:rFonts w:hint="eastAsia" w:ascii="仿宋_GB2312" w:hAnsi="仿宋"/>
          <w:szCs w:val="32"/>
          <w:lang w:val="en-US" w:eastAsia="zh-CN"/>
        </w:rPr>
        <w:t>新区</w:t>
      </w:r>
      <w:r>
        <w:rPr>
          <w:rFonts w:hint="eastAsia" w:ascii="仿宋_GB2312" w:hAnsi="仿宋"/>
          <w:szCs w:val="32"/>
        </w:rPr>
        <w:t>职业教育发展环境。</w:t>
      </w:r>
      <w:bookmarkEnd w:id="0"/>
      <w:r>
        <w:rPr>
          <w:rFonts w:hint="eastAsia" w:ascii="仿宋_GB2312"/>
          <w:szCs w:val="32"/>
        </w:rPr>
        <w:t>对违反职业教育招生不退档不改录的学校，核减下一年度招生计划。</w:t>
      </w:r>
    </w:p>
    <w:p>
      <w:pPr>
        <w:adjustRightInd w:val="0"/>
        <w:spacing w:line="560" w:lineRule="exact"/>
        <w:ind w:firstLine="660"/>
        <w:rPr>
          <w:rFonts w:ascii="仿宋_GB2312" w:hAnsi="仿宋"/>
          <w:szCs w:val="32"/>
        </w:rPr>
      </w:pPr>
    </w:p>
    <w:p>
      <w:pPr>
        <w:adjustRightInd w:val="0"/>
        <w:spacing w:line="560" w:lineRule="exact"/>
        <w:ind w:firstLine="660"/>
        <w:rPr>
          <w:rFonts w:ascii="仿宋_GB2312" w:hAnsi="仿宋"/>
          <w:szCs w:val="32"/>
        </w:rPr>
      </w:pPr>
      <w:r>
        <w:rPr>
          <w:rFonts w:hint="eastAsia" w:ascii="仿宋_GB2312" w:hAnsi="仿宋"/>
          <w:szCs w:val="32"/>
        </w:rPr>
        <w:t>未尽事宜，请与新区教育和体育局职教科联系，</w:t>
      </w:r>
    </w:p>
    <w:p>
      <w:pPr>
        <w:adjustRightInd w:val="0"/>
        <w:spacing w:line="560" w:lineRule="exact"/>
        <w:ind w:firstLine="660"/>
        <w:jc w:val="left"/>
        <w:rPr>
          <w:rFonts w:ascii="仿宋_GB2312" w:hAnsi="仿宋"/>
          <w:szCs w:val="32"/>
        </w:rPr>
      </w:pPr>
      <w:r>
        <w:rPr>
          <w:rFonts w:hint="eastAsia" w:ascii="仿宋_GB2312" w:hAnsi="仿宋"/>
          <w:szCs w:val="32"/>
        </w:rPr>
        <w:t>联系人：王双梅  程蕾   联系电话：86988780</w:t>
      </w:r>
    </w:p>
    <w:p>
      <w:pPr>
        <w:adjustRightInd w:val="0"/>
        <w:spacing w:line="560" w:lineRule="exact"/>
        <w:ind w:firstLine="660"/>
        <w:jc w:val="left"/>
        <w:rPr>
          <w:rFonts w:ascii="仿宋_GB2312" w:hAnsi="仿宋"/>
          <w:szCs w:val="32"/>
        </w:rPr>
      </w:pPr>
      <w:r>
        <w:rPr>
          <w:rFonts w:hint="eastAsia" w:ascii="仿宋_GB2312" w:hAnsi="仿宋"/>
          <w:szCs w:val="32"/>
        </w:rPr>
        <w:t>工作邮箱：qxxqzjb@163.com</w:t>
      </w:r>
    </w:p>
    <w:p>
      <w:pPr>
        <w:spacing w:line="560" w:lineRule="exact"/>
        <w:ind w:firstLine="624" w:firstLineChars="195"/>
        <w:rPr>
          <w:rFonts w:ascii="仿宋_GB2312" w:hAnsi="仿宋"/>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4" w:firstLineChars="195"/>
        <w:textAlignment w:val="auto"/>
        <w:rPr>
          <w:rFonts w:ascii="仿宋_GB2312" w:hAnsi="仿宋"/>
          <w:snapToGrid w:val="0"/>
          <w:kern w:val="0"/>
          <w:sz w:val="32"/>
          <w:szCs w:val="32"/>
        </w:rPr>
      </w:pPr>
      <w:r>
        <w:rPr>
          <w:rFonts w:hint="eastAsia" w:ascii="仿宋_GB2312" w:hAnsi="仿宋"/>
          <w:szCs w:val="32"/>
        </w:rPr>
        <w:t>附件：1.</w:t>
      </w:r>
      <w:r>
        <w:rPr>
          <w:rFonts w:hint="eastAsia" w:ascii="仿宋_GB2312" w:hAnsi="仿宋"/>
          <w:snapToGrid w:val="0"/>
          <w:kern w:val="0"/>
          <w:sz w:val="32"/>
          <w:szCs w:val="32"/>
        </w:rPr>
        <w:t>2022年青岛西海岸新区职业学校招生计划表</w:t>
      </w:r>
    </w:p>
    <w:p>
      <w:pPr>
        <w:keepNext w:val="0"/>
        <w:keepLines w:val="0"/>
        <w:pageBreakBefore w:val="0"/>
        <w:widowControl w:val="0"/>
        <w:kinsoku/>
        <w:wordWrap/>
        <w:overflowPunct/>
        <w:topLinePunct w:val="0"/>
        <w:autoSpaceDE/>
        <w:autoSpaceDN/>
        <w:bidi w:val="0"/>
        <w:adjustRightInd/>
        <w:snapToGrid/>
        <w:spacing w:line="560" w:lineRule="exact"/>
        <w:ind w:left="2230" w:leftChars="297" w:hanging="1280" w:hangingChars="400"/>
        <w:textAlignment w:val="auto"/>
        <w:rPr>
          <w:rFonts w:ascii="仿宋_GB2312" w:hAnsi="仿宋"/>
          <w:color w:val="000000"/>
          <w:spacing w:val="-20"/>
          <w:szCs w:val="32"/>
        </w:rPr>
      </w:pPr>
      <w:r>
        <w:rPr>
          <w:rFonts w:hint="eastAsia" w:ascii="仿宋_GB2312" w:hAnsi="仿宋"/>
          <w:szCs w:val="32"/>
        </w:rPr>
        <w:t xml:space="preserve">    2.</w:t>
      </w:r>
      <w:r>
        <w:rPr>
          <w:rFonts w:hint="eastAsia" w:ascii="仿宋_GB2312" w:hAnsi="仿宋"/>
          <w:color w:val="000000"/>
          <w:spacing w:val="-20"/>
          <w:szCs w:val="32"/>
        </w:rPr>
        <w:t>2022年青岛西海岸新区联合开展“综合高中实验班”试</w:t>
      </w:r>
    </w:p>
    <w:p>
      <w:pPr>
        <w:keepNext w:val="0"/>
        <w:keepLines w:val="0"/>
        <w:pageBreakBefore w:val="0"/>
        <w:widowControl w:val="0"/>
        <w:kinsoku/>
        <w:wordWrap/>
        <w:overflowPunct/>
        <w:topLinePunct w:val="0"/>
        <w:autoSpaceDE/>
        <w:autoSpaceDN/>
        <w:bidi w:val="0"/>
        <w:adjustRightInd/>
        <w:snapToGrid/>
        <w:spacing w:line="560" w:lineRule="exact"/>
        <w:ind w:left="2114" w:leftChars="573" w:hanging="280" w:hangingChars="100"/>
        <w:textAlignment w:val="auto"/>
        <w:rPr>
          <w:rFonts w:ascii="仿宋_GB2312" w:hAnsi="仿宋"/>
          <w:color w:val="000000"/>
          <w:szCs w:val="32"/>
        </w:rPr>
      </w:pPr>
      <w:r>
        <w:rPr>
          <w:rFonts w:hint="eastAsia" w:ascii="仿宋_GB2312" w:hAnsi="仿宋"/>
          <w:color w:val="000000"/>
          <w:spacing w:val="-20"/>
          <w:szCs w:val="32"/>
        </w:rPr>
        <w:t>点学校名单</w:t>
      </w:r>
    </w:p>
    <w:p>
      <w:pPr>
        <w:keepNext w:val="0"/>
        <w:keepLines w:val="0"/>
        <w:pageBreakBefore w:val="0"/>
        <w:widowControl w:val="0"/>
        <w:kinsoku/>
        <w:wordWrap/>
        <w:overflowPunct/>
        <w:topLinePunct w:val="0"/>
        <w:autoSpaceDE/>
        <w:autoSpaceDN/>
        <w:bidi w:val="0"/>
        <w:adjustRightInd/>
        <w:snapToGrid/>
        <w:spacing w:line="560" w:lineRule="exact"/>
        <w:ind w:left="2230" w:leftChars="297" w:hanging="1280" w:hangingChars="400"/>
        <w:textAlignment w:val="auto"/>
        <w:rPr>
          <w:rFonts w:ascii="仿宋_GB2312" w:hAnsi="仿宋"/>
          <w:w w:val="95"/>
          <w:szCs w:val="32"/>
        </w:rPr>
      </w:pPr>
      <w:r>
        <w:rPr>
          <w:rFonts w:hint="eastAsia" w:ascii="仿宋_GB2312" w:hAnsi="仿宋"/>
          <w:szCs w:val="32"/>
        </w:rPr>
        <w:t xml:space="preserve">    3.</w:t>
      </w:r>
      <w:r>
        <w:rPr>
          <w:rFonts w:hint="eastAsia" w:ascii="仿宋_GB2312" w:hAnsi="仿宋"/>
          <w:spacing w:val="-20"/>
          <w:szCs w:val="32"/>
        </w:rPr>
        <w:t>2022年青岛西海岸新区中高职合作办学专业统计表</w:t>
      </w:r>
    </w:p>
    <w:p>
      <w:pPr>
        <w:keepNext w:val="0"/>
        <w:keepLines w:val="0"/>
        <w:pageBreakBefore w:val="0"/>
        <w:widowControl w:val="0"/>
        <w:kinsoku/>
        <w:wordWrap/>
        <w:overflowPunct/>
        <w:topLinePunct w:val="0"/>
        <w:autoSpaceDE/>
        <w:autoSpaceDN/>
        <w:bidi w:val="0"/>
        <w:adjustRightInd/>
        <w:snapToGrid/>
        <w:spacing w:line="560" w:lineRule="exact"/>
        <w:ind w:left="1920" w:leftChars="500" w:hanging="320" w:hangingChars="100"/>
        <w:textAlignment w:val="auto"/>
        <w:rPr>
          <w:rFonts w:ascii="仿宋_GB2312" w:hAnsi="仿宋"/>
          <w:spacing w:val="-24"/>
          <w:szCs w:val="32"/>
        </w:rPr>
      </w:pPr>
      <w:r>
        <w:rPr>
          <w:rFonts w:hint="eastAsia" w:ascii="仿宋_GB2312" w:hAnsi="仿宋"/>
          <w:szCs w:val="32"/>
        </w:rPr>
        <w:t>4.</w:t>
      </w:r>
      <w:r>
        <w:rPr>
          <w:rFonts w:hint="eastAsia" w:ascii="仿宋_GB2312" w:hAnsi="仿宋"/>
          <w:spacing w:val="-23"/>
          <w:w w:val="95"/>
          <w:sz w:val="32"/>
          <w:szCs w:val="32"/>
        </w:rPr>
        <w:t>2022年青岛西海岸新区开展“普职融通实验班”试点学校名单</w:t>
      </w:r>
    </w:p>
    <w:p>
      <w:pPr>
        <w:keepNext w:val="0"/>
        <w:keepLines w:val="0"/>
        <w:pageBreakBefore w:val="0"/>
        <w:widowControl w:val="0"/>
        <w:kinsoku/>
        <w:wordWrap/>
        <w:overflowPunct/>
        <w:topLinePunct w:val="0"/>
        <w:autoSpaceDE/>
        <w:autoSpaceDN/>
        <w:bidi w:val="0"/>
        <w:adjustRightInd/>
        <w:snapToGrid/>
        <w:spacing w:line="560" w:lineRule="exact"/>
        <w:ind w:firstLine="1632" w:firstLineChars="600"/>
        <w:textAlignment w:val="auto"/>
        <w:rPr>
          <w:rFonts w:ascii="仿宋_GB2312" w:hAnsi="仿宋"/>
          <w:spacing w:val="-24"/>
          <w:szCs w:val="32"/>
        </w:rPr>
      </w:pPr>
      <w:r>
        <w:rPr>
          <w:rFonts w:hint="eastAsia" w:ascii="仿宋_GB2312" w:hAnsi="仿宋"/>
          <w:spacing w:val="-24"/>
          <w:szCs w:val="32"/>
        </w:rPr>
        <w:t>5.2022年青岛西海岸新区中职学校三年制中职班招生计划</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
          <w:szCs w:val="32"/>
        </w:rPr>
      </w:pPr>
      <w:r>
        <w:rPr>
          <w:rFonts w:hint="eastAsia" w:ascii="仿宋_GB2312" w:hAnsi="仿宋"/>
          <w:szCs w:val="32"/>
        </w:rPr>
        <w:t>6.2022年青岛市职业学校面试安排表</w:t>
      </w:r>
    </w:p>
    <w:p>
      <w:pPr>
        <w:keepNext w:val="0"/>
        <w:keepLines w:val="0"/>
        <w:pageBreakBefore w:val="0"/>
        <w:widowControl w:val="0"/>
        <w:kinsoku/>
        <w:wordWrap/>
        <w:overflowPunct/>
        <w:topLinePunct w:val="0"/>
        <w:autoSpaceDE/>
        <w:autoSpaceDN/>
        <w:bidi w:val="0"/>
        <w:adjustRightInd/>
        <w:snapToGrid/>
        <w:spacing w:line="560" w:lineRule="exact"/>
        <w:ind w:firstLine="1632" w:firstLineChars="600"/>
        <w:textAlignment w:val="auto"/>
        <w:rPr>
          <w:rFonts w:ascii="仿宋_GB2312" w:hAnsi="仿宋"/>
          <w:szCs w:val="32"/>
        </w:rPr>
      </w:pPr>
      <w:r>
        <w:rPr>
          <w:rFonts w:hint="eastAsia" w:ascii="仿宋_GB2312" w:hAnsi="仿宋"/>
          <w:spacing w:val="-24"/>
          <w:szCs w:val="32"/>
        </w:rPr>
        <w:t>7.2022年青岛西海岸新区职业学校招生工作日程安排</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hAnsi="仿宋"/>
          <w:w w:val="95"/>
          <w:szCs w:val="32"/>
        </w:rPr>
      </w:pPr>
      <w:r>
        <w:rPr>
          <w:rFonts w:hint="eastAsia" w:ascii="仿宋_GB2312" w:hAnsi="仿宋"/>
          <w:szCs w:val="32"/>
        </w:rPr>
        <w:t>8.</w:t>
      </w:r>
      <w:r>
        <w:rPr>
          <w:rFonts w:hint="eastAsia" w:ascii="仿宋_GB2312" w:hAnsi="仿宋"/>
          <w:w w:val="95"/>
          <w:szCs w:val="32"/>
        </w:rPr>
        <w:t>2022年青岛西海岸新区职业学校招生工作领导小组</w:t>
      </w:r>
    </w:p>
    <w:p>
      <w:pPr>
        <w:keepNext w:val="0"/>
        <w:keepLines w:val="0"/>
        <w:pageBreakBefore w:val="0"/>
        <w:widowControl w:val="0"/>
        <w:kinsoku/>
        <w:wordWrap/>
        <w:overflowPunct/>
        <w:topLinePunct w:val="0"/>
        <w:autoSpaceDE/>
        <w:autoSpaceDN/>
        <w:bidi w:val="0"/>
        <w:adjustRightInd/>
        <w:snapToGrid/>
        <w:spacing w:line="560" w:lineRule="exact"/>
        <w:ind w:right="-48" w:rightChars="-15" w:firstLine="4560" w:firstLineChars="1500"/>
        <w:textAlignment w:val="auto"/>
        <w:rPr>
          <w:rFonts w:ascii="仿宋_GB2312" w:hAnsi="仿宋"/>
          <w:w w:val="95"/>
          <w:szCs w:val="32"/>
        </w:rPr>
      </w:pPr>
    </w:p>
    <w:p>
      <w:pPr>
        <w:keepNext w:val="0"/>
        <w:keepLines w:val="0"/>
        <w:pageBreakBefore w:val="0"/>
        <w:widowControl w:val="0"/>
        <w:kinsoku/>
        <w:wordWrap/>
        <w:overflowPunct/>
        <w:topLinePunct w:val="0"/>
        <w:autoSpaceDE/>
        <w:autoSpaceDN/>
        <w:bidi w:val="0"/>
        <w:adjustRightInd/>
        <w:snapToGrid/>
        <w:spacing w:line="560" w:lineRule="exact"/>
        <w:ind w:right="-48" w:rightChars="-15" w:firstLine="4560" w:firstLineChars="1500"/>
        <w:textAlignment w:val="auto"/>
        <w:rPr>
          <w:rFonts w:ascii="仿宋_GB2312" w:hAnsi="仿宋"/>
          <w:w w:val="95"/>
          <w:szCs w:val="32"/>
        </w:rPr>
      </w:pPr>
    </w:p>
    <w:p>
      <w:pPr>
        <w:keepNext w:val="0"/>
        <w:keepLines w:val="0"/>
        <w:pageBreakBefore w:val="0"/>
        <w:widowControl w:val="0"/>
        <w:kinsoku/>
        <w:wordWrap/>
        <w:overflowPunct/>
        <w:topLinePunct w:val="0"/>
        <w:autoSpaceDE/>
        <w:autoSpaceDN/>
        <w:bidi w:val="0"/>
        <w:adjustRightInd/>
        <w:snapToGrid/>
        <w:spacing w:line="560" w:lineRule="exact"/>
        <w:ind w:right="-48" w:rightChars="-15" w:firstLine="4560" w:firstLineChars="1500"/>
        <w:textAlignment w:val="auto"/>
        <w:rPr>
          <w:rFonts w:ascii="仿宋_GB2312" w:hAnsi="仿宋"/>
          <w:w w:val="95"/>
          <w:szCs w:val="32"/>
        </w:rPr>
      </w:pPr>
      <w:r>
        <w:rPr>
          <w:rFonts w:hint="eastAsia" w:ascii="仿宋_GB2312" w:hAnsi="仿宋"/>
          <w:w w:val="95"/>
          <w:szCs w:val="32"/>
        </w:rPr>
        <w:t>青岛西海岸新区教育和体育局</w:t>
      </w:r>
    </w:p>
    <w:p>
      <w:pPr>
        <w:keepNext w:val="0"/>
        <w:keepLines w:val="0"/>
        <w:pageBreakBefore w:val="0"/>
        <w:widowControl w:val="0"/>
        <w:kinsoku/>
        <w:wordWrap/>
        <w:overflowPunct/>
        <w:topLinePunct w:val="0"/>
        <w:autoSpaceDE/>
        <w:autoSpaceDN/>
        <w:bidi w:val="0"/>
        <w:adjustRightInd/>
        <w:snapToGrid/>
        <w:spacing w:line="560" w:lineRule="exact"/>
        <w:ind w:right="-48" w:rightChars="-15" w:firstLine="5386" w:firstLineChars="1772"/>
        <w:textAlignment w:val="auto"/>
        <w:rPr>
          <w:rFonts w:ascii="仿宋_GB2312" w:hAnsi="仿宋"/>
          <w:color w:val="000000"/>
          <w:w w:val="95"/>
          <w:szCs w:val="32"/>
        </w:rPr>
      </w:pPr>
      <w:r>
        <w:rPr>
          <w:rFonts w:hint="eastAsia" w:ascii="仿宋_GB2312" w:hAnsi="仿宋"/>
          <w:w w:val="95"/>
          <w:szCs w:val="32"/>
        </w:rPr>
        <w:t>2022年</w:t>
      </w:r>
      <w:r>
        <w:rPr>
          <w:rFonts w:hint="eastAsia" w:ascii="仿宋_GB2312" w:hAnsi="仿宋"/>
          <w:color w:val="000000"/>
          <w:w w:val="95"/>
          <w:szCs w:val="32"/>
        </w:rPr>
        <w:t>4月2</w:t>
      </w:r>
      <w:r>
        <w:rPr>
          <w:rFonts w:hint="eastAsia" w:ascii="仿宋_GB2312" w:hAnsi="仿宋"/>
          <w:color w:val="000000"/>
          <w:w w:val="95"/>
          <w:szCs w:val="32"/>
          <w:lang w:val="en-US" w:eastAsia="zh-CN"/>
        </w:rPr>
        <w:t>8</w:t>
      </w:r>
      <w:r>
        <w:rPr>
          <w:rFonts w:hint="eastAsia" w:ascii="仿宋_GB2312" w:hAnsi="仿宋"/>
          <w:color w:val="000000"/>
          <w:w w:val="95"/>
          <w:szCs w:val="32"/>
        </w:rPr>
        <w:t>日</w:t>
      </w:r>
    </w:p>
    <w:p>
      <w:pPr>
        <w:spacing w:line="560" w:lineRule="exact"/>
        <w:ind w:firstLine="624" w:firstLineChars="195"/>
        <w:rPr>
          <w:rFonts w:ascii="仿宋_GB2312" w:hAnsi="仿宋"/>
          <w:szCs w:val="32"/>
        </w:rPr>
        <w:sectPr>
          <w:headerReference r:id="rId5" w:type="default"/>
          <w:footerReference r:id="rId7" w:type="default"/>
          <w:headerReference r:id="rId6" w:type="even"/>
          <w:footerReference r:id="rId8" w:type="even"/>
          <w:pgSz w:w="11900" w:h="16838"/>
          <w:pgMar w:top="2098" w:right="1474" w:bottom="1984" w:left="1588" w:header="0" w:footer="1134" w:gutter="0"/>
          <w:pgNumType w:fmt="numberInDash"/>
          <w:cols w:space="0" w:num="1"/>
        </w:sectPr>
      </w:pPr>
    </w:p>
    <w:p>
      <w:pPr>
        <w:widowControl/>
        <w:jc w:val="left"/>
        <w:rPr>
          <w:rFonts w:ascii="黑体" w:hAnsi="宋体" w:eastAsia="黑体"/>
          <w:sz w:val="36"/>
          <w:szCs w:val="36"/>
        </w:rPr>
      </w:pPr>
      <w:r>
        <w:rPr>
          <w:rFonts w:hint="eastAsia" w:ascii="黑体" w:hAnsi="黑体" w:eastAsia="黑体"/>
          <w:bCs/>
          <w:szCs w:val="32"/>
        </w:rPr>
        <w:t>附件1</w:t>
      </w:r>
    </w:p>
    <w:p>
      <w:pPr>
        <w:widowControl/>
        <w:spacing w:line="560" w:lineRule="exact"/>
        <w:jc w:val="center"/>
        <w:outlineLvl w:val="1"/>
        <w:rPr>
          <w:rFonts w:ascii="方正小标宋_GBK" w:hAnsi="方正小标宋_GBK" w:eastAsia="方正小标宋_GBK" w:cs="方正小标宋_GBK"/>
          <w:color w:val="000000"/>
          <w:spacing w:val="-20"/>
          <w:kern w:val="0"/>
          <w:sz w:val="44"/>
          <w:szCs w:val="44"/>
        </w:rPr>
      </w:pPr>
      <w:bookmarkStart w:id="1" w:name="_Hlk67994565"/>
      <w:r>
        <w:rPr>
          <w:rFonts w:hint="eastAsia" w:ascii="方正小标宋_GBK" w:hAnsi="方正小标宋_GBK" w:eastAsia="方正小标宋_GBK" w:cs="方正小标宋_GBK"/>
          <w:color w:val="000000"/>
          <w:spacing w:val="-20"/>
          <w:kern w:val="0"/>
          <w:sz w:val="44"/>
          <w:szCs w:val="44"/>
        </w:rPr>
        <w:t>2022年青岛西海岸新区职业学校招生计划表</w:t>
      </w:r>
    </w:p>
    <w:bookmarkEnd w:id="1"/>
    <w:tbl>
      <w:tblPr>
        <w:tblStyle w:val="11"/>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0"/>
        <w:gridCol w:w="1457"/>
        <w:gridCol w:w="1457"/>
        <w:gridCol w:w="1459"/>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33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学校</w:t>
            </w:r>
          </w:p>
        </w:tc>
        <w:tc>
          <w:tcPr>
            <w:tcW w:w="4373" w:type="dxa"/>
            <w:gridSpan w:val="3"/>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2022年各职业学校招生计划</w:t>
            </w:r>
          </w:p>
        </w:tc>
        <w:tc>
          <w:tcPr>
            <w:tcW w:w="1297"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33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c>
          <w:tcPr>
            <w:tcW w:w="145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计划数</w:t>
            </w:r>
          </w:p>
        </w:tc>
        <w:tc>
          <w:tcPr>
            <w:tcW w:w="1457" w:type="dxa"/>
            <w:tcBorders>
              <w:top w:val="single" w:color="auto" w:sz="8" w:space="0"/>
              <w:left w:val="single" w:color="auto" w:sz="4" w:space="0"/>
              <w:bottom w:val="single" w:color="auto" w:sz="4" w:space="0"/>
              <w:right w:val="single" w:color="auto" w:sz="8" w:space="0"/>
            </w:tcBorders>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市内生源</w:t>
            </w:r>
          </w:p>
        </w:tc>
        <w:tc>
          <w:tcPr>
            <w:tcW w:w="1459" w:type="dxa"/>
            <w:tcBorders>
              <w:top w:val="single" w:color="auto" w:sz="8" w:space="0"/>
              <w:left w:val="single" w:color="auto" w:sz="8" w:space="0"/>
              <w:bottom w:val="single" w:color="auto" w:sz="4" w:space="0"/>
              <w:right w:val="single" w:color="auto" w:sz="8" w:space="0"/>
            </w:tcBorders>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市外生源</w:t>
            </w:r>
          </w:p>
        </w:tc>
        <w:tc>
          <w:tcPr>
            <w:tcW w:w="12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青西新区职业中等专业学校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1630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1440</w:t>
            </w: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190</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青西新区高级职业技术学校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650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535</w:t>
            </w:r>
          </w:p>
        </w:tc>
        <w:tc>
          <w:tcPr>
            <w:tcW w:w="1459" w:type="dxa"/>
            <w:tcBorders>
              <w:top w:val="single" w:color="auto" w:sz="4" w:space="0"/>
              <w:left w:val="single" w:color="auto" w:sz="8" w:space="0"/>
              <w:bottom w:val="single" w:color="auto" w:sz="4" w:space="0"/>
              <w:right w:val="single" w:color="auto" w:sz="8" w:space="0"/>
            </w:tcBorders>
            <w:vAlign w:val="center"/>
          </w:tcPr>
          <w:p>
            <w:pPr>
              <w:spacing w:line="300" w:lineRule="exact"/>
              <w:jc w:val="center"/>
              <w:rPr>
                <w:rFonts w:ascii="仿宋_GB2312" w:hAnsi="仿宋_GB2312" w:cs="仿宋_GB2312"/>
                <w:color w:val="000000"/>
                <w:sz w:val="24"/>
              </w:rPr>
            </w:pPr>
            <w:r>
              <w:rPr>
                <w:rFonts w:hint="eastAsia" w:ascii="仿宋_GB2312" w:hAnsi="仿宋_GB2312" w:cs="仿宋_GB2312"/>
                <w:color w:val="000000"/>
                <w:sz w:val="24"/>
              </w:rPr>
              <w:t>115</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青西新区中德应用技术学校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1090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955</w:t>
            </w: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135</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青西新区音乐学校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150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76</w:t>
            </w:r>
          </w:p>
        </w:tc>
        <w:tc>
          <w:tcPr>
            <w:tcW w:w="1459" w:type="dxa"/>
            <w:tcBorders>
              <w:top w:val="single" w:color="auto" w:sz="4" w:space="0"/>
              <w:left w:val="single" w:color="auto" w:sz="8" w:space="0"/>
              <w:bottom w:val="single" w:color="auto" w:sz="4" w:space="0"/>
              <w:right w:val="single" w:color="auto" w:sz="8" w:space="0"/>
            </w:tcBorders>
            <w:vAlign w:val="center"/>
          </w:tcPr>
          <w:p>
            <w:pPr>
              <w:spacing w:line="300" w:lineRule="exact"/>
              <w:jc w:val="center"/>
              <w:rPr>
                <w:rFonts w:ascii="仿宋_GB2312" w:hAnsi="仿宋_GB2312" w:cs="仿宋_GB2312"/>
                <w:color w:val="000000"/>
                <w:sz w:val="24"/>
              </w:rPr>
            </w:pPr>
            <w:r>
              <w:rPr>
                <w:rFonts w:hint="eastAsia" w:ascii="仿宋_GB2312" w:hAnsi="仿宋_GB2312" w:cs="仿宋_GB2312"/>
                <w:color w:val="000000"/>
                <w:sz w:val="24"/>
              </w:rPr>
              <w:t>74</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青岛黄海职业学校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1500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960</w:t>
            </w: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540</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青岛建国职业学校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800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800</w:t>
            </w: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0</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青岛航空职业技术学校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550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450</w:t>
            </w: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100</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青岛明天职业学校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300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260</w:t>
            </w: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40</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青西新区绿泽电影美术学校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500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500</w:t>
            </w: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0</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120" w:firstLineChars="50"/>
              <w:rPr>
                <w:rFonts w:ascii="仿宋_GB2312" w:hAnsi="仿宋_GB2312" w:cs="仿宋_GB2312"/>
                <w:sz w:val="24"/>
              </w:rPr>
            </w:pPr>
            <w:r>
              <w:rPr>
                <w:rFonts w:hint="eastAsia" w:ascii="仿宋_GB2312" w:hAnsi="仿宋_GB2312" w:cs="仿宋_GB2312"/>
                <w:sz w:val="24"/>
              </w:rPr>
              <w:t>青岛西海岸航海职业学校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800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600</w:t>
            </w: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200</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合计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7970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6576</w:t>
            </w: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1394</w:t>
            </w: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青西新区职业中等专业学校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spacing w:line="300" w:lineRule="exact"/>
              <w:jc w:val="center"/>
              <w:rPr>
                <w:rFonts w:ascii="仿宋_GB2312" w:hAnsi="仿宋_GB2312" w:cs="仿宋_GB2312"/>
                <w:sz w:val="24"/>
              </w:rPr>
            </w:pP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spacing w:line="300" w:lineRule="exact"/>
              <w:jc w:val="center"/>
              <w:rPr>
                <w:rFonts w:ascii="仿宋_GB2312" w:hAnsi="仿宋_GB2312" w:cs="仿宋_GB2312"/>
                <w:sz w:val="24"/>
              </w:rPr>
            </w:pP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扶贫计划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青西新区高级职业技术学校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spacing w:line="300" w:lineRule="exact"/>
              <w:jc w:val="center"/>
              <w:rPr>
                <w:rFonts w:ascii="仿宋_GB2312" w:hAnsi="仿宋_GB2312" w:cs="仿宋_GB2312"/>
                <w:sz w:val="24"/>
              </w:rPr>
            </w:pP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spacing w:line="300" w:lineRule="exact"/>
              <w:jc w:val="center"/>
              <w:rPr>
                <w:rFonts w:ascii="仿宋_GB2312" w:hAnsi="仿宋_GB2312" w:cs="仿宋_GB2312"/>
                <w:sz w:val="24"/>
              </w:rPr>
            </w:pP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扶贫计划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青西新区中德应用技术学校</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10</w:t>
            </w:r>
          </w:p>
        </w:tc>
        <w:tc>
          <w:tcPr>
            <w:tcW w:w="1457" w:type="dxa"/>
            <w:tcBorders>
              <w:top w:val="single" w:color="auto" w:sz="4" w:space="0"/>
              <w:left w:val="single" w:color="auto" w:sz="8" w:space="0"/>
              <w:bottom w:val="single" w:color="auto" w:sz="4" w:space="0"/>
              <w:right w:val="single" w:color="auto" w:sz="8" w:space="0"/>
            </w:tcBorders>
            <w:vAlign w:val="center"/>
          </w:tcPr>
          <w:p>
            <w:pPr>
              <w:adjustRightInd w:val="0"/>
              <w:snapToGrid w:val="0"/>
              <w:spacing w:line="300" w:lineRule="exact"/>
              <w:jc w:val="center"/>
              <w:rPr>
                <w:rFonts w:ascii="仿宋_GB2312" w:hAnsi="仿宋_GB2312" w:cs="仿宋_GB2312"/>
                <w:sz w:val="24"/>
              </w:rPr>
            </w:pPr>
          </w:p>
        </w:tc>
        <w:tc>
          <w:tcPr>
            <w:tcW w:w="1459" w:type="dxa"/>
            <w:tcBorders>
              <w:top w:val="single" w:color="auto" w:sz="4" w:space="0"/>
              <w:left w:val="single" w:color="auto" w:sz="8" w:space="0"/>
              <w:bottom w:val="single" w:color="auto" w:sz="4" w:space="0"/>
              <w:right w:val="single" w:color="auto" w:sz="8" w:space="0"/>
            </w:tcBorders>
            <w:vAlign w:val="center"/>
          </w:tcPr>
          <w:p>
            <w:pPr>
              <w:adjustRightInd w:val="0"/>
              <w:snapToGrid w:val="0"/>
              <w:spacing w:line="300" w:lineRule="exact"/>
              <w:jc w:val="center"/>
              <w:rPr>
                <w:rFonts w:ascii="仿宋_GB2312" w:hAnsi="仿宋_GB2312" w:cs="仿宋_GB2312"/>
                <w:sz w:val="24"/>
              </w:rPr>
            </w:pP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扶贫计划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3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特教中心</w:t>
            </w:r>
          </w:p>
        </w:tc>
        <w:tc>
          <w:tcPr>
            <w:tcW w:w="1457" w:type="dxa"/>
            <w:tcBorders>
              <w:top w:val="single" w:color="auto" w:sz="4" w:space="0"/>
              <w:left w:val="single" w:color="auto" w:sz="4" w:space="0"/>
              <w:bottom w:val="single" w:color="auto" w:sz="4" w:space="0"/>
              <w:right w:val="single" w:color="auto" w:sz="8" w:space="0"/>
            </w:tcBorders>
            <w:vAlign w:val="center"/>
          </w:tcPr>
          <w:p>
            <w:pPr>
              <w:adjustRightInd w:val="0"/>
              <w:snapToGrid w:val="0"/>
              <w:jc w:val="center"/>
              <w:rPr>
                <w:rFonts w:ascii="仿宋_GB2312" w:hAnsi="仿宋_GB2312" w:cs="仿宋_GB2312"/>
                <w:color w:val="000000"/>
                <w:sz w:val="24"/>
              </w:rPr>
            </w:pPr>
            <w:r>
              <w:rPr>
                <w:rFonts w:hint="eastAsia" w:ascii="仿宋_GB2312" w:hAnsi="仿宋_GB2312" w:cs="仿宋_GB2312"/>
                <w:color w:val="000000"/>
                <w:sz w:val="24"/>
              </w:rPr>
              <w:t>10</w:t>
            </w:r>
          </w:p>
        </w:tc>
        <w:tc>
          <w:tcPr>
            <w:tcW w:w="1457" w:type="dxa"/>
            <w:tcBorders>
              <w:top w:val="single" w:color="auto" w:sz="4" w:space="0"/>
              <w:left w:val="single" w:color="auto" w:sz="8" w:space="0"/>
              <w:bottom w:val="single" w:color="auto" w:sz="8" w:space="0"/>
              <w:right w:val="single" w:color="auto" w:sz="8" w:space="0"/>
            </w:tcBorders>
            <w:vAlign w:val="center"/>
          </w:tcPr>
          <w:p>
            <w:pPr>
              <w:adjustRightInd w:val="0"/>
              <w:snapToGrid w:val="0"/>
              <w:spacing w:line="300" w:lineRule="exact"/>
              <w:jc w:val="center"/>
              <w:rPr>
                <w:rFonts w:ascii="仿宋_GB2312" w:hAnsi="仿宋_GB2312" w:cs="仿宋_GB2312"/>
                <w:sz w:val="24"/>
              </w:rPr>
            </w:pPr>
          </w:p>
        </w:tc>
        <w:tc>
          <w:tcPr>
            <w:tcW w:w="1459" w:type="dxa"/>
            <w:tcBorders>
              <w:top w:val="single" w:color="auto" w:sz="4" w:space="0"/>
              <w:left w:val="single" w:color="auto" w:sz="8" w:space="0"/>
              <w:bottom w:val="single" w:color="auto" w:sz="8" w:space="0"/>
              <w:right w:val="single" w:color="auto" w:sz="8" w:space="0"/>
            </w:tcBorders>
            <w:vAlign w:val="center"/>
          </w:tcPr>
          <w:p>
            <w:pPr>
              <w:adjustRightInd w:val="0"/>
              <w:snapToGrid w:val="0"/>
              <w:spacing w:line="300" w:lineRule="exact"/>
              <w:jc w:val="center"/>
              <w:rPr>
                <w:rFonts w:ascii="仿宋_GB2312" w:hAnsi="仿宋_GB2312" w:cs="仿宋_GB2312"/>
                <w:sz w:val="24"/>
              </w:rPr>
            </w:pPr>
          </w:p>
        </w:tc>
        <w:tc>
          <w:tcPr>
            <w:tcW w:w="1297" w:type="dxa"/>
            <w:tcBorders>
              <w:top w:val="single" w:color="auto" w:sz="4" w:space="0"/>
              <w:left w:val="single" w:color="auto" w:sz="8" w:space="0"/>
              <w:bottom w:val="single" w:color="auto" w:sz="4" w:space="0"/>
              <w:right w:val="single" w:color="auto" w:sz="4" w:space="0"/>
            </w:tcBorders>
            <w:vAlign w:val="center"/>
          </w:tcPr>
          <w:p>
            <w:pPr>
              <w:adjustRightInd w:val="0"/>
              <w:snapToGrid w:val="0"/>
              <w:spacing w:line="300" w:lineRule="exact"/>
              <w:jc w:val="center"/>
              <w:rPr>
                <w:rFonts w:ascii="仿宋_GB2312" w:hAnsi="仿宋_GB2312" w:cs="仿宋_GB2312"/>
                <w:sz w:val="24"/>
              </w:rPr>
            </w:pPr>
            <w:r>
              <w:rPr>
                <w:rFonts w:hint="eastAsia" w:ascii="仿宋_GB2312" w:hAnsi="仿宋_GB2312" w:cs="仿宋_GB2312"/>
                <w:sz w:val="24"/>
              </w:rPr>
              <w:t>特殊教育</w:t>
            </w: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仿宋_GB2312"/>
          <w:sz w:val="28"/>
          <w:szCs w:val="28"/>
        </w:rPr>
      </w:pPr>
      <w:r>
        <w:rPr>
          <w:rFonts w:hint="eastAsia" w:ascii="仿宋_GB2312"/>
          <w:sz w:val="28"/>
          <w:szCs w:val="28"/>
        </w:rPr>
        <w:t>说明：</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仿宋_GB2312"/>
          <w:sz w:val="28"/>
          <w:szCs w:val="28"/>
        </w:rPr>
      </w:pPr>
      <w:r>
        <w:rPr>
          <w:rFonts w:hint="eastAsia" w:ascii="仿宋_GB2312"/>
          <w:sz w:val="28"/>
          <w:szCs w:val="28"/>
        </w:rPr>
        <w:t>1.本表计划数系各校申报计划数，具体以青岛市局批复为准。</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仿宋_GB2312"/>
          <w:sz w:val="28"/>
          <w:szCs w:val="28"/>
        </w:rPr>
      </w:pPr>
      <w:r>
        <w:rPr>
          <w:rFonts w:hint="eastAsia" w:ascii="仿宋_GB2312"/>
          <w:sz w:val="28"/>
          <w:szCs w:val="28"/>
        </w:rPr>
        <w:t>2.各学校招生计划实行总量控制。</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黑体" w:hAnsi="黑体" w:eastAsia="黑体"/>
          <w:bCs/>
          <w:sz w:val="28"/>
          <w:szCs w:val="28"/>
        </w:rPr>
      </w:pPr>
      <w:r>
        <w:rPr>
          <w:rFonts w:hint="eastAsia" w:ascii="仿宋_GB2312"/>
          <w:sz w:val="28"/>
          <w:szCs w:val="28"/>
        </w:rPr>
        <w:t>3.扶贫计划及特殊教育计划单列。</w:t>
      </w:r>
    </w:p>
    <w:p>
      <w:pPr>
        <w:rPr>
          <w:rFonts w:ascii="黑体" w:hAnsi="黑体" w:eastAsia="黑体"/>
          <w:bCs/>
          <w:szCs w:val="32"/>
        </w:rPr>
      </w:pPr>
    </w:p>
    <w:p>
      <w:pPr>
        <w:rPr>
          <w:rFonts w:ascii="黑体" w:hAnsi="黑体" w:eastAsia="黑体"/>
          <w:bCs/>
          <w:szCs w:val="32"/>
        </w:rPr>
      </w:pPr>
      <w:r>
        <w:rPr>
          <w:rFonts w:hint="eastAsia" w:ascii="黑体" w:hAnsi="黑体" w:eastAsia="黑体"/>
          <w:bCs/>
          <w:szCs w:val="32"/>
        </w:rPr>
        <w:t>附件2</w:t>
      </w:r>
    </w:p>
    <w:p>
      <w:pPr>
        <w:widowControl/>
        <w:spacing w:line="560" w:lineRule="exact"/>
        <w:jc w:val="center"/>
        <w:outlineLvl w:val="1"/>
        <w:rPr>
          <w:rFonts w:ascii="方正小标宋简体" w:hAnsi="方正小标宋_GBK" w:eastAsia="方正小标宋简体" w:cs="方正小标宋_GBK"/>
          <w:color w:val="000000"/>
          <w:spacing w:val="-20"/>
          <w:kern w:val="0"/>
          <w:sz w:val="44"/>
          <w:szCs w:val="44"/>
        </w:rPr>
      </w:pPr>
      <w:r>
        <w:rPr>
          <w:rFonts w:hint="eastAsia" w:ascii="方正小标宋_GBK" w:hAnsi="方正小标宋_GBK" w:eastAsia="方正小标宋_GBK" w:cs="方正小标宋_GBK"/>
          <w:color w:val="000000"/>
          <w:spacing w:val="-20"/>
          <w:kern w:val="0"/>
          <w:sz w:val="44"/>
          <w:szCs w:val="44"/>
        </w:rPr>
        <w:t>2022年青岛西海岸新区联合开展“综合高中实验班”试点学校名单</w:t>
      </w:r>
    </w:p>
    <w:p>
      <w:pPr>
        <w:widowControl/>
        <w:spacing w:line="560" w:lineRule="exact"/>
        <w:jc w:val="center"/>
        <w:outlineLvl w:val="1"/>
        <w:rPr>
          <w:rFonts w:ascii="方正小标宋简体" w:hAnsi="方正小标宋_GBK" w:eastAsia="方正小标宋简体" w:cs="方正小标宋_GBK"/>
          <w:color w:val="000000"/>
          <w:spacing w:val="-20"/>
          <w:kern w:val="0"/>
          <w:sz w:val="44"/>
          <w:szCs w:val="44"/>
        </w:rPr>
      </w:pPr>
    </w:p>
    <w:tbl>
      <w:tblPr>
        <w:tblStyle w:val="11"/>
        <w:tblW w:w="889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835"/>
        <w:gridCol w:w="2265"/>
        <w:gridCol w:w="1530"/>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中职学校</w:t>
            </w:r>
          </w:p>
        </w:tc>
        <w:tc>
          <w:tcPr>
            <w:tcW w:w="226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普通高中</w:t>
            </w:r>
          </w:p>
        </w:tc>
        <w:tc>
          <w:tcPr>
            <w:tcW w:w="153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招生班数</w:t>
            </w:r>
          </w:p>
        </w:tc>
        <w:tc>
          <w:tcPr>
            <w:tcW w:w="145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黑体" w:hAnsi="黑体" w:eastAsia="黑体" w:cs="黑体"/>
                <w:sz w:val="28"/>
                <w:szCs w:val="28"/>
              </w:rPr>
            </w:pPr>
            <w:r>
              <w:rPr>
                <w:rFonts w:hint="eastAsia" w:ascii="黑体" w:hAnsi="黑体" w:eastAsia="黑体" w:cs="黑体"/>
                <w:sz w:val="28"/>
                <w:szCs w:val="28"/>
              </w:rPr>
              <w:t>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1</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青西新区职业中等专业学校</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color w:val="auto"/>
                <w:sz w:val="24"/>
              </w:rPr>
            </w:pPr>
            <w:r>
              <w:rPr>
                <w:rFonts w:hint="eastAsia" w:ascii="仿宋_GB2312"/>
                <w:color w:val="auto"/>
                <w:sz w:val="24"/>
                <w:lang w:eastAsia="zh-CN"/>
              </w:rPr>
              <w:t>新</w:t>
            </w:r>
            <w:r>
              <w:rPr>
                <w:rFonts w:hint="eastAsia" w:ascii="仿宋_GB2312"/>
                <w:color w:val="auto"/>
                <w:sz w:val="24"/>
              </w:rPr>
              <w:t>区第二高级中学</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16</w:t>
            </w:r>
          </w:p>
        </w:tc>
        <w:tc>
          <w:tcPr>
            <w:tcW w:w="14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2</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青西新区高级职业技术学校</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color w:val="auto"/>
                <w:sz w:val="24"/>
              </w:rPr>
            </w:pPr>
            <w:r>
              <w:rPr>
                <w:rFonts w:hint="eastAsia" w:ascii="仿宋_GB2312"/>
                <w:color w:val="auto"/>
                <w:sz w:val="24"/>
                <w:lang w:eastAsia="zh-CN"/>
              </w:rPr>
              <w:t>新</w:t>
            </w:r>
            <w:r>
              <w:rPr>
                <w:rFonts w:hint="eastAsia" w:ascii="仿宋_GB2312"/>
                <w:color w:val="auto"/>
                <w:sz w:val="24"/>
              </w:rPr>
              <w:t>区实验高级中学</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10</w:t>
            </w:r>
          </w:p>
        </w:tc>
        <w:tc>
          <w:tcPr>
            <w:tcW w:w="14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1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3</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青西新区中德应用技术学校</w:t>
            </w:r>
          </w:p>
        </w:tc>
        <w:tc>
          <w:tcPr>
            <w:tcW w:w="226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color w:val="auto"/>
                <w:sz w:val="24"/>
              </w:rPr>
            </w:pPr>
            <w:r>
              <w:rPr>
                <w:rFonts w:hint="eastAsia" w:ascii="仿宋_GB2312"/>
                <w:color w:val="auto"/>
                <w:sz w:val="24"/>
                <w:lang w:eastAsia="zh-CN"/>
              </w:rPr>
              <w:t>新</w:t>
            </w:r>
            <w:r>
              <w:rPr>
                <w:rFonts w:hint="eastAsia" w:ascii="仿宋_GB2312"/>
                <w:color w:val="auto"/>
                <w:sz w:val="24"/>
              </w:rPr>
              <w:t>区致远中学</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10</w:t>
            </w:r>
          </w:p>
        </w:tc>
        <w:tc>
          <w:tcPr>
            <w:tcW w:w="145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sz w:val="24"/>
              </w:rPr>
            </w:pPr>
            <w:r>
              <w:rPr>
                <w:rFonts w:hint="eastAsia" w:ascii="仿宋_GB2312"/>
                <w:sz w:val="24"/>
              </w:rPr>
              <w:t>500</w:t>
            </w:r>
          </w:p>
        </w:tc>
      </w:tr>
    </w:tbl>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p>
    <w:p>
      <w:pPr>
        <w:tabs>
          <w:tab w:val="left" w:pos="1365"/>
        </w:tabs>
        <w:spacing w:line="400" w:lineRule="exact"/>
        <w:rPr>
          <w:rFonts w:ascii="黑体" w:hAnsi="黑体" w:eastAsia="黑体"/>
          <w:bCs/>
          <w:szCs w:val="32"/>
        </w:rPr>
      </w:pPr>
      <w:r>
        <w:rPr>
          <w:rFonts w:hint="eastAsia" w:ascii="黑体" w:hAnsi="黑体" w:eastAsia="黑体"/>
          <w:bCs/>
          <w:szCs w:val="32"/>
        </w:rPr>
        <w:t>附件3</w:t>
      </w:r>
      <w:r>
        <w:rPr>
          <w:rFonts w:ascii="黑体" w:hAnsi="黑体" w:eastAsia="黑体"/>
          <w:bCs/>
          <w:szCs w:val="32"/>
        </w:rPr>
        <w:tab/>
      </w:r>
    </w:p>
    <w:p>
      <w:pPr>
        <w:widowControl/>
        <w:spacing w:line="560" w:lineRule="exact"/>
        <w:jc w:val="center"/>
        <w:outlineLvl w:val="1"/>
        <w:rPr>
          <w:rFonts w:ascii="方正小标宋_GBK" w:hAnsi="方正小标宋_GBK" w:eastAsia="方正小标宋_GBK" w:cs="方正小标宋_GBK"/>
          <w:color w:val="000000"/>
          <w:spacing w:val="-20"/>
          <w:kern w:val="0"/>
          <w:sz w:val="36"/>
          <w:szCs w:val="36"/>
        </w:rPr>
      </w:pPr>
      <w:r>
        <w:rPr>
          <w:rFonts w:hint="eastAsia" w:ascii="方正小标宋_GBK" w:hAnsi="方正小标宋_GBK" w:eastAsia="方正小标宋_GBK" w:cs="方正小标宋_GBK"/>
          <w:color w:val="000000"/>
          <w:spacing w:val="-23"/>
          <w:w w:val="90"/>
          <w:kern w:val="0"/>
          <w:sz w:val="44"/>
          <w:szCs w:val="44"/>
        </w:rPr>
        <w:t>2022年青岛西海岸新区中高职合作办学专业统计表</w:t>
      </w:r>
    </w:p>
    <w:tbl>
      <w:tblPr>
        <w:tblStyle w:val="11"/>
        <w:tblW w:w="8918" w:type="dxa"/>
        <w:tblInd w:w="93" w:type="dxa"/>
        <w:tblLayout w:type="fixed"/>
        <w:tblCellMar>
          <w:top w:w="0" w:type="dxa"/>
          <w:left w:w="108" w:type="dxa"/>
          <w:bottom w:w="0" w:type="dxa"/>
          <w:right w:w="108" w:type="dxa"/>
        </w:tblCellMar>
      </w:tblPr>
      <w:tblGrid>
        <w:gridCol w:w="890"/>
        <w:gridCol w:w="2703"/>
        <w:gridCol w:w="1260"/>
        <w:gridCol w:w="660"/>
        <w:gridCol w:w="720"/>
        <w:gridCol w:w="2685"/>
      </w:tblGrid>
      <w:tr>
        <w:tblPrEx>
          <w:tblCellMar>
            <w:top w:w="0" w:type="dxa"/>
            <w:left w:w="108" w:type="dxa"/>
            <w:bottom w:w="0" w:type="dxa"/>
            <w:right w:w="108" w:type="dxa"/>
          </w:tblCellMar>
        </w:tblPrEx>
        <w:trPr>
          <w:trHeight w:val="488" w:hRule="atLeast"/>
        </w:trPr>
        <w:tc>
          <w:tcPr>
            <w:tcW w:w="890" w:type="dxa"/>
            <w:tcBorders>
              <w:top w:val="single" w:color="auto" w:sz="4" w:space="0"/>
              <w:left w:val="single" w:color="auto" w:sz="8" w:space="0"/>
              <w:bottom w:val="single" w:color="auto" w:sz="8" w:space="0"/>
              <w:right w:val="single" w:color="auto" w:sz="4" w:space="0"/>
            </w:tcBorders>
            <w:noWrap/>
            <w:vAlign w:val="center"/>
          </w:tcPr>
          <w:p>
            <w:pPr>
              <w:spacing w:line="30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名称</w:t>
            </w:r>
          </w:p>
        </w:tc>
        <w:tc>
          <w:tcPr>
            <w:tcW w:w="2703" w:type="dxa"/>
            <w:tcBorders>
              <w:top w:val="single" w:color="auto" w:sz="4" w:space="0"/>
              <w:left w:val="single" w:color="auto" w:sz="4" w:space="0"/>
              <w:bottom w:val="single" w:color="auto" w:sz="8" w:space="0"/>
              <w:right w:val="single" w:color="auto" w:sz="4" w:space="0"/>
            </w:tcBorders>
            <w:noWrap/>
            <w:vAlign w:val="center"/>
          </w:tcPr>
          <w:p>
            <w:pPr>
              <w:spacing w:line="30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专业名称</w:t>
            </w:r>
          </w:p>
        </w:tc>
        <w:tc>
          <w:tcPr>
            <w:tcW w:w="1260" w:type="dxa"/>
            <w:tcBorders>
              <w:top w:val="single" w:color="auto" w:sz="4" w:space="0"/>
              <w:left w:val="single" w:color="auto" w:sz="4" w:space="0"/>
              <w:bottom w:val="single" w:color="auto" w:sz="8" w:space="0"/>
              <w:right w:val="single" w:color="auto" w:sz="4" w:space="0"/>
            </w:tcBorders>
            <w:noWrap/>
            <w:vAlign w:val="center"/>
          </w:tcPr>
          <w:p>
            <w:pPr>
              <w:spacing w:line="300" w:lineRule="exact"/>
              <w:rPr>
                <w:rFonts w:hint="eastAsia" w:ascii="黑体" w:hAnsi="黑体" w:eastAsia="黑体" w:cs="黑体"/>
                <w:b w:val="0"/>
                <w:bCs/>
                <w:sz w:val="24"/>
                <w:szCs w:val="24"/>
              </w:rPr>
            </w:pPr>
            <w:r>
              <w:rPr>
                <w:rFonts w:hint="eastAsia" w:ascii="黑体" w:hAnsi="黑体" w:eastAsia="黑体" w:cs="黑体"/>
                <w:b w:val="0"/>
                <w:bCs/>
                <w:sz w:val="24"/>
                <w:szCs w:val="24"/>
              </w:rPr>
              <w:t>学历层次</w:t>
            </w:r>
          </w:p>
        </w:tc>
        <w:tc>
          <w:tcPr>
            <w:tcW w:w="660" w:type="dxa"/>
            <w:tcBorders>
              <w:top w:val="single" w:color="auto" w:sz="4" w:space="0"/>
              <w:left w:val="single" w:color="auto" w:sz="4" w:space="0"/>
              <w:bottom w:val="single" w:color="auto" w:sz="8" w:space="0"/>
              <w:right w:val="single" w:color="auto" w:sz="4" w:space="0"/>
            </w:tcBorders>
            <w:noWrap/>
            <w:vAlign w:val="center"/>
          </w:tcPr>
          <w:p>
            <w:pPr>
              <w:spacing w:line="30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学制</w:t>
            </w:r>
          </w:p>
        </w:tc>
        <w:tc>
          <w:tcPr>
            <w:tcW w:w="720" w:type="dxa"/>
            <w:tcBorders>
              <w:top w:val="single" w:color="auto" w:sz="4" w:space="0"/>
              <w:left w:val="single" w:color="auto" w:sz="4" w:space="0"/>
              <w:bottom w:val="single" w:color="auto" w:sz="8" w:space="0"/>
              <w:right w:val="single" w:color="auto" w:sz="4" w:space="0"/>
            </w:tcBorders>
            <w:noWrap/>
            <w:vAlign w:val="center"/>
          </w:tcPr>
          <w:p>
            <w:pPr>
              <w:spacing w:line="30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计划</w:t>
            </w:r>
          </w:p>
        </w:tc>
        <w:tc>
          <w:tcPr>
            <w:tcW w:w="2685" w:type="dxa"/>
            <w:tcBorders>
              <w:top w:val="single" w:color="auto" w:sz="4" w:space="0"/>
              <w:left w:val="single" w:color="auto" w:sz="4" w:space="0"/>
              <w:bottom w:val="single" w:color="auto" w:sz="8" w:space="0"/>
              <w:right w:val="single" w:color="auto" w:sz="4" w:space="0"/>
            </w:tcBorders>
            <w:noWrap/>
            <w:vAlign w:val="center"/>
          </w:tcPr>
          <w:p>
            <w:pPr>
              <w:spacing w:line="300" w:lineRule="exact"/>
              <w:jc w:val="center"/>
              <w:rPr>
                <w:rFonts w:hint="eastAsia" w:ascii="黑体" w:hAnsi="黑体" w:eastAsia="黑体" w:cs="黑体"/>
                <w:b w:val="0"/>
                <w:bCs/>
                <w:sz w:val="24"/>
                <w:szCs w:val="24"/>
              </w:rPr>
            </w:pPr>
            <w:r>
              <w:rPr>
                <w:rFonts w:hint="eastAsia" w:ascii="黑体" w:hAnsi="黑体" w:eastAsia="黑体" w:cs="黑体"/>
                <w:b w:val="0"/>
                <w:bCs/>
                <w:sz w:val="24"/>
                <w:szCs w:val="24"/>
              </w:rPr>
              <w:t>合作高校</w:t>
            </w:r>
          </w:p>
        </w:tc>
      </w:tr>
      <w:tr>
        <w:tblPrEx>
          <w:tblCellMar>
            <w:top w:w="0" w:type="dxa"/>
            <w:left w:w="108" w:type="dxa"/>
            <w:bottom w:w="0" w:type="dxa"/>
            <w:right w:w="108" w:type="dxa"/>
          </w:tblCellMar>
        </w:tblPrEx>
        <w:trPr>
          <w:trHeight w:val="455" w:hRule="exact"/>
        </w:trPr>
        <w:tc>
          <w:tcPr>
            <w:tcW w:w="890" w:type="dxa"/>
            <w:vMerge w:val="restart"/>
            <w:tcBorders>
              <w:top w:val="single" w:color="auto" w:sz="4" w:space="0"/>
              <w:left w:val="single" w:color="auto" w:sz="8" w:space="0"/>
              <w:right w:val="nil"/>
            </w:tcBorders>
            <w:noWrap/>
            <w:vAlign w:val="center"/>
          </w:tcPr>
          <w:p>
            <w:pPr>
              <w:spacing w:line="300" w:lineRule="exact"/>
              <w:jc w:val="center"/>
              <w:rPr>
                <w:rFonts w:ascii="仿宋_GB2312"/>
                <w:sz w:val="24"/>
              </w:rPr>
            </w:pPr>
            <w:r>
              <w:rPr>
                <w:rFonts w:hint="eastAsia" w:ascii="仿宋_GB2312"/>
                <w:sz w:val="24"/>
              </w:rPr>
              <w:t>青西新区职业中等专业学校</w:t>
            </w:r>
          </w:p>
          <w:p>
            <w:pPr>
              <w:spacing w:line="300" w:lineRule="exac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计算机平面设计</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pacing w:val="-20"/>
                <w:sz w:val="24"/>
              </w:rPr>
            </w:pPr>
            <w:r>
              <w:rPr>
                <w:rFonts w:ascii="仿宋_GB2312"/>
                <w:spacing w:val="-20"/>
                <w:sz w:val="24"/>
              </w:rPr>
              <w:t>“</w:t>
            </w:r>
            <w:r>
              <w:rPr>
                <w:rFonts w:hint="eastAsia" w:ascii="仿宋_GB2312"/>
                <w:spacing w:val="-20"/>
                <w:sz w:val="24"/>
              </w:rPr>
              <w:t>3+4”本科</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7</w:t>
            </w:r>
          </w:p>
        </w:tc>
        <w:tc>
          <w:tcPr>
            <w:tcW w:w="720" w:type="dxa"/>
            <w:tcBorders>
              <w:top w:val="single" w:color="auto" w:sz="4" w:space="0"/>
              <w:left w:val="single" w:color="auto" w:sz="4" w:space="0"/>
              <w:bottom w:val="nil"/>
              <w:right w:val="single" w:color="auto" w:sz="4" w:space="0"/>
            </w:tcBorders>
            <w:noWrap/>
            <w:vAlign w:val="center"/>
          </w:tcPr>
          <w:p>
            <w:pPr>
              <w:spacing w:line="240" w:lineRule="exact"/>
              <w:jc w:val="center"/>
              <w:rPr>
                <w:rFonts w:ascii="仿宋_GB2312"/>
                <w:sz w:val="24"/>
              </w:rPr>
            </w:pPr>
            <w:r>
              <w:rPr>
                <w:rFonts w:hint="eastAsia" w:ascii="仿宋_GB2312"/>
                <w:sz w:val="24"/>
              </w:rPr>
              <w:t>40</w:t>
            </w:r>
          </w:p>
        </w:tc>
        <w:tc>
          <w:tcPr>
            <w:tcW w:w="2685" w:type="dxa"/>
            <w:tcBorders>
              <w:top w:val="single" w:color="auto" w:sz="4" w:space="0"/>
              <w:left w:val="single" w:color="auto" w:sz="4" w:space="0"/>
              <w:bottom w:val="nil"/>
              <w:right w:val="single" w:color="auto" w:sz="4" w:space="0"/>
            </w:tcBorders>
            <w:noWrap/>
            <w:vAlign w:val="center"/>
          </w:tcPr>
          <w:p>
            <w:pPr>
              <w:spacing w:line="240" w:lineRule="exact"/>
              <w:ind w:firstLine="200" w:firstLineChars="100"/>
              <w:jc w:val="center"/>
              <w:rPr>
                <w:rFonts w:ascii="仿宋_GB2312"/>
                <w:spacing w:val="-20"/>
                <w:sz w:val="24"/>
              </w:rPr>
            </w:pPr>
            <w:r>
              <w:rPr>
                <w:rFonts w:hint="eastAsia" w:ascii="仿宋_GB2312"/>
                <w:spacing w:val="-20"/>
                <w:sz w:val="24"/>
              </w:rPr>
              <w:t>潍坊学院</w:t>
            </w:r>
          </w:p>
        </w:tc>
      </w:tr>
      <w:tr>
        <w:tblPrEx>
          <w:tblCellMar>
            <w:top w:w="0" w:type="dxa"/>
            <w:left w:w="108" w:type="dxa"/>
            <w:bottom w:w="0" w:type="dxa"/>
            <w:right w:w="108" w:type="dxa"/>
          </w:tblCellMar>
        </w:tblPrEx>
        <w:trPr>
          <w:trHeight w:val="530" w:hRule="atLeas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数控技术应用</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100</w:t>
            </w:r>
          </w:p>
        </w:tc>
        <w:tc>
          <w:tcPr>
            <w:tcW w:w="2685" w:type="dxa"/>
            <w:vMerge w:val="restart"/>
            <w:tcBorders>
              <w:top w:val="single" w:color="auto" w:sz="4" w:space="0"/>
              <w:left w:val="single" w:color="auto" w:sz="4" w:space="0"/>
              <w:bottom w:val="nil"/>
              <w:right w:val="single" w:color="auto" w:sz="4" w:space="0"/>
            </w:tcBorders>
            <w:noWrap/>
            <w:vAlign w:val="center"/>
          </w:tcPr>
          <w:p>
            <w:pPr>
              <w:spacing w:line="240" w:lineRule="exact"/>
              <w:jc w:val="center"/>
              <w:rPr>
                <w:rFonts w:ascii="仿宋_GB2312"/>
                <w:spacing w:val="-20"/>
                <w:sz w:val="24"/>
              </w:rPr>
            </w:pPr>
            <w:r>
              <w:rPr>
                <w:rFonts w:hint="eastAsia" w:ascii="仿宋_GB2312"/>
                <w:spacing w:val="-20"/>
                <w:sz w:val="24"/>
              </w:rPr>
              <w:t>青岛港湾职业技术学院</w:t>
            </w:r>
          </w:p>
        </w:tc>
      </w:tr>
      <w:tr>
        <w:tblPrEx>
          <w:tblCellMar>
            <w:top w:w="0" w:type="dxa"/>
            <w:left w:w="108" w:type="dxa"/>
            <w:bottom w:w="0" w:type="dxa"/>
            <w:right w:w="108" w:type="dxa"/>
          </w:tblCellMar>
        </w:tblPrEx>
        <w:trPr>
          <w:trHeight w:val="441"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机电技术应用</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100</w:t>
            </w:r>
          </w:p>
        </w:tc>
        <w:tc>
          <w:tcPr>
            <w:tcW w:w="2685" w:type="dxa"/>
            <w:vMerge w:val="continue"/>
            <w:tcBorders>
              <w:top w:val="single" w:color="auto" w:sz="4" w:space="0"/>
              <w:left w:val="single" w:color="auto" w:sz="4" w:space="0"/>
              <w:bottom w:val="nil"/>
              <w:right w:val="single" w:color="auto" w:sz="4" w:space="0"/>
            </w:tcBorders>
            <w:noWrap/>
            <w:vAlign w:val="center"/>
          </w:tcPr>
          <w:p>
            <w:pPr>
              <w:widowControl/>
              <w:jc w:val="center"/>
              <w:rPr>
                <w:rFonts w:ascii="仿宋_GB2312"/>
                <w:spacing w:val="-20"/>
                <w:sz w:val="24"/>
              </w:rPr>
            </w:pPr>
          </w:p>
        </w:tc>
      </w:tr>
      <w:tr>
        <w:tblPrEx>
          <w:tblCellMar>
            <w:top w:w="0" w:type="dxa"/>
            <w:left w:w="108" w:type="dxa"/>
            <w:bottom w:w="0" w:type="dxa"/>
            <w:right w:w="108" w:type="dxa"/>
          </w:tblCellMar>
        </w:tblPrEx>
        <w:trPr>
          <w:trHeight w:val="421"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汽车运用与维修</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100</w:t>
            </w:r>
          </w:p>
        </w:tc>
        <w:tc>
          <w:tcPr>
            <w:tcW w:w="2685" w:type="dxa"/>
            <w:vMerge w:val="continue"/>
            <w:tcBorders>
              <w:top w:val="single" w:color="auto" w:sz="4" w:space="0"/>
              <w:left w:val="single" w:color="auto" w:sz="4" w:space="0"/>
              <w:bottom w:val="nil"/>
              <w:right w:val="single" w:color="auto" w:sz="4" w:space="0"/>
            </w:tcBorders>
            <w:noWrap/>
            <w:vAlign w:val="center"/>
          </w:tcPr>
          <w:p>
            <w:pPr>
              <w:widowControl/>
              <w:jc w:val="center"/>
              <w:rPr>
                <w:rFonts w:ascii="仿宋_GB2312"/>
                <w:spacing w:val="-20"/>
                <w:sz w:val="24"/>
              </w:rPr>
            </w:pPr>
          </w:p>
        </w:tc>
      </w:tr>
      <w:tr>
        <w:tblPrEx>
          <w:tblCellMar>
            <w:top w:w="0" w:type="dxa"/>
            <w:left w:w="108" w:type="dxa"/>
            <w:bottom w:w="0" w:type="dxa"/>
            <w:right w:w="108" w:type="dxa"/>
          </w:tblCellMar>
        </w:tblPrEx>
        <w:trPr>
          <w:trHeight w:val="427"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机械加工技术</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100</w:t>
            </w:r>
          </w:p>
        </w:tc>
        <w:tc>
          <w:tcPr>
            <w:tcW w:w="2685" w:type="dxa"/>
            <w:vMerge w:val="continue"/>
            <w:tcBorders>
              <w:top w:val="single" w:color="auto" w:sz="4" w:space="0"/>
              <w:left w:val="single" w:color="auto" w:sz="4" w:space="0"/>
              <w:bottom w:val="nil"/>
              <w:right w:val="single" w:color="auto" w:sz="4" w:space="0"/>
            </w:tcBorders>
            <w:noWrap/>
            <w:vAlign w:val="center"/>
          </w:tcPr>
          <w:p>
            <w:pPr>
              <w:widowControl/>
              <w:jc w:val="center"/>
              <w:rPr>
                <w:rFonts w:ascii="仿宋_GB2312"/>
                <w:spacing w:val="-20"/>
                <w:sz w:val="24"/>
              </w:rPr>
            </w:pPr>
          </w:p>
        </w:tc>
      </w:tr>
      <w:tr>
        <w:tblPrEx>
          <w:tblCellMar>
            <w:top w:w="0" w:type="dxa"/>
            <w:left w:w="108" w:type="dxa"/>
            <w:bottom w:w="0" w:type="dxa"/>
            <w:right w:w="108" w:type="dxa"/>
          </w:tblCellMar>
        </w:tblPrEx>
        <w:trPr>
          <w:trHeight w:val="414" w:hRule="atLeas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会计事务</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100</w:t>
            </w:r>
          </w:p>
        </w:tc>
        <w:tc>
          <w:tcPr>
            <w:tcW w:w="2685" w:type="dxa"/>
            <w:vMerge w:val="restart"/>
            <w:tcBorders>
              <w:top w:val="single" w:color="auto" w:sz="4" w:space="0"/>
              <w:left w:val="single" w:color="auto" w:sz="4" w:space="0"/>
              <w:bottom w:val="nil"/>
              <w:right w:val="single" w:color="auto" w:sz="4" w:space="0"/>
            </w:tcBorders>
            <w:noWrap/>
            <w:vAlign w:val="center"/>
          </w:tcPr>
          <w:p>
            <w:pPr>
              <w:spacing w:line="240" w:lineRule="exact"/>
              <w:jc w:val="center"/>
              <w:rPr>
                <w:rFonts w:ascii="仿宋_GB2312"/>
                <w:sz w:val="24"/>
              </w:rPr>
            </w:pPr>
            <w:r>
              <w:rPr>
                <w:rFonts w:hint="eastAsia" w:ascii="仿宋_GB2312"/>
                <w:sz w:val="24"/>
              </w:rPr>
              <w:t>山东经贸职业学院</w:t>
            </w:r>
          </w:p>
        </w:tc>
      </w:tr>
      <w:tr>
        <w:tblPrEx>
          <w:tblCellMar>
            <w:top w:w="0" w:type="dxa"/>
            <w:left w:w="108" w:type="dxa"/>
            <w:bottom w:w="0" w:type="dxa"/>
            <w:right w:w="108" w:type="dxa"/>
          </w:tblCellMar>
        </w:tblPrEx>
        <w:trPr>
          <w:trHeight w:val="412"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物流服务与管理</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100</w:t>
            </w:r>
          </w:p>
        </w:tc>
        <w:tc>
          <w:tcPr>
            <w:tcW w:w="2685" w:type="dxa"/>
            <w:vMerge w:val="continue"/>
            <w:tcBorders>
              <w:top w:val="single" w:color="auto" w:sz="4" w:space="0"/>
              <w:left w:val="single" w:color="auto" w:sz="4" w:space="0"/>
              <w:bottom w:val="nil"/>
              <w:right w:val="single" w:color="auto" w:sz="4" w:space="0"/>
            </w:tcBorders>
            <w:noWrap/>
            <w:vAlign w:val="center"/>
          </w:tcPr>
          <w:p>
            <w:pPr>
              <w:widowControl/>
              <w:jc w:val="center"/>
              <w:rPr>
                <w:rFonts w:ascii="仿宋_GB2312"/>
                <w:sz w:val="24"/>
              </w:rPr>
            </w:pPr>
          </w:p>
        </w:tc>
      </w:tr>
      <w:tr>
        <w:tblPrEx>
          <w:tblCellMar>
            <w:top w:w="0" w:type="dxa"/>
            <w:left w:w="108" w:type="dxa"/>
            <w:bottom w:w="0" w:type="dxa"/>
            <w:right w:w="108" w:type="dxa"/>
          </w:tblCellMar>
        </w:tblPrEx>
        <w:trPr>
          <w:trHeight w:val="431"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计算机应用</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color w:val="000000"/>
                <w:sz w:val="24"/>
              </w:rPr>
              <w:t>5年</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120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p>
        </w:tc>
      </w:tr>
      <w:tr>
        <w:tblPrEx>
          <w:tblCellMar>
            <w:top w:w="0" w:type="dxa"/>
            <w:left w:w="108" w:type="dxa"/>
            <w:bottom w:w="0" w:type="dxa"/>
            <w:right w:w="108" w:type="dxa"/>
          </w:tblCellMar>
        </w:tblPrEx>
        <w:trPr>
          <w:trHeight w:val="403" w:hRule="atLeas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建筑工程施工</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color w:val="000000"/>
                <w:sz w:val="24"/>
              </w:rPr>
              <w:t>5年</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100</w:t>
            </w:r>
          </w:p>
        </w:tc>
        <w:tc>
          <w:tcPr>
            <w:tcW w:w="2685"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山东科技职业学院</w:t>
            </w:r>
          </w:p>
        </w:tc>
      </w:tr>
      <w:tr>
        <w:tblPrEx>
          <w:tblCellMar>
            <w:top w:w="0" w:type="dxa"/>
            <w:left w:w="108" w:type="dxa"/>
            <w:bottom w:w="0" w:type="dxa"/>
            <w:right w:w="108" w:type="dxa"/>
          </w:tblCellMar>
        </w:tblPrEx>
        <w:trPr>
          <w:trHeight w:val="444"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计算机平面设计</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color w:val="000000"/>
                <w:sz w:val="24"/>
              </w:rPr>
              <w:t>5年</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50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sz w:val="24"/>
              </w:rPr>
            </w:pPr>
          </w:p>
        </w:tc>
      </w:tr>
      <w:tr>
        <w:tblPrEx>
          <w:tblCellMar>
            <w:top w:w="0" w:type="dxa"/>
            <w:left w:w="108" w:type="dxa"/>
            <w:bottom w:w="0" w:type="dxa"/>
            <w:right w:w="108" w:type="dxa"/>
          </w:tblCellMar>
        </w:tblPrEx>
        <w:trPr>
          <w:trHeight w:val="564"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_GB2312" w:hAnsi="等线" w:cs="仿宋_GB2312"/>
                <w:color w:val="000000"/>
                <w:sz w:val="24"/>
              </w:rPr>
            </w:pPr>
            <w:r>
              <w:rPr>
                <w:rFonts w:hint="eastAsia" w:ascii="仿宋_GB2312" w:hAnsi="等线" w:cs="仿宋_GB2312"/>
                <w:color w:val="000000"/>
                <w:kern w:val="0"/>
                <w:sz w:val="24"/>
              </w:rPr>
              <w:t>现代家政服务与管理</w:t>
            </w:r>
          </w:p>
        </w:tc>
        <w:tc>
          <w:tcPr>
            <w:tcW w:w="126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50</w:t>
            </w:r>
          </w:p>
        </w:tc>
        <w:tc>
          <w:tcPr>
            <w:tcW w:w="2685" w:type="dxa"/>
            <w:tcBorders>
              <w:top w:val="single" w:color="auto" w:sz="4" w:space="0"/>
              <w:left w:val="single" w:color="auto" w:sz="4" w:space="0"/>
              <w:bottom w:val="nil"/>
              <w:right w:val="single" w:color="auto" w:sz="4" w:space="0"/>
            </w:tcBorders>
            <w:noWrap/>
            <w:vAlign w:val="center"/>
          </w:tcPr>
          <w:p>
            <w:pPr>
              <w:spacing w:line="240" w:lineRule="exact"/>
              <w:jc w:val="center"/>
              <w:rPr>
                <w:rFonts w:ascii="仿宋_GB2312"/>
                <w:sz w:val="24"/>
              </w:rPr>
            </w:pPr>
            <w:r>
              <w:rPr>
                <w:rFonts w:hint="eastAsia" w:ascii="仿宋_GB2312"/>
                <w:color w:val="000000"/>
                <w:spacing w:val="-20"/>
                <w:sz w:val="24"/>
              </w:rPr>
              <w:t>山东药品食品职业学院</w:t>
            </w:r>
          </w:p>
        </w:tc>
      </w:tr>
      <w:tr>
        <w:tblPrEx>
          <w:tblCellMar>
            <w:top w:w="0" w:type="dxa"/>
            <w:left w:w="108" w:type="dxa"/>
            <w:bottom w:w="0" w:type="dxa"/>
            <w:right w:w="108" w:type="dxa"/>
          </w:tblCellMar>
        </w:tblPrEx>
        <w:trPr>
          <w:trHeight w:val="551"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textAlignment w:val="center"/>
              <w:rPr>
                <w:rFonts w:ascii="仿宋_GB2312" w:hAnsi="等线" w:cs="仿宋_GB2312"/>
                <w:color w:val="000000"/>
                <w:sz w:val="24"/>
              </w:rPr>
            </w:pPr>
            <w:r>
              <w:rPr>
                <w:rFonts w:hint="eastAsia" w:ascii="仿宋_GB2312" w:hAnsi="等线" w:cs="仿宋_GB2312"/>
                <w:color w:val="000000"/>
                <w:kern w:val="0"/>
                <w:sz w:val="24"/>
              </w:rPr>
              <w:t>工业机器人技术应用</w:t>
            </w:r>
          </w:p>
        </w:tc>
        <w:tc>
          <w:tcPr>
            <w:tcW w:w="126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45</w:t>
            </w:r>
          </w:p>
        </w:tc>
        <w:tc>
          <w:tcPr>
            <w:tcW w:w="2685" w:type="dxa"/>
            <w:tcBorders>
              <w:top w:val="single" w:color="auto" w:sz="4" w:space="0"/>
              <w:left w:val="single" w:color="auto" w:sz="4" w:space="0"/>
              <w:bottom w:val="nil"/>
              <w:right w:val="single" w:color="auto" w:sz="4" w:space="0"/>
            </w:tcBorders>
            <w:noWrap/>
            <w:vAlign w:val="center"/>
          </w:tcPr>
          <w:p>
            <w:pPr>
              <w:widowControl/>
              <w:adjustRightInd w:val="0"/>
              <w:snapToGrid w:val="0"/>
              <w:jc w:val="center"/>
              <w:textAlignment w:val="center"/>
              <w:rPr>
                <w:rFonts w:ascii="仿宋_GB2312" w:hAnsi="等线" w:cs="仿宋_GB2312"/>
                <w:color w:val="000000"/>
                <w:sz w:val="24"/>
              </w:rPr>
            </w:pPr>
            <w:r>
              <w:rPr>
                <w:rFonts w:hint="eastAsia" w:ascii="仿宋_GB2312" w:hAnsi="等线" w:cs="仿宋_GB2312"/>
                <w:color w:val="000000"/>
                <w:kern w:val="0"/>
                <w:sz w:val="24"/>
              </w:rPr>
              <w:t>烟台汽车工程职业学院</w:t>
            </w:r>
          </w:p>
        </w:tc>
      </w:tr>
      <w:tr>
        <w:tblPrEx>
          <w:tblCellMar>
            <w:top w:w="0" w:type="dxa"/>
            <w:left w:w="108" w:type="dxa"/>
            <w:bottom w:w="0" w:type="dxa"/>
            <w:right w:w="108" w:type="dxa"/>
          </w:tblCellMar>
        </w:tblPrEx>
        <w:trPr>
          <w:trHeight w:val="430"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textAlignment w:val="center"/>
              <w:rPr>
                <w:rFonts w:ascii="仿宋_GB2312" w:hAnsi="等线" w:cs="仿宋_GB2312"/>
                <w:color w:val="000000"/>
                <w:sz w:val="24"/>
              </w:rPr>
            </w:pPr>
            <w:r>
              <w:rPr>
                <w:rFonts w:hint="eastAsia" w:ascii="仿宋_GB2312" w:hAnsi="等线" w:cs="仿宋_GB2312"/>
                <w:color w:val="000000"/>
                <w:kern w:val="0"/>
                <w:sz w:val="24"/>
              </w:rPr>
              <w:t>会展服务与管理</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45</w:t>
            </w:r>
          </w:p>
        </w:tc>
        <w:tc>
          <w:tcPr>
            <w:tcW w:w="26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240" w:lineRule="exact"/>
              <w:jc w:val="center"/>
              <w:rPr>
                <w:rFonts w:ascii="仿宋_GB2312"/>
                <w:color w:val="000000"/>
                <w:spacing w:val="-20"/>
                <w:sz w:val="24"/>
              </w:rPr>
            </w:pPr>
            <w:r>
              <w:rPr>
                <w:rFonts w:hint="eastAsia" w:ascii="仿宋_GB2312"/>
                <w:color w:val="000000"/>
                <w:spacing w:val="-20"/>
                <w:sz w:val="24"/>
              </w:rPr>
              <w:t>青岛酒店管理职业技术学院</w:t>
            </w:r>
          </w:p>
        </w:tc>
      </w:tr>
      <w:tr>
        <w:tblPrEx>
          <w:tblCellMar>
            <w:top w:w="0" w:type="dxa"/>
            <w:left w:w="108" w:type="dxa"/>
            <w:bottom w:w="0" w:type="dxa"/>
            <w:right w:w="108" w:type="dxa"/>
          </w:tblCellMar>
        </w:tblPrEx>
        <w:trPr>
          <w:trHeight w:val="460"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textAlignment w:val="center"/>
              <w:rPr>
                <w:rFonts w:ascii="仿宋_GB2312" w:hAnsi="等线" w:cs="仿宋_GB2312"/>
                <w:color w:val="000000"/>
                <w:sz w:val="24"/>
              </w:rPr>
            </w:pPr>
            <w:r>
              <w:rPr>
                <w:rFonts w:hint="eastAsia" w:ascii="仿宋_GB2312" w:hAnsi="等线" w:cs="仿宋_GB2312"/>
                <w:color w:val="000000"/>
                <w:kern w:val="0"/>
                <w:sz w:val="24"/>
              </w:rPr>
              <w:t>新能源汽车运用与维修</w:t>
            </w:r>
          </w:p>
        </w:tc>
        <w:tc>
          <w:tcPr>
            <w:tcW w:w="126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45</w:t>
            </w:r>
          </w:p>
        </w:tc>
        <w:tc>
          <w:tcPr>
            <w:tcW w:w="2685" w:type="dxa"/>
            <w:vMerge w:val="restart"/>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textAlignment w:val="center"/>
              <w:rPr>
                <w:rFonts w:ascii="仿宋_GB2312" w:hAnsi="等线" w:cs="仿宋_GB2312"/>
                <w:color w:val="000000"/>
                <w:kern w:val="0"/>
                <w:sz w:val="24"/>
              </w:rPr>
            </w:pPr>
            <w:r>
              <w:rPr>
                <w:rFonts w:hint="eastAsia" w:ascii="仿宋_GB2312" w:hAnsi="等线" w:cs="仿宋_GB2312"/>
                <w:color w:val="000000"/>
                <w:kern w:val="0"/>
                <w:sz w:val="24"/>
              </w:rPr>
              <w:t>日照职业技术学院</w:t>
            </w:r>
          </w:p>
        </w:tc>
      </w:tr>
      <w:tr>
        <w:tblPrEx>
          <w:tblCellMar>
            <w:top w:w="0" w:type="dxa"/>
            <w:left w:w="108" w:type="dxa"/>
            <w:bottom w:w="0" w:type="dxa"/>
            <w:right w:w="108" w:type="dxa"/>
          </w:tblCellMar>
        </w:tblPrEx>
        <w:trPr>
          <w:trHeight w:val="340"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textAlignment w:val="center"/>
              <w:rPr>
                <w:rFonts w:ascii="仿宋_GB2312" w:hAnsi="等线" w:cs="仿宋_GB2312"/>
                <w:color w:val="000000"/>
                <w:sz w:val="24"/>
              </w:rPr>
            </w:pPr>
            <w:r>
              <w:rPr>
                <w:rFonts w:hint="eastAsia" w:ascii="仿宋_GB2312" w:hAnsi="等线" w:cs="仿宋_GB2312"/>
                <w:color w:val="000000"/>
                <w:kern w:val="0"/>
                <w:sz w:val="24"/>
              </w:rPr>
              <w:t>建筑工程造价</w:t>
            </w:r>
          </w:p>
        </w:tc>
        <w:tc>
          <w:tcPr>
            <w:tcW w:w="126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45</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textAlignment w:val="center"/>
              <w:rPr>
                <w:rFonts w:ascii="仿宋_GB2312" w:hAnsi="等线" w:cs="仿宋_GB2312"/>
                <w:color w:val="000000"/>
                <w:sz w:val="24"/>
              </w:rPr>
            </w:pPr>
          </w:p>
        </w:tc>
      </w:tr>
      <w:tr>
        <w:tblPrEx>
          <w:tblCellMar>
            <w:top w:w="0" w:type="dxa"/>
            <w:left w:w="108" w:type="dxa"/>
            <w:bottom w:w="0" w:type="dxa"/>
            <w:right w:w="108" w:type="dxa"/>
          </w:tblCellMar>
        </w:tblPrEx>
        <w:trPr>
          <w:trHeight w:val="340" w:hRule="exact"/>
        </w:trPr>
        <w:tc>
          <w:tcPr>
            <w:tcW w:w="890" w:type="dxa"/>
            <w:vMerge w:val="continue"/>
            <w:tcBorders>
              <w:left w:val="single" w:color="auto" w:sz="8"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textAlignment w:val="center"/>
              <w:rPr>
                <w:rFonts w:ascii="仿宋_GB2312" w:hAnsi="等线" w:cs="仿宋_GB2312"/>
                <w:color w:val="000000"/>
                <w:sz w:val="24"/>
              </w:rPr>
            </w:pPr>
            <w:r>
              <w:rPr>
                <w:rFonts w:hint="eastAsia" w:ascii="仿宋_GB2312" w:hAnsi="等线" w:cs="仿宋_GB2312"/>
                <w:color w:val="000000"/>
                <w:kern w:val="0"/>
                <w:sz w:val="24"/>
              </w:rPr>
              <w:t>物联网技术应用</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40</w:t>
            </w:r>
          </w:p>
        </w:tc>
        <w:tc>
          <w:tcPr>
            <w:tcW w:w="2685" w:type="dxa"/>
            <w:vMerge w:val="restart"/>
            <w:tcBorders>
              <w:top w:val="single" w:color="auto" w:sz="4" w:space="0"/>
              <w:left w:val="single" w:color="auto" w:sz="4" w:space="0"/>
              <w:right w:val="single" w:color="auto" w:sz="4" w:space="0"/>
            </w:tcBorders>
            <w:noWrap/>
            <w:vAlign w:val="center"/>
          </w:tcPr>
          <w:p>
            <w:pPr>
              <w:widowControl/>
              <w:adjustRightInd w:val="0"/>
              <w:snapToGrid w:val="0"/>
              <w:jc w:val="center"/>
              <w:textAlignment w:val="center"/>
              <w:rPr>
                <w:rFonts w:ascii="仿宋_GB2312" w:hAnsi="等线" w:cs="仿宋_GB2312"/>
                <w:color w:val="000000"/>
                <w:kern w:val="0"/>
                <w:sz w:val="24"/>
              </w:rPr>
            </w:pPr>
            <w:r>
              <w:rPr>
                <w:rFonts w:hint="eastAsia" w:ascii="仿宋_GB2312" w:hAnsi="等线" w:cs="仿宋_GB2312"/>
                <w:color w:val="000000"/>
                <w:kern w:val="0"/>
                <w:sz w:val="24"/>
              </w:rPr>
              <w:t>青岛职业技术学院</w:t>
            </w:r>
          </w:p>
        </w:tc>
      </w:tr>
      <w:tr>
        <w:tblPrEx>
          <w:tblCellMar>
            <w:top w:w="0" w:type="dxa"/>
            <w:left w:w="108" w:type="dxa"/>
            <w:bottom w:w="0" w:type="dxa"/>
            <w:right w:w="108" w:type="dxa"/>
          </w:tblCellMar>
        </w:tblPrEx>
        <w:trPr>
          <w:trHeight w:val="340" w:hRule="exact"/>
        </w:trPr>
        <w:tc>
          <w:tcPr>
            <w:tcW w:w="890" w:type="dxa"/>
            <w:vMerge w:val="continue"/>
            <w:tcBorders>
              <w:left w:val="single" w:color="auto" w:sz="8" w:space="0"/>
              <w:bottom w:val="single" w:color="auto" w:sz="4" w:space="0"/>
              <w:right w:val="nil"/>
            </w:tcBorders>
            <w:noWrap/>
            <w:vAlign w:val="center"/>
          </w:tcPr>
          <w:p>
            <w:pPr>
              <w:widowControl/>
              <w:jc w:val="left"/>
              <w:rPr>
                <w:rFonts w:ascii="仿宋_GB2312"/>
                <w:sz w:val="24"/>
              </w:rPr>
            </w:pPr>
          </w:p>
        </w:tc>
        <w:tc>
          <w:tcPr>
            <w:tcW w:w="2703" w:type="dxa"/>
            <w:tcBorders>
              <w:top w:val="nil"/>
              <w:left w:val="single" w:color="auto" w:sz="4" w:space="0"/>
              <w:bottom w:val="single" w:color="auto" w:sz="4" w:space="0"/>
              <w:right w:val="single" w:color="auto" w:sz="4" w:space="0"/>
            </w:tcBorders>
            <w:noWrap/>
            <w:vAlign w:val="center"/>
          </w:tcPr>
          <w:p>
            <w:pPr>
              <w:widowControl/>
              <w:adjustRightInd w:val="0"/>
              <w:snapToGrid w:val="0"/>
              <w:jc w:val="center"/>
              <w:textAlignment w:val="center"/>
              <w:rPr>
                <w:rFonts w:ascii="仿宋_GB2312" w:hAnsi="等线" w:cs="仿宋_GB2312"/>
                <w:color w:val="000000"/>
                <w:sz w:val="24"/>
              </w:rPr>
            </w:pPr>
            <w:r>
              <w:rPr>
                <w:rFonts w:hint="eastAsia" w:ascii="仿宋_GB2312" w:hAnsi="等线" w:cs="仿宋_GB2312"/>
                <w:color w:val="000000"/>
                <w:kern w:val="0"/>
                <w:sz w:val="24"/>
              </w:rPr>
              <w:t>模具制造技术</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widowControl/>
              <w:spacing w:line="240" w:lineRule="exact"/>
              <w:jc w:val="center"/>
              <w:textAlignment w:val="center"/>
              <w:rPr>
                <w:rFonts w:ascii="仿宋_GB2312"/>
                <w:sz w:val="24"/>
              </w:rPr>
            </w:pPr>
            <w:r>
              <w:rPr>
                <w:rFonts w:hint="eastAsia" w:ascii="仿宋_GB2312"/>
                <w:sz w:val="24"/>
              </w:rPr>
              <w:t>40</w:t>
            </w:r>
          </w:p>
        </w:tc>
        <w:tc>
          <w:tcPr>
            <w:tcW w:w="2685" w:type="dxa"/>
            <w:vMerge w:val="continue"/>
            <w:tcBorders>
              <w:left w:val="single" w:color="auto" w:sz="4" w:space="0"/>
              <w:bottom w:val="nil"/>
              <w:right w:val="single" w:color="auto" w:sz="4" w:space="0"/>
            </w:tcBorders>
            <w:noWrap/>
            <w:vAlign w:val="center"/>
          </w:tcPr>
          <w:p>
            <w:pPr>
              <w:widowControl/>
              <w:jc w:val="center"/>
              <w:textAlignment w:val="center"/>
              <w:rPr>
                <w:rFonts w:ascii="仿宋_GB2312" w:hAnsi="等线" w:cs="仿宋_GB2312"/>
                <w:color w:val="000000"/>
                <w:sz w:val="24"/>
              </w:rPr>
            </w:pPr>
          </w:p>
        </w:tc>
      </w:tr>
      <w:tr>
        <w:tblPrEx>
          <w:tblCellMar>
            <w:top w:w="0" w:type="dxa"/>
            <w:left w:w="108" w:type="dxa"/>
            <w:bottom w:w="0" w:type="dxa"/>
            <w:right w:w="108" w:type="dxa"/>
          </w:tblCellMar>
        </w:tblPrEx>
        <w:trPr>
          <w:trHeight w:val="340" w:hRule="atLeast"/>
        </w:trPr>
        <w:tc>
          <w:tcPr>
            <w:tcW w:w="890" w:type="dxa"/>
            <w:vMerge w:val="restart"/>
            <w:tcBorders>
              <w:top w:val="single" w:color="auto" w:sz="4" w:space="0"/>
              <w:left w:val="single" w:color="auto" w:sz="4" w:space="0"/>
              <w:bottom w:val="single" w:color="auto" w:sz="4" w:space="0"/>
              <w:right w:val="nil"/>
            </w:tcBorders>
            <w:noWrap/>
            <w:vAlign w:val="center"/>
          </w:tcPr>
          <w:p>
            <w:pPr>
              <w:spacing w:line="300" w:lineRule="exact"/>
              <w:jc w:val="center"/>
              <w:rPr>
                <w:rFonts w:ascii="仿宋_GB2312"/>
                <w:color w:val="000000"/>
                <w:sz w:val="24"/>
              </w:rPr>
            </w:pPr>
            <w:r>
              <w:rPr>
                <w:rFonts w:hint="eastAsia" w:ascii="仿宋_GB2312"/>
                <w:sz w:val="24"/>
              </w:rPr>
              <w:t>青西新区高级职业技术学校</w:t>
            </w:r>
          </w:p>
        </w:tc>
        <w:tc>
          <w:tcPr>
            <w:tcW w:w="2703"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幼儿保育</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pacing w:val="-20"/>
                <w:sz w:val="24"/>
              </w:rPr>
              <w:t>五年制高师</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40</w:t>
            </w:r>
          </w:p>
        </w:tc>
        <w:tc>
          <w:tcPr>
            <w:tcW w:w="2685" w:type="dxa"/>
            <w:vMerge w:val="restart"/>
            <w:tcBorders>
              <w:top w:val="single" w:color="auto" w:sz="8" w:space="0"/>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青岛职业技术学院</w:t>
            </w:r>
          </w:p>
        </w:tc>
      </w:tr>
      <w:tr>
        <w:tblPrEx>
          <w:tblCellMar>
            <w:top w:w="0" w:type="dxa"/>
            <w:left w:w="108" w:type="dxa"/>
            <w:bottom w:w="0" w:type="dxa"/>
            <w:right w:w="108" w:type="dxa"/>
          </w:tblCellMar>
        </w:tblPrEx>
        <w:trPr>
          <w:trHeight w:val="340" w:hRule="exact"/>
        </w:trPr>
        <w:tc>
          <w:tcPr>
            <w:tcW w:w="890" w:type="dxa"/>
            <w:vMerge w:val="continue"/>
            <w:tcBorders>
              <w:top w:val="single" w:color="auto" w:sz="4" w:space="0"/>
              <w:left w:val="single" w:color="auto" w:sz="4" w:space="0"/>
              <w:bottom w:val="single" w:color="auto" w:sz="4" w:space="0"/>
              <w:right w:val="nil"/>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影像与影视技术</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50</w:t>
            </w:r>
          </w:p>
        </w:tc>
        <w:tc>
          <w:tcPr>
            <w:tcW w:w="2685" w:type="dxa"/>
            <w:vMerge w:val="continue"/>
            <w:tcBorders>
              <w:top w:val="single" w:color="auto" w:sz="8"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340" w:hRule="exact"/>
        </w:trPr>
        <w:tc>
          <w:tcPr>
            <w:tcW w:w="890" w:type="dxa"/>
            <w:vMerge w:val="continue"/>
            <w:tcBorders>
              <w:top w:val="single" w:color="auto" w:sz="4" w:space="0"/>
              <w:left w:val="single" w:color="auto" w:sz="4" w:space="0"/>
              <w:bottom w:val="single" w:color="auto" w:sz="4" w:space="0"/>
              <w:right w:val="nil"/>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动漫与游戏制作</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40</w:t>
            </w:r>
          </w:p>
        </w:tc>
        <w:tc>
          <w:tcPr>
            <w:tcW w:w="2685" w:type="dxa"/>
            <w:vMerge w:val="continue"/>
            <w:tcBorders>
              <w:top w:val="single" w:color="auto" w:sz="8"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340" w:hRule="exact"/>
        </w:trPr>
        <w:tc>
          <w:tcPr>
            <w:tcW w:w="890" w:type="dxa"/>
            <w:vMerge w:val="continue"/>
            <w:tcBorders>
              <w:top w:val="single" w:color="auto" w:sz="4" w:space="0"/>
              <w:left w:val="single" w:color="auto" w:sz="4" w:space="0"/>
              <w:bottom w:val="single" w:color="auto" w:sz="4" w:space="0"/>
              <w:right w:val="nil"/>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电子商务</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50</w:t>
            </w:r>
          </w:p>
        </w:tc>
        <w:tc>
          <w:tcPr>
            <w:tcW w:w="2685" w:type="dxa"/>
            <w:vMerge w:val="continue"/>
            <w:tcBorders>
              <w:top w:val="single" w:color="auto" w:sz="8"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370" w:hRule="atLeast"/>
        </w:trPr>
        <w:tc>
          <w:tcPr>
            <w:tcW w:w="890" w:type="dxa"/>
            <w:vMerge w:val="continue"/>
            <w:tcBorders>
              <w:top w:val="single" w:color="auto" w:sz="4" w:space="0"/>
              <w:left w:val="single" w:color="auto" w:sz="4" w:space="0"/>
              <w:bottom w:val="single" w:color="auto" w:sz="4" w:space="0"/>
              <w:right w:val="nil"/>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计算机应用</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60</w:t>
            </w:r>
          </w:p>
        </w:tc>
        <w:tc>
          <w:tcPr>
            <w:tcW w:w="2685" w:type="dxa"/>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pacing w:val="-20"/>
                <w:sz w:val="24"/>
              </w:rPr>
            </w:pPr>
            <w:r>
              <w:rPr>
                <w:rFonts w:hint="eastAsia" w:ascii="仿宋_GB2312"/>
                <w:color w:val="000000"/>
                <w:spacing w:val="-20"/>
                <w:sz w:val="24"/>
              </w:rPr>
              <w:t>青岛港湾职业技术学院</w:t>
            </w:r>
          </w:p>
        </w:tc>
      </w:tr>
      <w:tr>
        <w:tblPrEx>
          <w:tblCellMar>
            <w:top w:w="0" w:type="dxa"/>
            <w:left w:w="108" w:type="dxa"/>
            <w:bottom w:w="0" w:type="dxa"/>
            <w:right w:w="108" w:type="dxa"/>
          </w:tblCellMar>
        </w:tblPrEx>
        <w:trPr>
          <w:trHeight w:val="340" w:hRule="exact"/>
        </w:trPr>
        <w:tc>
          <w:tcPr>
            <w:tcW w:w="890" w:type="dxa"/>
            <w:vMerge w:val="continue"/>
            <w:tcBorders>
              <w:top w:val="single" w:color="auto" w:sz="4" w:space="0"/>
              <w:left w:val="single" w:color="auto" w:sz="4" w:space="0"/>
              <w:bottom w:val="single" w:color="auto" w:sz="4" w:space="0"/>
              <w:right w:val="nil"/>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机电技术应用</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60</w:t>
            </w:r>
          </w:p>
        </w:tc>
        <w:tc>
          <w:tcPr>
            <w:tcW w:w="2685"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仿宋_GB2312"/>
                <w:color w:val="000000"/>
                <w:spacing w:val="-20"/>
                <w:sz w:val="24"/>
              </w:rPr>
            </w:pPr>
          </w:p>
        </w:tc>
      </w:tr>
      <w:tr>
        <w:tblPrEx>
          <w:tblCellMar>
            <w:top w:w="0" w:type="dxa"/>
            <w:left w:w="108" w:type="dxa"/>
            <w:bottom w:w="0" w:type="dxa"/>
            <w:right w:w="108" w:type="dxa"/>
          </w:tblCellMar>
        </w:tblPrEx>
        <w:trPr>
          <w:trHeight w:val="340" w:hRule="atLeast"/>
        </w:trPr>
        <w:tc>
          <w:tcPr>
            <w:tcW w:w="890" w:type="dxa"/>
            <w:vMerge w:val="continue"/>
            <w:tcBorders>
              <w:top w:val="single" w:color="auto" w:sz="4" w:space="0"/>
              <w:left w:val="single" w:color="auto" w:sz="4" w:space="0"/>
              <w:bottom w:val="single" w:color="auto" w:sz="4" w:space="0"/>
              <w:right w:val="nil"/>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数控技术应用</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50</w:t>
            </w:r>
          </w:p>
        </w:tc>
        <w:tc>
          <w:tcPr>
            <w:tcW w:w="2685" w:type="dxa"/>
            <w:vMerge w:val="restart"/>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潍坊工程职业学院</w:t>
            </w:r>
          </w:p>
        </w:tc>
      </w:tr>
      <w:tr>
        <w:tblPrEx>
          <w:tblCellMar>
            <w:top w:w="0" w:type="dxa"/>
            <w:left w:w="108" w:type="dxa"/>
            <w:bottom w:w="0" w:type="dxa"/>
            <w:right w:w="108" w:type="dxa"/>
          </w:tblCellMar>
        </w:tblPrEx>
        <w:trPr>
          <w:trHeight w:val="340" w:hRule="exact"/>
        </w:trPr>
        <w:tc>
          <w:tcPr>
            <w:tcW w:w="890" w:type="dxa"/>
            <w:vMerge w:val="continue"/>
            <w:tcBorders>
              <w:top w:val="single" w:color="auto" w:sz="4" w:space="0"/>
              <w:left w:val="single" w:color="auto" w:sz="4" w:space="0"/>
              <w:bottom w:val="single" w:color="auto" w:sz="4" w:space="0"/>
              <w:right w:val="nil"/>
            </w:tcBorders>
            <w:noWrap/>
            <w:vAlign w:val="center"/>
          </w:tcPr>
          <w:p>
            <w:pPr>
              <w:widowControl/>
              <w:jc w:val="left"/>
              <w:rPr>
                <w:rFonts w:ascii="仿宋_GB2312"/>
                <w:color w:val="000000"/>
                <w:sz w:val="24"/>
              </w:rPr>
            </w:pPr>
          </w:p>
        </w:tc>
        <w:tc>
          <w:tcPr>
            <w:tcW w:w="2703" w:type="dxa"/>
            <w:tcBorders>
              <w:top w:val="single" w:color="auto" w:sz="8" w:space="0"/>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汽车运用与维修</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8" w:space="0"/>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50</w:t>
            </w:r>
          </w:p>
        </w:tc>
        <w:tc>
          <w:tcPr>
            <w:tcW w:w="2685" w:type="dxa"/>
            <w:vMerge w:val="continue"/>
            <w:tcBorders>
              <w:top w:val="nil"/>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453" w:hRule="exact"/>
        </w:trPr>
        <w:tc>
          <w:tcPr>
            <w:tcW w:w="890" w:type="dxa"/>
            <w:vMerge w:val="continue"/>
            <w:tcBorders>
              <w:top w:val="single" w:color="auto" w:sz="4" w:space="0"/>
              <w:left w:val="single" w:color="auto" w:sz="4" w:space="0"/>
              <w:bottom w:val="single" w:color="auto" w:sz="4" w:space="0"/>
              <w:right w:val="nil"/>
            </w:tcBorders>
            <w:noWrap/>
            <w:vAlign w:val="center"/>
          </w:tcPr>
          <w:p>
            <w:pPr>
              <w:widowControl/>
              <w:jc w:val="left"/>
              <w:rPr>
                <w:rFonts w:ascii="仿宋_GB2312"/>
                <w:color w:val="000000"/>
                <w:sz w:val="24"/>
              </w:rPr>
            </w:pPr>
          </w:p>
        </w:tc>
        <w:tc>
          <w:tcPr>
            <w:tcW w:w="2703" w:type="dxa"/>
            <w:tcBorders>
              <w:top w:val="single" w:color="auto" w:sz="8" w:space="0"/>
              <w:left w:val="single" w:color="auto" w:sz="4" w:space="0"/>
              <w:bottom w:val="single" w:color="auto" w:sz="4" w:space="0"/>
              <w:right w:val="single" w:color="auto" w:sz="4" w:space="0"/>
            </w:tcBorders>
            <w:noWrap/>
            <w:vAlign w:val="center"/>
          </w:tcPr>
          <w:p>
            <w:pPr>
              <w:spacing w:line="240" w:lineRule="exact"/>
              <w:jc w:val="center"/>
              <w:rPr>
                <w:rFonts w:ascii="仿宋_GB2312"/>
                <w:w w:val="90"/>
                <w:sz w:val="24"/>
              </w:rPr>
            </w:pPr>
            <w:r>
              <w:rPr>
                <w:rFonts w:hint="eastAsia" w:ascii="仿宋_GB2312"/>
                <w:sz w:val="24"/>
              </w:rPr>
              <w:t>城市轨道交通运营服务</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nil"/>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50</w:t>
            </w:r>
          </w:p>
        </w:tc>
        <w:tc>
          <w:tcPr>
            <w:tcW w:w="268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pacing w:val="-20"/>
                <w:sz w:val="24"/>
              </w:rPr>
            </w:pPr>
            <w:r>
              <w:rPr>
                <w:rFonts w:hint="eastAsia" w:ascii="仿宋_GB2312"/>
                <w:color w:val="000000"/>
                <w:spacing w:val="-20"/>
                <w:sz w:val="24"/>
              </w:rPr>
              <w:t>山东电子职业技术学院</w:t>
            </w:r>
          </w:p>
        </w:tc>
      </w:tr>
      <w:tr>
        <w:tblPrEx>
          <w:tblCellMar>
            <w:top w:w="0" w:type="dxa"/>
            <w:left w:w="108" w:type="dxa"/>
            <w:bottom w:w="0" w:type="dxa"/>
            <w:right w:w="108" w:type="dxa"/>
          </w:tblCellMar>
        </w:tblPrEx>
        <w:trPr>
          <w:trHeight w:val="544" w:hRule="exact"/>
        </w:trPr>
        <w:tc>
          <w:tcPr>
            <w:tcW w:w="890" w:type="dxa"/>
            <w:vMerge w:val="continue"/>
            <w:tcBorders>
              <w:top w:val="single" w:color="auto" w:sz="4" w:space="0"/>
              <w:left w:val="single" w:color="auto" w:sz="4" w:space="0"/>
              <w:bottom w:val="single" w:color="auto" w:sz="4" w:space="0"/>
              <w:right w:val="nil"/>
            </w:tcBorders>
            <w:noWrap/>
            <w:vAlign w:val="center"/>
          </w:tcPr>
          <w:p>
            <w:pPr>
              <w:widowControl/>
              <w:jc w:val="left"/>
              <w:rPr>
                <w:rFonts w:ascii="仿宋_GB2312"/>
                <w:color w:val="000000"/>
                <w:sz w:val="24"/>
              </w:rPr>
            </w:pPr>
          </w:p>
        </w:tc>
        <w:tc>
          <w:tcPr>
            <w:tcW w:w="2703" w:type="dxa"/>
            <w:tcBorders>
              <w:top w:val="single" w:color="auto" w:sz="8" w:space="0"/>
              <w:left w:val="single" w:color="auto" w:sz="4" w:space="0"/>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艺术设计与制作</w:t>
            </w:r>
          </w:p>
        </w:tc>
        <w:tc>
          <w:tcPr>
            <w:tcW w:w="1260" w:type="dxa"/>
            <w:tcBorders>
              <w:top w:val="single" w:color="auto" w:sz="8" w:space="0"/>
              <w:left w:val="nil"/>
              <w:bottom w:val="single" w:color="auto" w:sz="8"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三二连读</w:t>
            </w:r>
          </w:p>
        </w:tc>
        <w:tc>
          <w:tcPr>
            <w:tcW w:w="660" w:type="dxa"/>
            <w:tcBorders>
              <w:top w:val="single" w:color="auto" w:sz="8" w:space="0"/>
              <w:left w:val="nil"/>
              <w:bottom w:val="single" w:color="auto" w:sz="8"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50</w:t>
            </w:r>
          </w:p>
        </w:tc>
        <w:tc>
          <w:tcPr>
            <w:tcW w:w="2685"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山东服装职业学院</w:t>
            </w:r>
          </w:p>
        </w:tc>
      </w:tr>
      <w:tr>
        <w:tblPrEx>
          <w:tblCellMar>
            <w:top w:w="0" w:type="dxa"/>
            <w:left w:w="108" w:type="dxa"/>
            <w:bottom w:w="0" w:type="dxa"/>
            <w:right w:w="108" w:type="dxa"/>
          </w:tblCellMar>
        </w:tblPrEx>
        <w:trPr>
          <w:trHeight w:val="409" w:hRule="atLeast"/>
        </w:trPr>
        <w:tc>
          <w:tcPr>
            <w:tcW w:w="890" w:type="dxa"/>
            <w:vMerge w:val="restart"/>
            <w:tcBorders>
              <w:top w:val="single" w:color="auto" w:sz="4" w:space="0"/>
              <w:left w:val="single" w:color="auto" w:sz="8"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青西新区中德应用技术学校</w:t>
            </w:r>
          </w:p>
        </w:tc>
        <w:tc>
          <w:tcPr>
            <w:tcW w:w="2703" w:type="dxa"/>
            <w:tcBorders>
              <w:top w:val="single" w:color="auto" w:sz="8" w:space="0"/>
              <w:left w:val="nil"/>
              <w:bottom w:val="nil"/>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幼儿保育</w:t>
            </w:r>
          </w:p>
        </w:tc>
        <w:tc>
          <w:tcPr>
            <w:tcW w:w="1260" w:type="dxa"/>
            <w:tcBorders>
              <w:top w:val="single" w:color="auto" w:sz="8" w:space="0"/>
              <w:left w:val="nil"/>
              <w:bottom w:val="nil"/>
              <w:right w:val="single" w:color="auto" w:sz="4" w:space="0"/>
            </w:tcBorders>
            <w:noWrap/>
            <w:vAlign w:val="center"/>
          </w:tcPr>
          <w:p>
            <w:pPr>
              <w:spacing w:line="240" w:lineRule="exact"/>
              <w:jc w:val="center"/>
              <w:rPr>
                <w:rFonts w:ascii="仿宋_GB2312"/>
                <w:color w:val="000000"/>
                <w:spacing w:val="-20"/>
                <w:sz w:val="24"/>
              </w:rPr>
            </w:pPr>
            <w:r>
              <w:rPr>
                <w:rFonts w:hint="eastAsia" w:ascii="仿宋_GB2312"/>
                <w:color w:val="000000"/>
                <w:spacing w:val="-20"/>
                <w:sz w:val="24"/>
              </w:rPr>
              <w:t>五年制高师</w:t>
            </w:r>
          </w:p>
        </w:tc>
        <w:tc>
          <w:tcPr>
            <w:tcW w:w="660" w:type="dxa"/>
            <w:tcBorders>
              <w:top w:val="single" w:color="auto" w:sz="8" w:space="0"/>
              <w:left w:val="nil"/>
              <w:bottom w:val="nil"/>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5年</w:t>
            </w:r>
          </w:p>
        </w:tc>
        <w:tc>
          <w:tcPr>
            <w:tcW w:w="720" w:type="dxa"/>
            <w:tcBorders>
              <w:top w:val="single" w:color="auto" w:sz="4" w:space="0"/>
              <w:left w:val="single" w:color="auto" w:sz="4" w:space="0"/>
              <w:bottom w:val="nil"/>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50</w:t>
            </w:r>
          </w:p>
        </w:tc>
        <w:tc>
          <w:tcPr>
            <w:tcW w:w="2685" w:type="dxa"/>
            <w:tcBorders>
              <w:top w:val="single" w:color="auto" w:sz="4" w:space="0"/>
              <w:left w:val="single" w:color="auto" w:sz="4" w:space="0"/>
              <w:bottom w:val="nil"/>
              <w:right w:val="single" w:color="auto" w:sz="4" w:space="0"/>
            </w:tcBorders>
            <w:noWrap/>
            <w:vAlign w:val="center"/>
          </w:tcPr>
          <w:p>
            <w:pPr>
              <w:spacing w:line="240" w:lineRule="exact"/>
              <w:jc w:val="center"/>
              <w:rPr>
                <w:rFonts w:ascii="仿宋_GB2312"/>
                <w:color w:val="000000"/>
                <w:spacing w:val="-28"/>
                <w:sz w:val="24"/>
              </w:rPr>
            </w:pPr>
            <w:r>
              <w:rPr>
                <w:rFonts w:hint="eastAsia" w:ascii="仿宋_GB2312"/>
                <w:color w:val="000000"/>
                <w:spacing w:val="-28"/>
                <w:sz w:val="24"/>
              </w:rPr>
              <w:t>青岛幼儿师范高等专科学校</w:t>
            </w: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会计事务</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240" w:lineRule="exact"/>
              <w:jc w:val="center"/>
              <w:rPr>
                <w:rFonts w:ascii="仿宋_GB2312"/>
                <w:sz w:val="24"/>
              </w:rPr>
            </w:pPr>
            <w:r>
              <w:rPr>
                <w:rFonts w:hint="eastAsia" w:ascii="仿宋_GB2312"/>
                <w:sz w:val="24"/>
              </w:rPr>
              <w:t>80</w:t>
            </w:r>
          </w:p>
        </w:tc>
        <w:tc>
          <w:tcPr>
            <w:tcW w:w="2685" w:type="dxa"/>
            <w:tcBorders>
              <w:top w:val="single" w:color="auto" w:sz="4" w:space="0"/>
              <w:left w:val="single" w:color="auto" w:sz="4" w:space="0"/>
              <w:bottom w:val="single" w:color="000000" w:sz="8"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山东科技职业学院</w:t>
            </w: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汽车运用与维修</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240" w:lineRule="exact"/>
              <w:jc w:val="center"/>
              <w:rPr>
                <w:rFonts w:ascii="仿宋_GB2312"/>
                <w:sz w:val="24"/>
              </w:rPr>
            </w:pPr>
            <w:r>
              <w:rPr>
                <w:rFonts w:hint="eastAsia" w:ascii="仿宋_GB2312"/>
                <w:sz w:val="24"/>
              </w:rPr>
              <w:t>40</w:t>
            </w:r>
          </w:p>
        </w:tc>
        <w:tc>
          <w:tcPr>
            <w:tcW w:w="2685" w:type="dxa"/>
            <w:tcBorders>
              <w:top w:val="single" w:color="auto" w:sz="4" w:space="0"/>
              <w:left w:val="single" w:color="auto" w:sz="4" w:space="0"/>
              <w:bottom w:val="single" w:color="000000" w:sz="8"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淄博职业学院</w:t>
            </w: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物流服务与管理</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240" w:lineRule="exact"/>
              <w:jc w:val="center"/>
              <w:rPr>
                <w:rFonts w:ascii="仿宋_GB2312"/>
                <w:sz w:val="24"/>
              </w:rPr>
            </w:pPr>
            <w:r>
              <w:rPr>
                <w:rFonts w:hint="eastAsia" w:ascii="仿宋_GB2312"/>
                <w:sz w:val="24"/>
              </w:rPr>
              <w:t>80</w:t>
            </w:r>
          </w:p>
        </w:tc>
        <w:tc>
          <w:tcPr>
            <w:tcW w:w="2685" w:type="dxa"/>
            <w:tcBorders>
              <w:top w:val="single" w:color="auto" w:sz="4" w:space="0"/>
              <w:left w:val="single" w:color="auto" w:sz="4" w:space="0"/>
              <w:bottom w:val="single" w:color="000000" w:sz="8"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潍坊工程职业学院</w:t>
            </w: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老年人服务与管理</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300" w:lineRule="exact"/>
              <w:jc w:val="center"/>
              <w:rPr>
                <w:rFonts w:ascii="仿宋_GB2312"/>
                <w:sz w:val="24"/>
              </w:rPr>
            </w:pPr>
            <w:r>
              <w:rPr>
                <w:rFonts w:hint="eastAsia" w:ascii="仿宋_GB2312"/>
                <w:sz w:val="24"/>
              </w:rPr>
              <w:t>40</w:t>
            </w:r>
          </w:p>
        </w:tc>
        <w:tc>
          <w:tcPr>
            <w:tcW w:w="2685" w:type="dxa"/>
            <w:vMerge w:val="restart"/>
            <w:tcBorders>
              <w:top w:val="single" w:color="auto" w:sz="4" w:space="0"/>
              <w:left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青岛工程职业学院</w:t>
            </w: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物联网技术应用</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300" w:lineRule="exact"/>
              <w:jc w:val="center"/>
              <w:rPr>
                <w:rFonts w:ascii="仿宋_GB2312"/>
                <w:sz w:val="24"/>
              </w:rPr>
            </w:pPr>
            <w:r>
              <w:rPr>
                <w:rFonts w:hint="eastAsia" w:ascii="仿宋_GB2312"/>
                <w:sz w:val="24"/>
              </w:rPr>
              <w:t>40</w:t>
            </w:r>
          </w:p>
        </w:tc>
        <w:tc>
          <w:tcPr>
            <w:tcW w:w="2685" w:type="dxa"/>
            <w:vMerge w:val="continue"/>
            <w:tcBorders>
              <w:left w:val="single" w:color="auto" w:sz="4" w:space="0"/>
              <w:bottom w:val="single" w:color="000000" w:sz="8" w:space="0"/>
              <w:right w:val="single" w:color="auto" w:sz="4" w:space="0"/>
            </w:tcBorders>
            <w:noWrap/>
            <w:vAlign w:val="center"/>
          </w:tcPr>
          <w:p>
            <w:pPr>
              <w:spacing w:line="240" w:lineRule="exact"/>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pacing w:val="-20"/>
                <w:sz w:val="24"/>
              </w:rPr>
              <w:t>高星级饭店运营与管理</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240" w:lineRule="exact"/>
              <w:jc w:val="center"/>
              <w:rPr>
                <w:rFonts w:ascii="仿宋_GB2312"/>
                <w:sz w:val="24"/>
              </w:rPr>
            </w:pPr>
            <w:r>
              <w:rPr>
                <w:rFonts w:hint="eastAsia" w:ascii="仿宋_GB2312"/>
                <w:sz w:val="24"/>
              </w:rPr>
              <w:t>40</w:t>
            </w:r>
          </w:p>
        </w:tc>
        <w:tc>
          <w:tcPr>
            <w:tcW w:w="2685"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仿宋_GB2312"/>
                <w:color w:val="000000"/>
                <w:sz w:val="24"/>
              </w:rPr>
            </w:pPr>
            <w:r>
              <w:rPr>
                <w:rFonts w:hint="eastAsia" w:ascii="仿宋_GB2312"/>
                <w:color w:val="000000"/>
                <w:sz w:val="24"/>
              </w:rPr>
              <w:t>青岛职业技术学院</w:t>
            </w: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工业机器人技术应用</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300" w:lineRule="exact"/>
              <w:jc w:val="center"/>
              <w:rPr>
                <w:rFonts w:ascii="仿宋_GB2312"/>
                <w:sz w:val="24"/>
              </w:rPr>
            </w:pPr>
            <w:r>
              <w:rPr>
                <w:rFonts w:hint="eastAsia" w:ascii="仿宋_GB2312"/>
                <w:sz w:val="24"/>
              </w:rPr>
              <w:t>40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计算机网络技术</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300" w:lineRule="exact"/>
              <w:jc w:val="center"/>
              <w:rPr>
                <w:rFonts w:ascii="仿宋_GB2312"/>
                <w:sz w:val="24"/>
              </w:rPr>
            </w:pPr>
            <w:r>
              <w:rPr>
                <w:rFonts w:hint="eastAsia" w:ascii="仿宋_GB2312"/>
                <w:sz w:val="24"/>
              </w:rPr>
              <w:t>40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计算机平面设计</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300" w:lineRule="exact"/>
              <w:jc w:val="center"/>
              <w:rPr>
                <w:rFonts w:ascii="仿宋_GB2312"/>
                <w:sz w:val="24"/>
              </w:rPr>
            </w:pPr>
            <w:r>
              <w:rPr>
                <w:rFonts w:hint="eastAsia" w:ascii="仿宋_GB2312"/>
                <w:sz w:val="24"/>
              </w:rPr>
              <w:t>40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动漫与游戏制作</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300" w:lineRule="exact"/>
              <w:jc w:val="center"/>
              <w:rPr>
                <w:rFonts w:ascii="仿宋_GB2312"/>
                <w:sz w:val="24"/>
              </w:rPr>
            </w:pPr>
            <w:r>
              <w:rPr>
                <w:rFonts w:hint="eastAsia" w:ascii="仿宋_GB2312"/>
                <w:sz w:val="24"/>
              </w:rPr>
              <w:t>40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4"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商务日语</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300" w:lineRule="exact"/>
              <w:jc w:val="center"/>
              <w:rPr>
                <w:rFonts w:ascii="仿宋_GB2312"/>
                <w:sz w:val="24"/>
              </w:rPr>
            </w:pPr>
            <w:r>
              <w:rPr>
                <w:rFonts w:hint="eastAsia" w:ascii="仿宋_GB2312"/>
                <w:sz w:val="24"/>
              </w:rPr>
              <w:t>30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商务韩语</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300" w:lineRule="exact"/>
              <w:jc w:val="center"/>
              <w:rPr>
                <w:rFonts w:ascii="仿宋_GB2312"/>
                <w:sz w:val="24"/>
              </w:rPr>
            </w:pPr>
            <w:r>
              <w:rPr>
                <w:rFonts w:hint="eastAsia" w:ascii="仿宋_GB2312"/>
                <w:sz w:val="24"/>
              </w:rPr>
              <w:t>30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会展服务与管理</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300" w:lineRule="exact"/>
              <w:jc w:val="center"/>
              <w:rPr>
                <w:rFonts w:ascii="仿宋_GB2312"/>
                <w:sz w:val="24"/>
              </w:rPr>
            </w:pPr>
            <w:r>
              <w:rPr>
                <w:rFonts w:hint="eastAsia" w:ascii="仿宋_GB2312"/>
                <w:sz w:val="24"/>
              </w:rPr>
              <w:t>40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361"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机电技术应用</w:t>
            </w:r>
          </w:p>
        </w:tc>
        <w:tc>
          <w:tcPr>
            <w:tcW w:w="12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4"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000000" w:sz="8" w:space="0"/>
              <w:right w:val="single" w:color="auto" w:sz="4" w:space="0"/>
            </w:tcBorders>
            <w:noWrap/>
            <w:vAlign w:val="center"/>
          </w:tcPr>
          <w:p>
            <w:pPr>
              <w:spacing w:line="300" w:lineRule="exact"/>
              <w:jc w:val="center"/>
              <w:rPr>
                <w:rFonts w:ascii="仿宋_GB2312"/>
                <w:sz w:val="24"/>
              </w:rPr>
            </w:pPr>
            <w:r>
              <w:rPr>
                <w:rFonts w:hint="eastAsia" w:ascii="仿宋_GB2312"/>
                <w:sz w:val="24"/>
              </w:rPr>
              <w:t>80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single" w:color="auto" w:sz="8" w:space="0"/>
              <w:left w:val="nil"/>
              <w:bottom w:val="single" w:color="auto" w:sz="8" w:space="0"/>
              <w:right w:val="single" w:color="auto" w:sz="4" w:space="0"/>
            </w:tcBorders>
            <w:noWrap/>
            <w:vAlign w:val="center"/>
          </w:tcPr>
          <w:p>
            <w:pPr>
              <w:spacing w:line="240" w:lineRule="exact"/>
              <w:jc w:val="center"/>
              <w:rPr>
                <w:rFonts w:ascii="仿宋_GB2312"/>
                <w:sz w:val="24"/>
              </w:rPr>
            </w:pPr>
            <w:r>
              <w:rPr>
                <w:rFonts w:hint="eastAsia" w:ascii="仿宋_GB2312"/>
                <w:sz w:val="24"/>
              </w:rPr>
              <w:t>数控技术应用</w:t>
            </w:r>
          </w:p>
        </w:tc>
        <w:tc>
          <w:tcPr>
            <w:tcW w:w="1260" w:type="dxa"/>
            <w:tcBorders>
              <w:top w:val="single" w:color="auto" w:sz="8" w:space="0"/>
              <w:left w:val="nil"/>
              <w:bottom w:val="single" w:color="auto" w:sz="8" w:space="0"/>
              <w:right w:val="single" w:color="auto" w:sz="4" w:space="0"/>
            </w:tcBorders>
            <w:noWrap/>
            <w:vAlign w:val="center"/>
          </w:tcPr>
          <w:p>
            <w:pPr>
              <w:spacing w:line="240" w:lineRule="exact"/>
              <w:jc w:val="center"/>
              <w:rPr>
                <w:rFonts w:ascii="仿宋_GB2312"/>
                <w:sz w:val="24"/>
              </w:rPr>
            </w:pPr>
            <w:r>
              <w:rPr>
                <w:rFonts w:hint="eastAsia" w:ascii="仿宋_GB2312"/>
                <w:sz w:val="24"/>
              </w:rPr>
              <w:t>三二连读</w:t>
            </w:r>
          </w:p>
        </w:tc>
        <w:tc>
          <w:tcPr>
            <w:tcW w:w="660" w:type="dxa"/>
            <w:tcBorders>
              <w:top w:val="single" w:color="auto" w:sz="8" w:space="0"/>
              <w:left w:val="nil"/>
              <w:bottom w:val="single" w:color="auto" w:sz="8" w:space="0"/>
              <w:right w:val="single" w:color="auto" w:sz="4" w:space="0"/>
            </w:tcBorders>
            <w:noWrap/>
            <w:vAlign w:val="center"/>
          </w:tcPr>
          <w:p>
            <w:pPr>
              <w:spacing w:line="240" w:lineRule="exact"/>
              <w:jc w:val="center"/>
              <w:rPr>
                <w:rFonts w:ascii="仿宋_GB2312"/>
                <w:sz w:val="24"/>
              </w:rPr>
            </w:pPr>
            <w:r>
              <w:rPr>
                <w:rFonts w:hint="eastAsia" w:ascii="仿宋_GB2312"/>
                <w:sz w:val="24"/>
              </w:rPr>
              <w:t>5年</w:t>
            </w:r>
          </w:p>
        </w:tc>
        <w:tc>
          <w:tcPr>
            <w:tcW w:w="720"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80</w:t>
            </w:r>
          </w:p>
        </w:tc>
        <w:tc>
          <w:tcPr>
            <w:tcW w:w="26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restart"/>
            <w:tcBorders>
              <w:top w:val="single" w:color="auto" w:sz="4" w:space="0"/>
              <w:left w:val="single" w:color="auto" w:sz="8"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青西新区黄海职业学校</w:t>
            </w:r>
          </w:p>
        </w:tc>
        <w:tc>
          <w:tcPr>
            <w:tcW w:w="270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电子商务</w:t>
            </w:r>
          </w:p>
        </w:tc>
        <w:tc>
          <w:tcPr>
            <w:tcW w:w="126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三二连读</w:t>
            </w:r>
          </w:p>
        </w:tc>
        <w:tc>
          <w:tcPr>
            <w:tcW w:w="66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5年</w:t>
            </w:r>
          </w:p>
        </w:tc>
        <w:tc>
          <w:tcPr>
            <w:tcW w:w="72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150</w:t>
            </w:r>
          </w:p>
        </w:tc>
        <w:tc>
          <w:tcPr>
            <w:tcW w:w="2685" w:type="dxa"/>
            <w:vMerge w:val="restart"/>
            <w:tcBorders>
              <w:top w:val="nil"/>
              <w:left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青岛黄海学院</w:t>
            </w: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汽车运用与维修</w:t>
            </w:r>
          </w:p>
        </w:tc>
        <w:tc>
          <w:tcPr>
            <w:tcW w:w="12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5年</w:t>
            </w:r>
          </w:p>
        </w:tc>
        <w:tc>
          <w:tcPr>
            <w:tcW w:w="72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60</w:t>
            </w:r>
          </w:p>
        </w:tc>
        <w:tc>
          <w:tcPr>
            <w:tcW w:w="2685" w:type="dxa"/>
            <w:vMerge w:val="continue"/>
            <w:tcBorders>
              <w:left w:val="single" w:color="auto" w:sz="4" w:space="0"/>
              <w:right w:val="single" w:color="auto" w:sz="4" w:space="0"/>
            </w:tcBorders>
            <w:noWrap/>
            <w:vAlign w:val="center"/>
          </w:tcPr>
          <w:p>
            <w:pPr>
              <w:spacing w:line="300" w:lineRule="exact"/>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机电技术应用</w:t>
            </w:r>
          </w:p>
        </w:tc>
        <w:tc>
          <w:tcPr>
            <w:tcW w:w="12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5年</w:t>
            </w:r>
          </w:p>
        </w:tc>
        <w:tc>
          <w:tcPr>
            <w:tcW w:w="72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100</w:t>
            </w:r>
          </w:p>
        </w:tc>
        <w:tc>
          <w:tcPr>
            <w:tcW w:w="2685" w:type="dxa"/>
            <w:vMerge w:val="continue"/>
            <w:tcBorders>
              <w:left w:val="single" w:color="auto" w:sz="4" w:space="0"/>
              <w:right w:val="single" w:color="auto" w:sz="4" w:space="0"/>
            </w:tcBorders>
            <w:noWrap/>
            <w:vAlign w:val="center"/>
          </w:tcPr>
          <w:p>
            <w:pPr>
              <w:spacing w:line="300" w:lineRule="exact"/>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数控技术应用</w:t>
            </w:r>
          </w:p>
        </w:tc>
        <w:tc>
          <w:tcPr>
            <w:tcW w:w="12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5年</w:t>
            </w:r>
          </w:p>
        </w:tc>
        <w:tc>
          <w:tcPr>
            <w:tcW w:w="72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50</w:t>
            </w:r>
          </w:p>
        </w:tc>
        <w:tc>
          <w:tcPr>
            <w:tcW w:w="2685" w:type="dxa"/>
            <w:vMerge w:val="continue"/>
            <w:tcBorders>
              <w:left w:val="single" w:color="auto" w:sz="4" w:space="0"/>
              <w:right w:val="single" w:color="auto" w:sz="4" w:space="0"/>
            </w:tcBorders>
            <w:noWrap/>
            <w:vAlign w:val="center"/>
          </w:tcPr>
          <w:p>
            <w:pPr>
              <w:spacing w:line="300" w:lineRule="exact"/>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会计事务</w:t>
            </w:r>
          </w:p>
        </w:tc>
        <w:tc>
          <w:tcPr>
            <w:tcW w:w="12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5年</w:t>
            </w:r>
          </w:p>
        </w:tc>
        <w:tc>
          <w:tcPr>
            <w:tcW w:w="72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60</w:t>
            </w:r>
          </w:p>
        </w:tc>
        <w:tc>
          <w:tcPr>
            <w:tcW w:w="2685" w:type="dxa"/>
            <w:vMerge w:val="continue"/>
            <w:tcBorders>
              <w:left w:val="single" w:color="auto" w:sz="4" w:space="0"/>
              <w:right w:val="single" w:color="auto" w:sz="4" w:space="0"/>
            </w:tcBorders>
            <w:noWrap/>
            <w:vAlign w:val="center"/>
          </w:tcPr>
          <w:p>
            <w:pPr>
              <w:spacing w:line="300" w:lineRule="exact"/>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建筑工程造价</w:t>
            </w:r>
          </w:p>
        </w:tc>
        <w:tc>
          <w:tcPr>
            <w:tcW w:w="12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5年</w:t>
            </w:r>
          </w:p>
        </w:tc>
        <w:tc>
          <w:tcPr>
            <w:tcW w:w="72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80</w:t>
            </w:r>
          </w:p>
        </w:tc>
        <w:tc>
          <w:tcPr>
            <w:tcW w:w="2685" w:type="dxa"/>
            <w:vMerge w:val="continue"/>
            <w:tcBorders>
              <w:left w:val="single" w:color="auto" w:sz="4" w:space="0"/>
              <w:right w:val="single" w:color="auto" w:sz="4" w:space="0"/>
            </w:tcBorders>
            <w:noWrap/>
            <w:vAlign w:val="center"/>
          </w:tcPr>
          <w:p>
            <w:pPr>
              <w:spacing w:line="300" w:lineRule="exact"/>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物流服务与管理</w:t>
            </w:r>
          </w:p>
        </w:tc>
        <w:tc>
          <w:tcPr>
            <w:tcW w:w="12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三二连读</w:t>
            </w:r>
          </w:p>
        </w:tc>
        <w:tc>
          <w:tcPr>
            <w:tcW w:w="6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5年</w:t>
            </w:r>
          </w:p>
        </w:tc>
        <w:tc>
          <w:tcPr>
            <w:tcW w:w="72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50</w:t>
            </w:r>
          </w:p>
        </w:tc>
        <w:tc>
          <w:tcPr>
            <w:tcW w:w="2685" w:type="dxa"/>
            <w:vMerge w:val="continue"/>
            <w:tcBorders>
              <w:left w:val="single" w:color="auto" w:sz="4" w:space="0"/>
              <w:right w:val="single" w:color="auto" w:sz="4" w:space="0"/>
            </w:tcBorders>
            <w:noWrap/>
            <w:vAlign w:val="center"/>
          </w:tcPr>
          <w:p>
            <w:pPr>
              <w:spacing w:line="300" w:lineRule="exact"/>
              <w:jc w:val="center"/>
              <w:rPr>
                <w:rFonts w:ascii="仿宋_GB2312"/>
                <w:color w:val="000000"/>
                <w:sz w:val="24"/>
              </w:rPr>
            </w:pPr>
          </w:p>
        </w:tc>
      </w:tr>
      <w:tr>
        <w:tblPrEx>
          <w:tblCellMar>
            <w:top w:w="0" w:type="dxa"/>
            <w:left w:w="108" w:type="dxa"/>
            <w:bottom w:w="0" w:type="dxa"/>
            <w:right w:w="108" w:type="dxa"/>
          </w:tblCellMar>
        </w:tblPrEx>
        <w:trPr>
          <w:trHeight w:val="409" w:hRule="atLeast"/>
        </w:trPr>
        <w:tc>
          <w:tcPr>
            <w:tcW w:w="890" w:type="dxa"/>
            <w:vMerge w:val="continue"/>
            <w:tcBorders>
              <w:top w:val="single" w:color="auto" w:sz="4" w:space="0"/>
              <w:left w:val="single" w:color="auto" w:sz="8" w:space="0"/>
              <w:bottom w:val="single" w:color="auto" w:sz="4" w:space="0"/>
              <w:right w:val="single" w:color="auto" w:sz="4" w:space="0"/>
            </w:tcBorders>
            <w:noWrap/>
            <w:vAlign w:val="center"/>
          </w:tcPr>
          <w:p>
            <w:pPr>
              <w:widowControl/>
              <w:jc w:val="left"/>
              <w:rPr>
                <w:rFonts w:ascii="仿宋_GB2312"/>
                <w:color w:val="000000"/>
                <w:sz w:val="24"/>
              </w:rPr>
            </w:pPr>
          </w:p>
        </w:tc>
        <w:tc>
          <w:tcPr>
            <w:tcW w:w="2703" w:type="dxa"/>
            <w:tcBorders>
              <w:top w:val="nil"/>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幼儿保育</w:t>
            </w:r>
          </w:p>
        </w:tc>
        <w:tc>
          <w:tcPr>
            <w:tcW w:w="1260" w:type="dxa"/>
            <w:tcBorders>
              <w:top w:val="nil"/>
              <w:left w:val="nil"/>
              <w:bottom w:val="single" w:color="auto" w:sz="4" w:space="0"/>
              <w:right w:val="single" w:color="auto" w:sz="4" w:space="0"/>
            </w:tcBorders>
            <w:noWrap/>
            <w:vAlign w:val="center"/>
          </w:tcPr>
          <w:p>
            <w:pPr>
              <w:spacing w:line="240" w:lineRule="exact"/>
              <w:jc w:val="center"/>
              <w:rPr>
                <w:rFonts w:ascii="仿宋_GB2312"/>
                <w:color w:val="000000"/>
                <w:spacing w:val="-20"/>
                <w:sz w:val="24"/>
              </w:rPr>
            </w:pPr>
            <w:r>
              <w:rPr>
                <w:rFonts w:hint="eastAsia" w:ascii="仿宋_GB2312"/>
                <w:color w:val="000000"/>
                <w:spacing w:val="-20"/>
                <w:sz w:val="24"/>
              </w:rPr>
              <w:t>五年制高师</w:t>
            </w:r>
          </w:p>
        </w:tc>
        <w:tc>
          <w:tcPr>
            <w:tcW w:w="66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5年</w:t>
            </w:r>
          </w:p>
        </w:tc>
        <w:tc>
          <w:tcPr>
            <w:tcW w:w="720" w:type="dxa"/>
            <w:tcBorders>
              <w:top w:val="nil"/>
              <w:left w:val="nil"/>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50</w:t>
            </w:r>
          </w:p>
        </w:tc>
        <w:tc>
          <w:tcPr>
            <w:tcW w:w="2685" w:type="dxa"/>
            <w:vMerge w:val="continue"/>
            <w:tcBorders>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p>
        </w:tc>
      </w:tr>
    </w:tbl>
    <w:p/>
    <w:p>
      <w:pPr>
        <w:widowControl/>
        <w:jc w:val="left"/>
        <w:rPr>
          <w:rFonts w:ascii="黑体" w:hAnsi="黑体" w:eastAsia="黑体"/>
          <w:bCs/>
          <w:szCs w:val="32"/>
        </w:rPr>
      </w:pPr>
    </w:p>
    <w:p>
      <w:pPr>
        <w:widowControl/>
        <w:jc w:val="left"/>
        <w:rPr>
          <w:rFonts w:ascii="黑体" w:hAnsi="黑体" w:eastAsia="黑体"/>
          <w:bCs/>
          <w:szCs w:val="32"/>
        </w:rPr>
      </w:pPr>
    </w:p>
    <w:p>
      <w:pPr>
        <w:widowControl/>
        <w:jc w:val="left"/>
        <w:rPr>
          <w:rFonts w:ascii="黑体" w:hAnsi="黑体" w:eastAsia="黑体"/>
          <w:bCs/>
          <w:szCs w:val="32"/>
        </w:rPr>
      </w:pPr>
      <w:r>
        <w:rPr>
          <w:rFonts w:hint="eastAsia" w:ascii="黑体" w:hAnsi="黑体" w:eastAsia="黑体"/>
          <w:bCs/>
          <w:szCs w:val="32"/>
        </w:rPr>
        <w:t>附件4</w:t>
      </w:r>
    </w:p>
    <w:p>
      <w:pPr>
        <w:widowControl/>
        <w:spacing w:line="560" w:lineRule="exact"/>
        <w:jc w:val="center"/>
        <w:outlineLvl w:val="1"/>
        <w:rPr>
          <w:rFonts w:hint="eastAsia" w:ascii="方正小标宋_GBK" w:hAnsi="方正小标宋_GBK" w:eastAsia="方正小标宋_GBK" w:cs="方正小标宋_GBK"/>
          <w:color w:val="000000"/>
          <w:spacing w:val="-20"/>
          <w:kern w:val="0"/>
          <w:sz w:val="44"/>
          <w:szCs w:val="44"/>
        </w:rPr>
      </w:pPr>
      <w:r>
        <w:rPr>
          <w:rFonts w:hint="eastAsia" w:ascii="方正小标宋_GBK" w:hAnsi="方正小标宋_GBK" w:eastAsia="方正小标宋_GBK" w:cs="方正小标宋_GBK"/>
          <w:color w:val="000000"/>
          <w:spacing w:val="-20"/>
          <w:kern w:val="0"/>
          <w:sz w:val="44"/>
          <w:szCs w:val="44"/>
        </w:rPr>
        <w:t>2022年青岛西海岸新区开展“普职融通实验班”</w:t>
      </w:r>
    </w:p>
    <w:p>
      <w:pPr>
        <w:widowControl/>
        <w:spacing w:line="560" w:lineRule="exact"/>
        <w:jc w:val="center"/>
        <w:outlineLvl w:val="1"/>
        <w:rPr>
          <w:rFonts w:ascii="方正小标宋_GBK" w:hAnsi="方正小标宋_GBK" w:eastAsia="方正小标宋_GBK" w:cs="方正小标宋_GBK"/>
          <w:color w:val="FF0000"/>
          <w:spacing w:val="-20"/>
          <w:kern w:val="0"/>
          <w:sz w:val="44"/>
          <w:szCs w:val="44"/>
        </w:rPr>
      </w:pPr>
      <w:r>
        <w:rPr>
          <w:rFonts w:hint="eastAsia" w:ascii="方正小标宋_GBK" w:hAnsi="方正小标宋_GBK" w:eastAsia="方正小标宋_GBK" w:cs="方正小标宋_GBK"/>
          <w:color w:val="000000"/>
          <w:spacing w:val="-20"/>
          <w:kern w:val="0"/>
          <w:sz w:val="44"/>
          <w:szCs w:val="44"/>
        </w:rPr>
        <w:t>试点学校名单</w:t>
      </w:r>
    </w:p>
    <w:tbl>
      <w:tblPr>
        <w:tblStyle w:val="11"/>
        <w:tblW w:w="889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10"/>
        <w:gridCol w:w="2932"/>
        <w:gridCol w:w="1073"/>
        <w:gridCol w:w="1197"/>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738"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仿宋_GB2312"/>
                <w:sz w:val="24"/>
              </w:rPr>
            </w:pPr>
            <w:bookmarkStart w:id="2" w:name="_Hlk67994488"/>
            <w:r>
              <w:rPr>
                <w:rFonts w:hint="eastAsia" w:ascii="仿宋_GB2312"/>
                <w:sz w:val="24"/>
              </w:rPr>
              <w:t>序号</w:t>
            </w:r>
          </w:p>
        </w:tc>
        <w:tc>
          <w:tcPr>
            <w:tcW w:w="1710"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仿宋_GB2312"/>
                <w:sz w:val="24"/>
              </w:rPr>
            </w:pPr>
            <w:r>
              <w:rPr>
                <w:rFonts w:hint="eastAsia" w:ascii="仿宋_GB2312"/>
                <w:sz w:val="24"/>
              </w:rPr>
              <w:t>中职学校</w:t>
            </w: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仿宋_GB2312"/>
                <w:sz w:val="24"/>
              </w:rPr>
            </w:pPr>
            <w:r>
              <w:rPr>
                <w:rFonts w:hint="eastAsia" w:ascii="仿宋_GB2312"/>
                <w:sz w:val="24"/>
              </w:rPr>
              <w:t>专业</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仿宋_GB2312"/>
                <w:sz w:val="24"/>
              </w:rPr>
            </w:pPr>
            <w:r>
              <w:rPr>
                <w:rFonts w:hint="eastAsia" w:ascii="仿宋_GB2312"/>
                <w:sz w:val="24"/>
              </w:rPr>
              <w:t>学制</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仿宋_GB2312"/>
                <w:sz w:val="24"/>
              </w:rPr>
            </w:pPr>
            <w:r>
              <w:rPr>
                <w:rFonts w:hint="eastAsia" w:ascii="仿宋_GB2312"/>
                <w:sz w:val="24"/>
              </w:rPr>
              <w:t>招生班数</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center"/>
              <w:rPr>
                <w:rFonts w:ascii="仿宋_GB2312"/>
                <w:sz w:val="24"/>
              </w:rPr>
            </w:pPr>
            <w:r>
              <w:rPr>
                <w:rFonts w:hint="eastAsia" w:ascii="仿宋_GB2312"/>
                <w:sz w:val="24"/>
              </w:rPr>
              <w:t>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1</w:t>
            </w:r>
          </w:p>
        </w:tc>
        <w:tc>
          <w:tcPr>
            <w:tcW w:w="1710"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青西新区职业中等专业学校</w:t>
            </w:r>
          </w:p>
          <w:p>
            <w:pPr>
              <w:spacing w:line="300" w:lineRule="exact"/>
              <w:jc w:val="center"/>
              <w:rPr>
                <w:rFonts w:ascii="仿宋_GB2312"/>
                <w:sz w:val="24"/>
              </w:rPr>
            </w:pPr>
          </w:p>
          <w:p>
            <w:pPr>
              <w:spacing w:line="300" w:lineRule="exact"/>
              <w:jc w:val="center"/>
              <w:rPr>
                <w:rFonts w:ascii="仿宋_GB2312"/>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数控技术应用</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textAlignment w:val="center"/>
              <w:rPr>
                <w:rFonts w:ascii="仿宋_GB2312"/>
                <w:color w:val="000000"/>
                <w:sz w:val="24"/>
              </w:rPr>
            </w:pPr>
            <w:r>
              <w:rPr>
                <w:rFonts w:hint="eastAsia" w:ascii="仿宋_GB2312"/>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机电技术应用</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textAlignment w:val="center"/>
              <w:rPr>
                <w:rFonts w:ascii="仿宋_GB2312"/>
                <w:sz w:val="24"/>
              </w:rPr>
            </w:pPr>
            <w:r>
              <w:rPr>
                <w:rFonts w:hint="eastAsia" w:ascii="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建筑工程施工</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textAlignment w:val="center"/>
              <w:rPr>
                <w:rFonts w:ascii="仿宋_GB2312"/>
                <w:sz w:val="24"/>
              </w:rPr>
            </w:pPr>
            <w:r>
              <w:rPr>
                <w:rFonts w:hint="eastAsia" w:ascii="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计算机应用</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textAlignment w:val="center"/>
              <w:rPr>
                <w:rFonts w:ascii="仿宋_GB2312"/>
                <w:sz w:val="24"/>
              </w:rPr>
            </w:pPr>
            <w:r>
              <w:rPr>
                <w:rFonts w:hint="eastAsia" w:ascii="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会计事务</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textAlignment w:val="center"/>
              <w:rPr>
                <w:rFonts w:ascii="仿宋_GB2312"/>
                <w:sz w:val="24"/>
              </w:rPr>
            </w:pPr>
            <w:r>
              <w:rPr>
                <w:rFonts w:hint="eastAsia" w:ascii="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物流服务与管理</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textAlignment w:val="center"/>
              <w:rPr>
                <w:rFonts w:ascii="仿宋_GB2312"/>
                <w:sz w:val="24"/>
              </w:rPr>
            </w:pPr>
            <w:r>
              <w:rPr>
                <w:rFonts w:hint="eastAsia" w:ascii="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跨境电子商务</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textAlignment w:val="center"/>
              <w:rPr>
                <w:rFonts w:ascii="仿宋_GB2312"/>
                <w:sz w:val="24"/>
              </w:rPr>
            </w:pPr>
            <w:r>
              <w:rPr>
                <w:rFonts w:hint="eastAsia" w:ascii="仿宋_GB2312"/>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73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新能源汽车运用与维修</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textAlignment w:val="center"/>
              <w:rPr>
                <w:rFonts w:ascii="仿宋_GB2312"/>
                <w:sz w:val="24"/>
              </w:rPr>
            </w:pPr>
            <w:r>
              <w:rPr>
                <w:rFonts w:hint="eastAsia" w:ascii="仿宋_GB2312"/>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仿宋_GB2312"/>
                <w:color w:val="FF0000"/>
                <w:sz w:val="24"/>
              </w:rPr>
            </w:pPr>
            <w:r>
              <w:rPr>
                <w:rFonts w:hint="eastAsia" w:ascii="仿宋_GB2312"/>
                <w:color w:val="000000"/>
                <w:sz w:val="24"/>
              </w:rPr>
              <w:t>2</w:t>
            </w:r>
          </w:p>
          <w:p>
            <w:pPr>
              <w:spacing w:line="300" w:lineRule="exact"/>
              <w:jc w:val="center"/>
              <w:rPr>
                <w:rFonts w:ascii="仿宋_GB2312"/>
                <w:color w:val="000000"/>
                <w:sz w:val="24"/>
              </w:rPr>
            </w:pPr>
          </w:p>
        </w:tc>
        <w:tc>
          <w:tcPr>
            <w:tcW w:w="1710"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青西新区高级职业技术学校</w:t>
            </w:r>
          </w:p>
          <w:p>
            <w:pPr>
              <w:spacing w:line="300" w:lineRule="exact"/>
              <w:jc w:val="center"/>
              <w:rPr>
                <w:rFonts w:ascii="仿宋_GB2312"/>
                <w:color w:val="000000"/>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机电技术应用</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left w:val="single" w:color="auto" w:sz="4" w:space="0"/>
              <w:right w:val="single" w:color="auto" w:sz="4" w:space="0"/>
            </w:tcBorders>
            <w:noWrap/>
            <w:vAlign w:val="center"/>
          </w:tcPr>
          <w:p>
            <w:pPr>
              <w:widowControl/>
              <w:jc w:val="left"/>
              <w:rPr>
                <w:rFonts w:ascii="仿宋_GB2312"/>
                <w:color w:val="000000"/>
                <w:sz w:val="24"/>
              </w:rPr>
            </w:pPr>
          </w:p>
        </w:tc>
        <w:tc>
          <w:tcPr>
            <w:tcW w:w="1710" w:type="dxa"/>
            <w:vMerge w:val="continue"/>
            <w:tcBorders>
              <w:left w:val="single" w:color="auto" w:sz="4" w:space="0"/>
              <w:right w:val="single" w:color="auto" w:sz="4" w:space="0"/>
            </w:tcBorders>
            <w:noWrap/>
            <w:vAlign w:val="center"/>
          </w:tcPr>
          <w:p>
            <w:pPr>
              <w:widowControl/>
              <w:jc w:val="left"/>
              <w:rPr>
                <w:rFonts w:ascii="仿宋_GB2312"/>
                <w:color w:val="000000"/>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计算机应用</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left w:val="single" w:color="auto" w:sz="4" w:space="0"/>
              <w:right w:val="single" w:color="auto" w:sz="4" w:space="0"/>
            </w:tcBorders>
            <w:noWrap/>
            <w:vAlign w:val="center"/>
          </w:tcPr>
          <w:p>
            <w:pPr>
              <w:widowControl/>
              <w:jc w:val="left"/>
              <w:rPr>
                <w:rFonts w:ascii="仿宋_GB2312"/>
                <w:color w:val="000000"/>
                <w:sz w:val="24"/>
              </w:rPr>
            </w:pPr>
          </w:p>
        </w:tc>
        <w:tc>
          <w:tcPr>
            <w:tcW w:w="1710" w:type="dxa"/>
            <w:vMerge w:val="continue"/>
            <w:tcBorders>
              <w:left w:val="single" w:color="auto" w:sz="4" w:space="0"/>
              <w:right w:val="single" w:color="auto" w:sz="4" w:space="0"/>
            </w:tcBorders>
            <w:noWrap/>
            <w:vAlign w:val="center"/>
          </w:tcPr>
          <w:p>
            <w:pPr>
              <w:widowControl/>
              <w:jc w:val="left"/>
              <w:rPr>
                <w:rFonts w:ascii="仿宋_GB2312"/>
                <w:color w:val="000000"/>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幼儿保育</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3</w:t>
            </w:r>
          </w:p>
        </w:tc>
        <w:tc>
          <w:tcPr>
            <w:tcW w:w="1710"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sz w:val="24"/>
              </w:rPr>
              <w:t>青西</w:t>
            </w:r>
            <w:r>
              <w:rPr>
                <w:rFonts w:hint="eastAsia" w:ascii="仿宋_GB2312"/>
                <w:color w:val="000000"/>
                <w:sz w:val="24"/>
              </w:rPr>
              <w:t>新区中德应用技术学校</w:t>
            </w: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机电技术应用</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ascii="仿宋_GB2312"/>
                <w:color w:val="00000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left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left w:val="single" w:color="auto" w:sz="4" w:space="0"/>
              <w:right w:val="single" w:color="auto" w:sz="4" w:space="0"/>
            </w:tcBorders>
            <w:noWrap/>
            <w:vAlign w:val="center"/>
          </w:tcPr>
          <w:p>
            <w:pPr>
              <w:widowControl/>
              <w:jc w:val="left"/>
              <w:rPr>
                <w:rFonts w:ascii="仿宋_GB2312"/>
                <w:color w:val="000000"/>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计算机网络技术</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ascii="仿宋_GB2312"/>
                <w:color w:val="00000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left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left w:val="single" w:color="auto" w:sz="4" w:space="0"/>
              <w:right w:val="single" w:color="auto" w:sz="4" w:space="0"/>
            </w:tcBorders>
            <w:noWrap/>
            <w:vAlign w:val="center"/>
          </w:tcPr>
          <w:p>
            <w:pPr>
              <w:widowControl/>
              <w:jc w:val="left"/>
              <w:rPr>
                <w:rFonts w:ascii="仿宋_GB2312"/>
                <w:color w:val="000000"/>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计算机平面设计</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sz w:val="24"/>
              </w:rPr>
            </w:pPr>
            <w:r>
              <w:rPr>
                <w:rFonts w:hint="eastAsia" w:ascii="仿宋_GB2312"/>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5</w:t>
            </w:r>
            <w:r>
              <w:rPr>
                <w:rFonts w:ascii="仿宋_GB2312"/>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left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left w:val="single" w:color="auto" w:sz="4" w:space="0"/>
              <w:right w:val="single" w:color="auto" w:sz="4" w:space="0"/>
            </w:tcBorders>
            <w:noWrap/>
            <w:vAlign w:val="center"/>
          </w:tcPr>
          <w:p>
            <w:pPr>
              <w:widowControl/>
              <w:jc w:val="left"/>
              <w:rPr>
                <w:rFonts w:ascii="仿宋_GB2312"/>
                <w:color w:val="000000"/>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会计事务</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ascii="仿宋_GB2312"/>
                <w:color w:val="000000"/>
                <w:sz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restart"/>
            <w:tcBorders>
              <w:left w:val="single" w:color="auto" w:sz="4" w:space="0"/>
              <w:right w:val="single" w:color="auto" w:sz="4" w:space="0"/>
            </w:tcBorders>
            <w:noWrap/>
            <w:vAlign w:val="center"/>
          </w:tcPr>
          <w:p>
            <w:pPr>
              <w:widowControl/>
              <w:jc w:val="center"/>
              <w:rPr>
                <w:rFonts w:ascii="仿宋_GB2312"/>
                <w:sz w:val="24"/>
              </w:rPr>
            </w:pPr>
            <w:r>
              <w:rPr>
                <w:rFonts w:hint="eastAsia" w:ascii="仿宋_GB2312"/>
                <w:sz w:val="24"/>
              </w:rPr>
              <w:t>4</w:t>
            </w:r>
          </w:p>
        </w:tc>
        <w:tc>
          <w:tcPr>
            <w:tcW w:w="1710" w:type="dxa"/>
            <w:vMerge w:val="restart"/>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240" w:lineRule="auto"/>
              <w:jc w:val="left"/>
              <w:textAlignment w:val="auto"/>
              <w:rPr>
                <w:rFonts w:ascii="仿宋_GB2312"/>
                <w:color w:val="000000"/>
                <w:sz w:val="24"/>
              </w:rPr>
            </w:pPr>
            <w:r>
              <w:rPr>
                <w:rFonts w:hint="eastAsia" w:ascii="仿宋_GB2312"/>
                <w:sz w:val="24"/>
              </w:rPr>
              <w:t>青西</w:t>
            </w:r>
            <w:r>
              <w:rPr>
                <w:rFonts w:hint="eastAsia" w:ascii="仿宋_GB2312"/>
                <w:color w:val="000000"/>
                <w:sz w:val="24"/>
              </w:rPr>
              <w:t>新区音乐学校</w:t>
            </w: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艺术设计与制作</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38" w:type="dxa"/>
            <w:vMerge w:val="continue"/>
            <w:tcBorders>
              <w:left w:val="single" w:color="auto" w:sz="4" w:space="0"/>
              <w:bottom w:val="single" w:color="auto" w:sz="4" w:space="0"/>
              <w:right w:val="single" w:color="auto" w:sz="4" w:space="0"/>
            </w:tcBorders>
            <w:noWrap/>
            <w:vAlign w:val="center"/>
          </w:tcPr>
          <w:p>
            <w:pPr>
              <w:widowControl/>
              <w:jc w:val="left"/>
              <w:rPr>
                <w:rFonts w:ascii="仿宋_GB2312"/>
                <w:sz w:val="24"/>
              </w:rPr>
            </w:pPr>
          </w:p>
        </w:tc>
        <w:tc>
          <w:tcPr>
            <w:tcW w:w="1710" w:type="dxa"/>
            <w:vMerge w:val="continue"/>
            <w:tcBorders>
              <w:left w:val="single" w:color="auto" w:sz="4" w:space="0"/>
              <w:bottom w:val="single" w:color="auto" w:sz="4" w:space="0"/>
              <w:right w:val="single" w:color="auto" w:sz="4" w:space="0"/>
            </w:tcBorders>
            <w:noWrap/>
            <w:vAlign w:val="center"/>
          </w:tcPr>
          <w:p>
            <w:pPr>
              <w:widowControl/>
              <w:jc w:val="left"/>
              <w:rPr>
                <w:rFonts w:ascii="仿宋_GB2312"/>
                <w:color w:val="000000"/>
                <w:sz w:val="24"/>
              </w:rPr>
            </w:pPr>
          </w:p>
        </w:tc>
        <w:tc>
          <w:tcPr>
            <w:tcW w:w="2932"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音乐表演</w:t>
            </w:r>
          </w:p>
        </w:tc>
        <w:tc>
          <w:tcPr>
            <w:tcW w:w="1073"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sz w:val="24"/>
              </w:rPr>
              <w:t>3年</w:t>
            </w:r>
          </w:p>
        </w:tc>
        <w:tc>
          <w:tcPr>
            <w:tcW w:w="1197"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仿宋_GB2312"/>
                <w:color w:val="000000"/>
                <w:sz w:val="24"/>
              </w:rPr>
            </w:pPr>
            <w:r>
              <w:rPr>
                <w:rFonts w:hint="eastAsia" w:ascii="仿宋_GB2312"/>
                <w:color w:val="000000"/>
                <w:sz w:val="24"/>
              </w:rPr>
              <w:t>20</w:t>
            </w:r>
          </w:p>
        </w:tc>
      </w:tr>
      <w:bookmarkEnd w:id="2"/>
    </w:tbl>
    <w:p>
      <w:pPr>
        <w:widowControl/>
        <w:jc w:val="left"/>
        <w:rPr>
          <w:rFonts w:ascii="黑体" w:hAnsi="黑体" w:eastAsia="黑体"/>
          <w:bCs/>
          <w:szCs w:val="32"/>
        </w:rPr>
      </w:pPr>
    </w:p>
    <w:p>
      <w:pPr>
        <w:widowControl/>
        <w:jc w:val="left"/>
        <w:rPr>
          <w:rFonts w:ascii="黑体" w:hAnsi="黑体" w:eastAsia="黑体"/>
          <w:bCs/>
          <w:szCs w:val="32"/>
        </w:rPr>
      </w:pPr>
    </w:p>
    <w:p>
      <w:pPr>
        <w:widowControl/>
        <w:jc w:val="left"/>
        <w:rPr>
          <w:rFonts w:ascii="黑体" w:hAnsi="黑体" w:eastAsia="黑体"/>
          <w:bCs/>
          <w:szCs w:val="32"/>
        </w:rPr>
      </w:pPr>
      <w:r>
        <w:rPr>
          <w:rFonts w:hint="eastAsia" w:ascii="黑体" w:hAnsi="黑体" w:eastAsia="黑体"/>
          <w:bCs/>
          <w:szCs w:val="32"/>
        </w:rPr>
        <w:t>附件5</w:t>
      </w:r>
    </w:p>
    <w:p>
      <w:pPr>
        <w:widowControl/>
        <w:spacing w:line="560" w:lineRule="exact"/>
        <w:jc w:val="center"/>
        <w:outlineLvl w:val="1"/>
        <w:rPr>
          <w:rFonts w:ascii="方正小标宋_GBK" w:hAnsi="方正小标宋_GBK" w:eastAsia="方正小标宋_GBK" w:cs="方正小标宋_GBK"/>
          <w:color w:val="000000"/>
          <w:spacing w:val="-20"/>
          <w:kern w:val="0"/>
          <w:sz w:val="44"/>
          <w:szCs w:val="44"/>
        </w:rPr>
      </w:pPr>
      <w:r>
        <w:rPr>
          <w:rFonts w:hint="eastAsia" w:ascii="方正小标宋_GBK" w:hAnsi="方正小标宋_GBK" w:eastAsia="方正小标宋_GBK" w:cs="方正小标宋_GBK"/>
          <w:color w:val="000000"/>
          <w:spacing w:val="-20"/>
          <w:kern w:val="0"/>
          <w:sz w:val="44"/>
          <w:szCs w:val="44"/>
        </w:rPr>
        <w:t>2022年青岛西海岸新区中职学校三年制中职班</w:t>
      </w:r>
    </w:p>
    <w:p>
      <w:pPr>
        <w:widowControl/>
        <w:spacing w:line="560" w:lineRule="exact"/>
        <w:jc w:val="center"/>
        <w:outlineLvl w:val="1"/>
        <w:rPr>
          <w:rFonts w:ascii="方正小标宋_GBK" w:hAnsi="方正小标宋_GBK" w:eastAsia="方正小标宋_GBK" w:cs="方正小标宋_GBK"/>
          <w:color w:val="FF0000"/>
          <w:spacing w:val="-20"/>
          <w:kern w:val="0"/>
          <w:sz w:val="44"/>
          <w:szCs w:val="44"/>
        </w:rPr>
      </w:pPr>
      <w:r>
        <w:rPr>
          <w:rFonts w:hint="eastAsia" w:ascii="方正小标宋_GBK" w:hAnsi="方正小标宋_GBK" w:eastAsia="方正小标宋_GBK" w:cs="方正小标宋_GBK"/>
          <w:color w:val="000000"/>
          <w:spacing w:val="-20"/>
          <w:kern w:val="0"/>
          <w:sz w:val="44"/>
          <w:szCs w:val="44"/>
        </w:rPr>
        <w:t>招生计划</w:t>
      </w:r>
    </w:p>
    <w:tbl>
      <w:tblPr>
        <w:tblStyle w:val="11"/>
        <w:tblW w:w="900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0"/>
        <w:gridCol w:w="3180"/>
        <w:gridCol w:w="810"/>
        <w:gridCol w:w="1230"/>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70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b/>
                <w:bCs/>
                <w:sz w:val="24"/>
              </w:rPr>
            </w:pPr>
            <w:r>
              <w:rPr>
                <w:rFonts w:hint="eastAsia" w:ascii="仿宋_GB2312"/>
                <w:b/>
                <w:bCs/>
                <w:sz w:val="24"/>
              </w:rPr>
              <w:t>序号</w:t>
            </w:r>
          </w:p>
        </w:tc>
        <w:tc>
          <w:tcPr>
            <w:tcW w:w="18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b/>
                <w:bCs/>
                <w:sz w:val="24"/>
              </w:rPr>
            </w:pPr>
            <w:r>
              <w:rPr>
                <w:rFonts w:hint="eastAsia" w:ascii="仿宋_GB2312"/>
                <w:b/>
                <w:bCs/>
                <w:sz w:val="24"/>
              </w:rPr>
              <w:t>中职学校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b/>
                <w:bCs/>
                <w:sz w:val="24"/>
              </w:rPr>
            </w:pPr>
            <w:r>
              <w:rPr>
                <w:rFonts w:hint="eastAsia" w:ascii="仿宋_GB2312"/>
                <w:b/>
                <w:bCs/>
                <w:sz w:val="24"/>
              </w:rPr>
              <w:t>专业</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b/>
                <w:bCs/>
                <w:sz w:val="24"/>
              </w:rPr>
            </w:pPr>
            <w:r>
              <w:rPr>
                <w:rFonts w:hint="eastAsia" w:ascii="仿宋_GB2312"/>
                <w:b/>
                <w:bCs/>
                <w:sz w:val="24"/>
              </w:rPr>
              <w:t>学制</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b/>
                <w:bCs/>
                <w:sz w:val="24"/>
              </w:rPr>
            </w:pPr>
            <w:r>
              <w:rPr>
                <w:rFonts w:hint="eastAsia" w:ascii="仿宋_GB2312"/>
                <w:b/>
                <w:bCs/>
                <w:sz w:val="24"/>
              </w:rPr>
              <w:t>招生班数</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b/>
                <w:bCs/>
                <w:sz w:val="24"/>
              </w:rPr>
            </w:pPr>
            <w:r>
              <w:rPr>
                <w:rFonts w:hint="eastAsia" w:ascii="仿宋_GB2312"/>
                <w:b/>
                <w:bCs/>
                <w:sz w:val="24"/>
              </w:rPr>
              <w:t>招生计划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708"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1</w:t>
            </w:r>
          </w:p>
        </w:tc>
        <w:tc>
          <w:tcPr>
            <w:tcW w:w="1830"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青西新区职业中等专业学校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建筑工程施工</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exact"/>
        </w:trPr>
        <w:tc>
          <w:tcPr>
            <w:tcW w:w="708"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茶叶生产与加工</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708"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光伏工程技术与应用</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708"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p>
        </w:tc>
        <w:tc>
          <w:tcPr>
            <w:tcW w:w="1830"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both"/>
              <w:textAlignment w:val="auto"/>
              <w:rPr>
                <w:rFonts w:ascii="仿宋_GB2312"/>
                <w:sz w:val="24"/>
              </w:rPr>
            </w:pPr>
            <w:r>
              <w:rPr>
                <w:rFonts w:hint="eastAsia" w:ascii="仿宋_GB2312"/>
                <w:sz w:val="24"/>
              </w:rPr>
              <w:t>青岛市第二技术学校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宋体" w:cs="宋体"/>
                <w:color w:val="000000"/>
                <w:sz w:val="22"/>
              </w:rPr>
            </w:pPr>
            <w:r>
              <w:rPr>
                <w:rFonts w:hint="eastAsia" w:ascii="仿宋_GB2312"/>
                <w:color w:val="000000"/>
                <w:sz w:val="22"/>
              </w:rPr>
              <w:t>数控加工</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olor w:val="000000"/>
                <w:sz w:val="24"/>
                <w:lang w:val="en-US" w:eastAsia="zh-CN"/>
              </w:rPr>
            </w:pPr>
            <w:r>
              <w:rPr>
                <w:rFonts w:hint="eastAsia" w:ascii="仿宋_GB2312"/>
                <w:color w:val="000000"/>
                <w:sz w:val="24"/>
                <w:lang w:val="en-US" w:eastAsia="zh-CN"/>
              </w:rPr>
              <w:t>5</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sz w:val="24"/>
              </w:rPr>
            </w:pPr>
            <w:r>
              <w:rPr>
                <w:rFonts w:hint="eastAsia" w:ascii="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trPr>
        <w:tc>
          <w:tcPr>
            <w:tcW w:w="708"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宋体" w:cs="宋体"/>
                <w:color w:val="000000"/>
                <w:sz w:val="22"/>
              </w:rPr>
            </w:pPr>
            <w:r>
              <w:rPr>
                <w:rFonts w:hint="eastAsia" w:ascii="仿宋_GB2312"/>
                <w:color w:val="000000"/>
                <w:sz w:val="22"/>
              </w:rPr>
              <w:t>护理</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olor w:val="000000"/>
                <w:sz w:val="24"/>
                <w:lang w:val="en-US" w:eastAsia="zh-CN"/>
              </w:rPr>
            </w:pPr>
            <w:r>
              <w:rPr>
                <w:rFonts w:hint="eastAsia" w:ascii="仿宋_GB2312"/>
                <w:color w:val="000000"/>
                <w:sz w:val="24"/>
                <w:lang w:val="en-US" w:eastAsia="zh-CN"/>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sz w:val="24"/>
              </w:rPr>
            </w:pPr>
            <w:r>
              <w:rPr>
                <w:rFonts w:hint="eastAsia" w:ascii="仿宋_GB2312"/>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trPr>
        <w:tc>
          <w:tcPr>
            <w:tcW w:w="708"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宋体" w:cs="宋体"/>
                <w:color w:val="000000"/>
                <w:sz w:val="22"/>
              </w:rPr>
            </w:pPr>
            <w:r>
              <w:rPr>
                <w:rFonts w:hint="eastAsia" w:ascii="仿宋_GB2312"/>
                <w:color w:val="000000"/>
                <w:sz w:val="22"/>
              </w:rPr>
              <w:t>数控加工</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olor w:val="000000"/>
                <w:sz w:val="24"/>
                <w:lang w:val="en-US" w:eastAsia="zh-CN"/>
              </w:rPr>
            </w:pPr>
            <w:r>
              <w:rPr>
                <w:rFonts w:hint="eastAsia" w:ascii="仿宋_GB2312"/>
                <w:color w:val="000000"/>
                <w:sz w:val="24"/>
                <w:lang w:val="en-US" w:eastAsia="zh-CN"/>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sz w:val="24"/>
              </w:rPr>
            </w:pPr>
            <w:r>
              <w:rPr>
                <w:rFonts w:hint="eastAsia" w:ascii="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exact"/>
        </w:trPr>
        <w:tc>
          <w:tcPr>
            <w:tcW w:w="708"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宋体" w:cs="宋体"/>
                <w:color w:val="000000"/>
                <w:sz w:val="22"/>
              </w:rPr>
            </w:pPr>
            <w:r>
              <w:rPr>
                <w:rFonts w:hint="eastAsia" w:ascii="仿宋_GB2312"/>
                <w:color w:val="000000"/>
                <w:sz w:val="22"/>
              </w:rPr>
              <w:t>汽车维修</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olor w:val="000000"/>
                <w:sz w:val="24"/>
                <w:lang w:val="en-US" w:eastAsia="zh-CN"/>
              </w:rPr>
            </w:pPr>
            <w:r>
              <w:rPr>
                <w:rFonts w:hint="eastAsia" w:ascii="仿宋_GB2312"/>
                <w:color w:val="000000"/>
                <w:sz w:val="24"/>
                <w:lang w:val="en-US" w:eastAsia="zh-CN"/>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sz w:val="24"/>
              </w:rPr>
            </w:pPr>
            <w:r>
              <w:rPr>
                <w:rFonts w:hint="eastAsia" w:ascii="仿宋_GB2312"/>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exact"/>
        </w:trPr>
        <w:tc>
          <w:tcPr>
            <w:tcW w:w="708"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仿宋_GB2312" w:hAnsi="宋体" w:cs="宋体"/>
                <w:color w:val="000000"/>
                <w:sz w:val="22"/>
              </w:rPr>
            </w:pPr>
            <w:r>
              <w:rPr>
                <w:rFonts w:hint="eastAsia" w:ascii="仿宋_GB2312"/>
                <w:color w:val="000000"/>
                <w:sz w:val="22"/>
              </w:rPr>
              <w:t>电气自动化设备安装与维修</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eastAsia="仿宋_GB2312"/>
                <w:color w:val="000000"/>
                <w:sz w:val="24"/>
                <w:lang w:val="en-US" w:eastAsia="zh-CN"/>
              </w:rPr>
            </w:pPr>
            <w:r>
              <w:rPr>
                <w:rFonts w:hint="eastAsia" w:ascii="仿宋_GB2312"/>
                <w:color w:val="000000"/>
                <w:sz w:val="24"/>
                <w:lang w:val="en-US" w:eastAsia="zh-CN"/>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hint="eastAsia" w:ascii="仿宋_GB2312"/>
                <w:sz w:val="24"/>
              </w:rPr>
            </w:pPr>
            <w:r>
              <w:rPr>
                <w:rFonts w:hint="eastAsia" w:ascii="仿宋_GB2312"/>
                <w:sz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exact"/>
        </w:trPr>
        <w:tc>
          <w:tcPr>
            <w:tcW w:w="708"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FF0000"/>
                <w:sz w:val="24"/>
              </w:rPr>
            </w:pPr>
            <w:r>
              <w:rPr>
                <w:rFonts w:hint="eastAsia" w:ascii="仿宋_GB2312"/>
                <w:color w:val="000000"/>
                <w:sz w:val="24"/>
              </w:rPr>
              <w:t>2</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p>
        </w:tc>
        <w:tc>
          <w:tcPr>
            <w:tcW w:w="1830"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sz w:val="24"/>
              </w:rPr>
              <w:t>青西新区高级职业技术学校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计算机应用</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电子商务</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708"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3</w:t>
            </w:r>
          </w:p>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sz w:val="24"/>
              </w:rPr>
              <w:t>青西</w:t>
            </w:r>
            <w:r>
              <w:rPr>
                <w:rFonts w:hint="eastAsia" w:ascii="仿宋_GB2312"/>
                <w:color w:val="000000"/>
                <w:sz w:val="24"/>
              </w:rPr>
              <w:t>新区中德应用技术学校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跨境电子商务</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5</w:t>
            </w:r>
            <w:r>
              <w:rPr>
                <w:rFonts w:ascii="仿宋_GB2312"/>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708"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汽车运用与维修</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5</w:t>
            </w:r>
            <w:r>
              <w:rPr>
                <w:rFonts w:ascii="仿宋_GB2312"/>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青岛中德智能制造技师学院</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机电一体化技术</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3" w:hRule="exact"/>
        </w:trPr>
        <w:tc>
          <w:tcPr>
            <w:tcW w:w="708"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工业互联网与大数据应用</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5" w:hRule="exact"/>
        </w:trPr>
        <w:tc>
          <w:tcPr>
            <w:tcW w:w="708"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4</w:t>
            </w:r>
          </w:p>
        </w:tc>
        <w:tc>
          <w:tcPr>
            <w:tcW w:w="1830" w:type="dxa"/>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_GB2312" w:eastAsia="仿宋_GB2312"/>
                <w:color w:val="000000"/>
                <w:sz w:val="24"/>
                <w:lang w:val="en-US" w:eastAsia="zh-CN"/>
              </w:rPr>
            </w:pPr>
            <w:r>
              <w:rPr>
                <w:rFonts w:hint="eastAsia" w:ascii="仿宋_GB2312"/>
                <w:sz w:val="24"/>
              </w:rPr>
              <w:t>青西</w:t>
            </w:r>
            <w:r>
              <w:rPr>
                <w:rFonts w:hint="eastAsia" w:ascii="仿宋_GB2312"/>
                <w:color w:val="000000"/>
                <w:sz w:val="24"/>
              </w:rPr>
              <w:t>新区音乐</w:t>
            </w:r>
            <w:r>
              <w:rPr>
                <w:rFonts w:hint="eastAsia" w:ascii="仿宋_GB2312"/>
                <w:color w:val="000000"/>
                <w:sz w:val="24"/>
                <w:lang w:val="en-US" w:eastAsia="zh-CN"/>
              </w:rPr>
              <w:t>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戏剧表演</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exact"/>
        </w:trPr>
        <w:tc>
          <w:tcPr>
            <w:tcW w:w="708" w:type="dxa"/>
            <w:vMerge w:val="restart"/>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5</w:t>
            </w:r>
          </w:p>
        </w:tc>
        <w:tc>
          <w:tcPr>
            <w:tcW w:w="1830" w:type="dxa"/>
            <w:vMerge w:val="restart"/>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青岛黄海职业学校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电子商务</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ind w:firstLine="240" w:firstLineChars="100"/>
              <w:textAlignment w:val="auto"/>
              <w:rPr>
                <w:rFonts w:ascii="仿宋_GB2312"/>
                <w:color w:val="000000"/>
                <w:sz w:val="24"/>
              </w:rPr>
            </w:pPr>
            <w:r>
              <w:rPr>
                <w:rFonts w:hint="eastAsia" w:ascii="宋体" w:hAnsi="宋体" w:eastAsia="宋体" w:cs="宋体"/>
                <w:color w:val="000000"/>
                <w:kern w:val="0"/>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航空服务</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会计事务</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宋体" w:hAnsi="宋体" w:eastAsia="宋体" w:cs="宋体"/>
                <w:color w:val="000000"/>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机电技术应用</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宋体" w:hAnsi="宋体" w:eastAsia="宋体"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计算机平面设计</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宋体" w:hAnsi="宋体" w:eastAsia="宋体" w:cs="宋体"/>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建筑工程造价</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宋体" w:hAnsi="宋体" w:eastAsia="宋体" w:cs="宋体"/>
                <w:color w:val="00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康复技术</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宋体" w:hAnsi="宋体" w:eastAsia="宋体" w:cs="宋体"/>
                <w:color w:val="000000"/>
                <w:kern w:val="0"/>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汽车运用与维修</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宋体" w:hAnsi="宋体" w:eastAsia="宋体" w:cs="宋体"/>
                <w:color w:val="00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数控技术应用</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宋体" w:hAnsi="宋体" w:eastAsia="宋体" w:cs="宋体"/>
                <w:color w:val="00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物流服务与管理</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宋体" w:hAnsi="宋体" w:eastAsia="宋体" w:cs="宋体"/>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ascii="仿宋_GB2312" w:hAnsi="宋体" w:cs="仿宋_GB2312"/>
                <w:color w:val="000000"/>
                <w:kern w:val="0"/>
                <w:sz w:val="22"/>
              </w:rPr>
              <w:t>幼儿保育</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宋体" w:hAnsi="宋体" w:eastAsia="宋体" w:cs="宋体"/>
                <w:color w:val="000000"/>
                <w:kern w:val="0"/>
                <w:sz w:val="24"/>
                <w:szCs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8" w:type="dxa"/>
            <w:vMerge w:val="restart"/>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6</w:t>
            </w:r>
          </w:p>
        </w:tc>
        <w:tc>
          <w:tcPr>
            <w:tcW w:w="1830" w:type="dxa"/>
            <w:vMerge w:val="restart"/>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青岛建国职业学校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机电技术应用</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数控技术应用</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汽车制造与检测</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会计事务</w:t>
            </w:r>
          </w:p>
        </w:tc>
        <w:tc>
          <w:tcPr>
            <w:tcW w:w="810"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nil"/>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物流服务与管理</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数字媒体技术应用</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exact"/>
        </w:trPr>
        <w:tc>
          <w:tcPr>
            <w:tcW w:w="708" w:type="dxa"/>
            <w:vMerge w:val="restart"/>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7</w:t>
            </w:r>
          </w:p>
        </w:tc>
        <w:tc>
          <w:tcPr>
            <w:tcW w:w="1830" w:type="dxa"/>
            <w:vMerge w:val="restart"/>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青岛航空职业技术学校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航空服务</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4</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广播影视节目制作</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7</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08" w:type="dxa"/>
            <w:vMerge w:val="restart"/>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8</w:t>
            </w:r>
          </w:p>
        </w:tc>
        <w:tc>
          <w:tcPr>
            <w:tcW w:w="1830" w:type="dxa"/>
            <w:vMerge w:val="restart"/>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青岛明天职业学校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工艺美术</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4</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计算机应用</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trPr>
        <w:tc>
          <w:tcPr>
            <w:tcW w:w="708" w:type="dxa"/>
            <w:vMerge w:val="restart"/>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9</w:t>
            </w:r>
          </w:p>
        </w:tc>
        <w:tc>
          <w:tcPr>
            <w:tcW w:w="1830" w:type="dxa"/>
            <w:vMerge w:val="restart"/>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青西新区绿泽电影美术学校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电子商务</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绘画</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旅游服务与管理</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影像与影视技术</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8" w:type="dxa"/>
            <w:vMerge w:val="restart"/>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r>
              <w:rPr>
                <w:rFonts w:hint="eastAsia" w:ascii="仿宋_GB2312"/>
                <w:sz w:val="24"/>
              </w:rPr>
              <w:t>10</w:t>
            </w:r>
          </w:p>
        </w:tc>
        <w:tc>
          <w:tcPr>
            <w:tcW w:w="1830" w:type="dxa"/>
            <w:vMerge w:val="restart"/>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hAnsi="仿宋_GB2312" w:cs="仿宋_GB2312"/>
                <w:sz w:val="24"/>
              </w:rPr>
            </w:pPr>
            <w:r>
              <w:rPr>
                <w:rFonts w:hint="eastAsia" w:ascii="仿宋_GB2312" w:hAnsi="仿宋_GB2312" w:cs="仿宋_GB2312"/>
                <w:sz w:val="24"/>
              </w:rPr>
              <w:t>青岛西海岸航海职业学校</w:t>
            </w: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旅游服务与管理</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10</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120" w:firstLineChars="50"/>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游轮乘务</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exact"/>
        </w:trPr>
        <w:tc>
          <w:tcPr>
            <w:tcW w:w="708" w:type="dxa"/>
            <w:vMerge w:val="continue"/>
            <w:tcBorders>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120" w:firstLineChars="50"/>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老年人服务与管理</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trPr>
        <w:tc>
          <w:tcPr>
            <w:tcW w:w="708"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ascii="仿宋_GB2312"/>
                <w:sz w:val="24"/>
              </w:rPr>
            </w:pPr>
          </w:p>
        </w:tc>
        <w:tc>
          <w:tcPr>
            <w:tcW w:w="1830" w:type="dxa"/>
            <w:vMerge w:val="continue"/>
            <w:tcBorders>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ind w:firstLine="120" w:firstLineChars="50"/>
              <w:textAlignment w:val="auto"/>
              <w:rPr>
                <w:rFonts w:ascii="仿宋_GB2312" w:hAnsi="仿宋_GB2312" w:cs="仿宋_GB2312"/>
                <w:sz w:val="24"/>
              </w:rPr>
            </w:pPr>
          </w:p>
        </w:tc>
        <w:tc>
          <w:tcPr>
            <w:tcW w:w="318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船体修造技术</w:t>
            </w:r>
          </w:p>
        </w:tc>
        <w:tc>
          <w:tcPr>
            <w:tcW w:w="81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3</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2</w:t>
            </w:r>
          </w:p>
        </w:tc>
        <w:tc>
          <w:tcPr>
            <w:tcW w:w="124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val="0"/>
              <w:snapToGrid w:val="0"/>
              <w:spacing w:line="400" w:lineRule="exact"/>
              <w:jc w:val="center"/>
              <w:textAlignment w:val="auto"/>
              <w:rPr>
                <w:rFonts w:ascii="仿宋_GB2312"/>
                <w:color w:val="000000"/>
                <w:sz w:val="24"/>
              </w:rPr>
            </w:pPr>
            <w:r>
              <w:rPr>
                <w:rFonts w:hint="eastAsia" w:ascii="仿宋_GB2312"/>
                <w:color w:val="000000"/>
                <w:sz w:val="24"/>
              </w:rPr>
              <w:t>70</w:t>
            </w:r>
          </w:p>
        </w:tc>
      </w:tr>
    </w:tbl>
    <w:p>
      <w:pPr>
        <w:ind w:firstLine="480" w:firstLineChars="200"/>
        <w:rPr>
          <w:sz w:val="24"/>
          <w:szCs w:val="24"/>
        </w:rPr>
      </w:pPr>
      <w:r>
        <w:rPr>
          <w:rFonts w:hint="eastAsia"/>
          <w:sz w:val="24"/>
          <w:szCs w:val="24"/>
        </w:rPr>
        <w:t>说明：具体以青岛市局批复为准。</w:t>
      </w:r>
    </w:p>
    <w:p>
      <w:pPr>
        <w:widowControl/>
        <w:jc w:val="left"/>
        <w:rPr>
          <w:rFonts w:ascii="黑体" w:hAnsi="黑体" w:eastAsia="黑体"/>
          <w:bCs/>
          <w:szCs w:val="32"/>
        </w:rPr>
      </w:pPr>
      <w:r>
        <w:rPr>
          <w:rFonts w:hint="eastAsia" w:ascii="黑体" w:hAnsi="黑体" w:eastAsia="黑体"/>
          <w:bCs/>
          <w:szCs w:val="32"/>
        </w:rPr>
        <w:t>附件6</w:t>
      </w:r>
    </w:p>
    <w:tbl>
      <w:tblPr>
        <w:tblStyle w:val="11"/>
        <w:tblW w:w="0" w:type="auto"/>
        <w:tblInd w:w="0" w:type="dxa"/>
        <w:tblLayout w:type="fixed"/>
        <w:tblCellMar>
          <w:top w:w="0" w:type="dxa"/>
          <w:left w:w="108" w:type="dxa"/>
          <w:bottom w:w="0" w:type="dxa"/>
          <w:right w:w="108" w:type="dxa"/>
        </w:tblCellMar>
      </w:tblPr>
      <w:tblGrid>
        <w:gridCol w:w="1080"/>
        <w:gridCol w:w="3075"/>
        <w:gridCol w:w="1440"/>
        <w:gridCol w:w="1440"/>
        <w:gridCol w:w="1980"/>
      </w:tblGrid>
      <w:tr>
        <w:tblPrEx>
          <w:tblCellMar>
            <w:top w:w="0" w:type="dxa"/>
            <w:left w:w="108" w:type="dxa"/>
            <w:bottom w:w="0" w:type="dxa"/>
            <w:right w:w="108" w:type="dxa"/>
          </w:tblCellMar>
        </w:tblPrEx>
        <w:trPr>
          <w:trHeight w:val="1558" w:hRule="atLeast"/>
        </w:trPr>
        <w:tc>
          <w:tcPr>
            <w:tcW w:w="9015" w:type="dxa"/>
            <w:gridSpan w:val="5"/>
            <w:tcBorders>
              <w:top w:val="nil"/>
              <w:left w:val="nil"/>
              <w:bottom w:val="single" w:color="auto" w:sz="4" w:space="0"/>
              <w:right w:val="nil"/>
            </w:tcBorders>
            <w:vAlign w:val="center"/>
          </w:tcPr>
          <w:p>
            <w:pPr>
              <w:ind w:right="844"/>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2022年青岛市职业学校面试安排表</w:t>
            </w:r>
          </w:p>
          <w:p>
            <w:pPr>
              <w:rPr>
                <w:rFonts w:ascii="仿宋_GB2312" w:hAnsi="仿宋"/>
                <w:bCs/>
                <w:szCs w:val="32"/>
              </w:rPr>
            </w:pPr>
            <w:r>
              <w:rPr>
                <w:rFonts w:hint="eastAsia" w:ascii="仿宋_GB2312" w:hAnsi="仿宋"/>
                <w:bCs/>
                <w:szCs w:val="32"/>
              </w:rPr>
              <w:t>填表人：   （盖章）                        年   月   日</w:t>
            </w:r>
          </w:p>
        </w:tc>
      </w:tr>
      <w:tr>
        <w:tblPrEx>
          <w:tblCellMar>
            <w:top w:w="0" w:type="dxa"/>
            <w:left w:w="108" w:type="dxa"/>
            <w:bottom w:w="0" w:type="dxa"/>
            <w:right w:w="108" w:type="dxa"/>
          </w:tblCellMar>
        </w:tblPrEx>
        <w:trPr>
          <w:trHeight w:val="1687" w:hRule="atLeast"/>
        </w:trPr>
        <w:tc>
          <w:tcPr>
            <w:tcW w:w="1080" w:type="dxa"/>
            <w:tcBorders>
              <w:top w:val="single" w:color="auto" w:sz="4" w:space="0"/>
              <w:left w:val="single" w:color="auto" w:sz="8" w:space="0"/>
              <w:bottom w:val="single" w:color="auto" w:sz="4" w:space="0"/>
              <w:right w:val="single" w:color="auto" w:sz="8" w:space="0"/>
            </w:tcBorders>
            <w:vAlign w:val="center"/>
          </w:tcPr>
          <w:p>
            <w:pPr>
              <w:spacing w:line="440" w:lineRule="exact"/>
              <w:jc w:val="center"/>
              <w:rPr>
                <w:rFonts w:ascii="仿宋" w:hAnsi="仿宋" w:eastAsia="仿宋"/>
                <w:b/>
                <w:sz w:val="28"/>
                <w:szCs w:val="28"/>
              </w:rPr>
            </w:pPr>
            <w:r>
              <w:rPr>
                <w:rFonts w:hint="eastAsia" w:ascii="仿宋" w:hAnsi="仿宋" w:eastAsia="仿宋"/>
                <w:b/>
                <w:sz w:val="28"/>
                <w:szCs w:val="28"/>
              </w:rPr>
              <w:t>面试</w:t>
            </w:r>
          </w:p>
          <w:p>
            <w:pPr>
              <w:spacing w:line="440" w:lineRule="exact"/>
              <w:jc w:val="center"/>
              <w:rPr>
                <w:rFonts w:ascii="仿宋" w:hAnsi="仿宋" w:eastAsia="仿宋"/>
                <w:b/>
                <w:sz w:val="28"/>
                <w:szCs w:val="28"/>
              </w:rPr>
            </w:pPr>
            <w:r>
              <w:rPr>
                <w:rFonts w:hint="eastAsia" w:ascii="仿宋" w:hAnsi="仿宋" w:eastAsia="仿宋"/>
                <w:b/>
                <w:sz w:val="28"/>
                <w:szCs w:val="28"/>
              </w:rPr>
              <w:t>学校</w:t>
            </w:r>
          </w:p>
        </w:tc>
        <w:tc>
          <w:tcPr>
            <w:tcW w:w="3075" w:type="dxa"/>
            <w:tcBorders>
              <w:top w:val="single" w:color="auto" w:sz="4" w:space="0"/>
              <w:left w:val="single" w:color="auto" w:sz="8" w:space="0"/>
              <w:bottom w:val="single" w:color="auto" w:sz="4" w:space="0"/>
              <w:right w:val="single" w:color="auto" w:sz="8" w:space="0"/>
            </w:tcBorders>
            <w:vAlign w:val="center"/>
          </w:tcPr>
          <w:p>
            <w:pPr>
              <w:spacing w:line="440" w:lineRule="exact"/>
              <w:jc w:val="center"/>
              <w:rPr>
                <w:rFonts w:ascii="仿宋" w:hAnsi="仿宋" w:eastAsia="仿宋"/>
                <w:b/>
                <w:sz w:val="28"/>
                <w:szCs w:val="28"/>
              </w:rPr>
            </w:pPr>
            <w:r>
              <w:rPr>
                <w:rFonts w:hint="eastAsia" w:ascii="仿宋" w:hAnsi="仿宋" w:eastAsia="仿宋"/>
                <w:b/>
                <w:sz w:val="28"/>
                <w:szCs w:val="28"/>
              </w:rPr>
              <w:t>专业名称</w:t>
            </w:r>
          </w:p>
        </w:tc>
        <w:tc>
          <w:tcPr>
            <w:tcW w:w="1440" w:type="dxa"/>
            <w:tcBorders>
              <w:top w:val="single" w:color="auto" w:sz="4" w:space="0"/>
              <w:left w:val="single" w:color="FFFFCC" w:sz="4" w:space="0"/>
              <w:bottom w:val="single" w:color="auto" w:sz="4" w:space="0"/>
              <w:right w:val="single" w:color="auto" w:sz="8" w:space="0"/>
            </w:tcBorders>
            <w:vAlign w:val="center"/>
          </w:tcPr>
          <w:p>
            <w:pPr>
              <w:spacing w:line="440" w:lineRule="exact"/>
              <w:jc w:val="center"/>
              <w:rPr>
                <w:rFonts w:ascii="仿宋" w:hAnsi="仿宋" w:eastAsia="仿宋"/>
                <w:b/>
                <w:sz w:val="28"/>
                <w:szCs w:val="28"/>
              </w:rPr>
            </w:pPr>
            <w:r>
              <w:rPr>
                <w:rFonts w:hint="eastAsia" w:ascii="仿宋" w:hAnsi="仿宋" w:eastAsia="仿宋"/>
                <w:b/>
                <w:sz w:val="28"/>
                <w:szCs w:val="28"/>
              </w:rPr>
              <w:t>专业</w:t>
            </w:r>
          </w:p>
          <w:p>
            <w:pPr>
              <w:spacing w:line="440" w:lineRule="exact"/>
              <w:jc w:val="center"/>
              <w:rPr>
                <w:rFonts w:ascii="仿宋" w:hAnsi="仿宋" w:eastAsia="仿宋"/>
                <w:b/>
                <w:sz w:val="28"/>
                <w:szCs w:val="28"/>
              </w:rPr>
            </w:pPr>
            <w:r>
              <w:rPr>
                <w:rFonts w:hint="eastAsia" w:ascii="仿宋" w:hAnsi="仿宋" w:eastAsia="仿宋"/>
                <w:b/>
                <w:sz w:val="28"/>
                <w:szCs w:val="28"/>
              </w:rPr>
              <w:t>层次</w:t>
            </w:r>
          </w:p>
        </w:tc>
        <w:tc>
          <w:tcPr>
            <w:tcW w:w="1440" w:type="dxa"/>
            <w:tcBorders>
              <w:top w:val="single" w:color="auto" w:sz="4" w:space="0"/>
              <w:left w:val="single" w:color="FFFFCC" w:sz="4" w:space="0"/>
              <w:bottom w:val="single" w:color="auto" w:sz="4" w:space="0"/>
              <w:right w:val="single" w:color="auto" w:sz="8" w:space="0"/>
            </w:tcBorders>
            <w:vAlign w:val="center"/>
          </w:tcPr>
          <w:p>
            <w:pPr>
              <w:spacing w:line="440" w:lineRule="exact"/>
              <w:jc w:val="center"/>
              <w:rPr>
                <w:rFonts w:ascii="仿宋" w:hAnsi="仿宋" w:eastAsia="仿宋"/>
                <w:b/>
                <w:sz w:val="28"/>
                <w:szCs w:val="28"/>
              </w:rPr>
            </w:pPr>
            <w:r>
              <w:rPr>
                <w:rFonts w:hint="eastAsia" w:ascii="仿宋" w:hAnsi="仿宋" w:eastAsia="仿宋"/>
                <w:b/>
                <w:sz w:val="28"/>
                <w:szCs w:val="28"/>
              </w:rPr>
              <w:t>面试</w:t>
            </w:r>
          </w:p>
          <w:p>
            <w:pPr>
              <w:spacing w:line="440" w:lineRule="exact"/>
              <w:jc w:val="center"/>
              <w:rPr>
                <w:rFonts w:ascii="仿宋" w:hAnsi="仿宋" w:eastAsia="仿宋"/>
                <w:b/>
                <w:sz w:val="28"/>
                <w:szCs w:val="28"/>
              </w:rPr>
            </w:pPr>
            <w:r>
              <w:rPr>
                <w:rFonts w:hint="eastAsia" w:ascii="仿宋" w:hAnsi="仿宋" w:eastAsia="仿宋"/>
                <w:b/>
                <w:sz w:val="28"/>
                <w:szCs w:val="28"/>
              </w:rPr>
              <w:t>加试</w:t>
            </w:r>
          </w:p>
          <w:p>
            <w:pPr>
              <w:spacing w:line="440" w:lineRule="exact"/>
              <w:jc w:val="center"/>
              <w:rPr>
                <w:rFonts w:ascii="仿宋" w:hAnsi="仿宋" w:eastAsia="仿宋"/>
                <w:b/>
                <w:sz w:val="28"/>
                <w:szCs w:val="28"/>
              </w:rPr>
            </w:pPr>
            <w:r>
              <w:rPr>
                <w:rFonts w:hint="eastAsia" w:ascii="仿宋" w:hAnsi="仿宋" w:eastAsia="仿宋"/>
                <w:b/>
                <w:sz w:val="28"/>
                <w:szCs w:val="28"/>
              </w:rPr>
              <w:t>体检</w:t>
            </w:r>
          </w:p>
          <w:p>
            <w:pPr>
              <w:spacing w:line="440" w:lineRule="exact"/>
              <w:jc w:val="center"/>
              <w:rPr>
                <w:rFonts w:ascii="仿宋" w:hAnsi="仿宋" w:eastAsia="仿宋"/>
                <w:b/>
                <w:sz w:val="28"/>
                <w:szCs w:val="28"/>
              </w:rPr>
            </w:pPr>
            <w:r>
              <w:rPr>
                <w:rFonts w:hint="eastAsia" w:ascii="仿宋" w:hAnsi="仿宋" w:eastAsia="仿宋"/>
                <w:b/>
                <w:sz w:val="28"/>
                <w:szCs w:val="28"/>
              </w:rPr>
              <w:t>时间</w:t>
            </w:r>
          </w:p>
        </w:tc>
        <w:tc>
          <w:tcPr>
            <w:tcW w:w="1980" w:type="dxa"/>
            <w:tcBorders>
              <w:top w:val="single" w:color="auto" w:sz="4" w:space="0"/>
              <w:left w:val="single" w:color="auto" w:sz="8" w:space="0"/>
              <w:bottom w:val="single" w:color="000000" w:sz="8" w:space="0"/>
              <w:right w:val="single" w:color="auto" w:sz="8" w:space="0"/>
            </w:tcBorders>
            <w:vAlign w:val="center"/>
          </w:tcPr>
          <w:p>
            <w:pPr>
              <w:spacing w:line="440" w:lineRule="exact"/>
              <w:jc w:val="center"/>
              <w:rPr>
                <w:rFonts w:ascii="仿宋" w:hAnsi="仿宋" w:eastAsia="仿宋"/>
                <w:b/>
                <w:sz w:val="28"/>
                <w:szCs w:val="28"/>
              </w:rPr>
            </w:pPr>
            <w:r>
              <w:rPr>
                <w:rFonts w:hint="eastAsia" w:ascii="仿宋" w:hAnsi="仿宋" w:eastAsia="仿宋"/>
                <w:b/>
                <w:sz w:val="28"/>
                <w:szCs w:val="28"/>
              </w:rPr>
              <w:t>面试</w:t>
            </w:r>
          </w:p>
          <w:p>
            <w:pPr>
              <w:spacing w:line="440" w:lineRule="exact"/>
              <w:jc w:val="center"/>
              <w:rPr>
                <w:rFonts w:ascii="仿宋" w:hAnsi="仿宋" w:eastAsia="仿宋"/>
                <w:b/>
                <w:sz w:val="28"/>
                <w:szCs w:val="28"/>
              </w:rPr>
            </w:pPr>
            <w:r>
              <w:rPr>
                <w:rFonts w:hint="eastAsia" w:ascii="仿宋" w:hAnsi="仿宋" w:eastAsia="仿宋"/>
                <w:b/>
                <w:sz w:val="28"/>
                <w:szCs w:val="28"/>
              </w:rPr>
              <w:t>加试</w:t>
            </w:r>
          </w:p>
          <w:p>
            <w:pPr>
              <w:spacing w:line="440" w:lineRule="exact"/>
              <w:jc w:val="center"/>
              <w:rPr>
                <w:rFonts w:ascii="仿宋" w:hAnsi="仿宋" w:eastAsia="仿宋"/>
                <w:b/>
                <w:sz w:val="28"/>
                <w:szCs w:val="28"/>
              </w:rPr>
            </w:pPr>
            <w:r>
              <w:rPr>
                <w:rFonts w:hint="eastAsia" w:ascii="仿宋" w:hAnsi="仿宋" w:eastAsia="仿宋"/>
                <w:b/>
                <w:sz w:val="28"/>
                <w:szCs w:val="28"/>
              </w:rPr>
              <w:t>体检</w:t>
            </w:r>
          </w:p>
          <w:p>
            <w:pPr>
              <w:spacing w:line="440" w:lineRule="exact"/>
              <w:jc w:val="center"/>
              <w:rPr>
                <w:rFonts w:ascii="仿宋" w:hAnsi="仿宋" w:eastAsia="仿宋"/>
                <w:b/>
                <w:sz w:val="28"/>
                <w:szCs w:val="28"/>
              </w:rPr>
            </w:pPr>
            <w:r>
              <w:rPr>
                <w:rFonts w:hint="eastAsia" w:ascii="仿宋" w:hAnsi="仿宋" w:eastAsia="仿宋"/>
                <w:b/>
                <w:sz w:val="28"/>
                <w:szCs w:val="28"/>
              </w:rPr>
              <w:t>地点</w:t>
            </w:r>
          </w:p>
        </w:tc>
      </w:tr>
      <w:tr>
        <w:tblPrEx>
          <w:tblCellMar>
            <w:top w:w="0" w:type="dxa"/>
            <w:left w:w="108" w:type="dxa"/>
            <w:bottom w:w="0" w:type="dxa"/>
            <w:right w:w="108" w:type="dxa"/>
          </w:tblCellMar>
        </w:tblPrEx>
        <w:trPr>
          <w:trHeight w:val="702" w:hRule="atLeast"/>
        </w:trPr>
        <w:tc>
          <w:tcPr>
            <w:tcW w:w="1080" w:type="dxa"/>
            <w:vMerge w:val="restart"/>
            <w:tcBorders>
              <w:top w:val="single" w:color="auto" w:sz="4" w:space="0"/>
              <w:left w:val="single" w:color="auto" w:sz="8" w:space="0"/>
              <w:right w:val="single" w:color="auto" w:sz="8" w:space="0"/>
            </w:tcBorders>
            <w:vAlign w:val="center"/>
          </w:tcPr>
          <w:p>
            <w:pPr>
              <w:ind w:firstLine="640" w:firstLineChars="200"/>
              <w:rPr>
                <w:rFonts w:ascii="仿宋" w:hAnsi="仿宋" w:eastAsia="仿宋"/>
                <w:bCs/>
                <w:szCs w:val="32"/>
              </w:rPr>
            </w:pPr>
            <w:r>
              <w:rPr>
                <w:rFonts w:hint="eastAsia" w:ascii="仿宋" w:hAnsi="仿宋" w:eastAsia="仿宋"/>
                <w:bCs/>
                <w:szCs w:val="32"/>
              </w:rPr>
              <w:t>　</w:t>
            </w:r>
          </w:p>
        </w:tc>
        <w:tc>
          <w:tcPr>
            <w:tcW w:w="3075" w:type="dxa"/>
            <w:tcBorders>
              <w:top w:val="single" w:color="auto" w:sz="4" w:space="0"/>
              <w:left w:val="single" w:color="FFFFCC" w:sz="4" w:space="0"/>
              <w:bottom w:val="single" w:color="auto" w:sz="8" w:space="0"/>
              <w:right w:val="single" w:color="auto" w:sz="8" w:space="0"/>
            </w:tcBorders>
            <w:vAlign w:val="center"/>
          </w:tcPr>
          <w:p>
            <w:pPr>
              <w:ind w:firstLine="640" w:firstLineChars="200"/>
              <w:rPr>
                <w:rFonts w:ascii="仿宋" w:hAnsi="仿宋" w:eastAsia="仿宋"/>
                <w:bCs/>
                <w:szCs w:val="32"/>
              </w:rPr>
            </w:pPr>
            <w:r>
              <w:rPr>
                <w:rFonts w:hint="eastAsia" w:ascii="仿宋" w:hAnsi="仿宋" w:eastAsia="仿宋"/>
                <w:bCs/>
                <w:szCs w:val="32"/>
              </w:rPr>
              <w:t>　</w:t>
            </w:r>
          </w:p>
        </w:tc>
        <w:tc>
          <w:tcPr>
            <w:tcW w:w="1440" w:type="dxa"/>
            <w:tcBorders>
              <w:top w:val="single" w:color="auto" w:sz="4" w:space="0"/>
              <w:left w:val="single" w:color="FFFFCC" w:sz="4" w:space="0"/>
              <w:bottom w:val="single" w:color="auto" w:sz="8" w:space="0"/>
              <w:right w:val="single" w:color="auto" w:sz="8" w:space="0"/>
            </w:tcBorders>
          </w:tcPr>
          <w:p>
            <w:pPr>
              <w:ind w:firstLine="640" w:firstLineChars="200"/>
              <w:rPr>
                <w:rFonts w:ascii="仿宋" w:hAnsi="仿宋" w:eastAsia="仿宋"/>
                <w:bCs/>
                <w:szCs w:val="32"/>
              </w:rPr>
            </w:pPr>
            <w:r>
              <w:rPr>
                <w:rFonts w:hint="eastAsia" w:ascii="仿宋" w:hAnsi="仿宋" w:eastAsia="仿宋"/>
                <w:bCs/>
                <w:szCs w:val="32"/>
              </w:rPr>
              <w:t>　</w:t>
            </w:r>
          </w:p>
        </w:tc>
        <w:tc>
          <w:tcPr>
            <w:tcW w:w="1440" w:type="dxa"/>
            <w:vMerge w:val="restart"/>
            <w:tcBorders>
              <w:top w:val="single" w:color="auto" w:sz="4" w:space="0"/>
              <w:left w:val="single" w:color="FFFFCC" w:sz="4" w:space="0"/>
              <w:right w:val="single" w:color="auto" w:sz="8" w:space="0"/>
            </w:tcBorders>
            <w:vAlign w:val="center"/>
          </w:tcPr>
          <w:p>
            <w:pPr>
              <w:ind w:firstLine="640" w:firstLineChars="200"/>
              <w:rPr>
                <w:rFonts w:ascii="仿宋" w:hAnsi="仿宋" w:eastAsia="仿宋"/>
                <w:bCs/>
                <w:szCs w:val="32"/>
              </w:rPr>
            </w:pPr>
          </w:p>
        </w:tc>
        <w:tc>
          <w:tcPr>
            <w:tcW w:w="1980" w:type="dxa"/>
            <w:vMerge w:val="restart"/>
            <w:tcBorders>
              <w:top w:val="nil"/>
              <w:left w:val="single" w:color="auto" w:sz="8" w:space="0"/>
              <w:right w:val="single" w:color="auto" w:sz="8" w:space="0"/>
            </w:tcBorders>
            <w:vAlign w:val="center"/>
          </w:tcPr>
          <w:p>
            <w:pPr>
              <w:ind w:firstLine="640" w:firstLineChars="200"/>
              <w:rPr>
                <w:rFonts w:ascii="仿宋" w:hAnsi="仿宋" w:eastAsia="仿宋"/>
                <w:bCs/>
                <w:szCs w:val="32"/>
              </w:rPr>
            </w:pPr>
            <w:r>
              <w:rPr>
                <w:rFonts w:hint="eastAsia" w:ascii="仿宋" w:hAnsi="仿宋" w:eastAsia="仿宋"/>
                <w:bCs/>
                <w:szCs w:val="32"/>
              </w:rPr>
              <w:t>　</w:t>
            </w:r>
          </w:p>
        </w:tc>
      </w:tr>
      <w:tr>
        <w:tblPrEx>
          <w:tblCellMar>
            <w:top w:w="0" w:type="dxa"/>
            <w:left w:w="108" w:type="dxa"/>
            <w:bottom w:w="0" w:type="dxa"/>
            <w:right w:w="108" w:type="dxa"/>
          </w:tblCellMar>
        </w:tblPrEx>
        <w:trPr>
          <w:trHeight w:val="622" w:hRule="atLeast"/>
        </w:trPr>
        <w:tc>
          <w:tcPr>
            <w:tcW w:w="10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c>
          <w:tcPr>
            <w:tcW w:w="3075" w:type="dxa"/>
            <w:tcBorders>
              <w:top w:val="single" w:color="FFFFCC" w:sz="4" w:space="0"/>
              <w:left w:val="single" w:color="FFFFCC" w:sz="4" w:space="0"/>
              <w:bottom w:val="single" w:color="auto" w:sz="8" w:space="0"/>
              <w:right w:val="single" w:color="auto" w:sz="8" w:space="0"/>
            </w:tcBorders>
            <w:vAlign w:val="center"/>
          </w:tcPr>
          <w:p>
            <w:pPr>
              <w:ind w:firstLine="640" w:firstLineChars="200"/>
              <w:rPr>
                <w:rFonts w:ascii="仿宋" w:hAnsi="仿宋" w:eastAsia="仿宋"/>
                <w:bCs/>
                <w:szCs w:val="32"/>
              </w:rPr>
            </w:pPr>
            <w:r>
              <w:rPr>
                <w:rFonts w:hint="eastAsia" w:ascii="仿宋" w:hAnsi="仿宋" w:eastAsia="仿宋"/>
                <w:bCs/>
                <w:szCs w:val="32"/>
              </w:rPr>
              <w:t>　</w:t>
            </w:r>
          </w:p>
        </w:tc>
        <w:tc>
          <w:tcPr>
            <w:tcW w:w="1440" w:type="dxa"/>
            <w:tcBorders>
              <w:top w:val="single" w:color="FFFFCC" w:sz="4" w:space="0"/>
              <w:left w:val="single" w:color="FFFFCC" w:sz="4" w:space="0"/>
              <w:bottom w:val="single" w:color="auto" w:sz="8" w:space="0"/>
              <w:right w:val="single" w:color="auto" w:sz="8" w:space="0"/>
            </w:tcBorders>
          </w:tcPr>
          <w:p>
            <w:pPr>
              <w:ind w:firstLine="640" w:firstLineChars="200"/>
              <w:rPr>
                <w:rFonts w:ascii="仿宋" w:hAnsi="仿宋" w:eastAsia="仿宋"/>
                <w:bCs/>
                <w:szCs w:val="32"/>
              </w:rPr>
            </w:pPr>
            <w:r>
              <w:rPr>
                <w:rFonts w:hint="eastAsia" w:ascii="仿宋" w:hAnsi="仿宋" w:eastAsia="仿宋"/>
                <w:bCs/>
                <w:szCs w:val="32"/>
              </w:rPr>
              <w:t>　</w:t>
            </w:r>
          </w:p>
        </w:tc>
        <w:tc>
          <w:tcPr>
            <w:tcW w:w="1440" w:type="dxa"/>
            <w:vMerge w:val="continue"/>
            <w:tcBorders>
              <w:left w:val="single" w:color="FFFFCC" w:sz="4" w:space="0"/>
              <w:right w:val="single" w:color="auto" w:sz="8" w:space="0"/>
            </w:tcBorders>
            <w:vAlign w:val="center"/>
          </w:tcPr>
          <w:p>
            <w:pPr>
              <w:ind w:firstLine="640" w:firstLineChars="200"/>
              <w:rPr>
                <w:rFonts w:ascii="仿宋" w:hAnsi="仿宋" w:eastAsia="仿宋"/>
                <w:bCs/>
                <w:szCs w:val="32"/>
              </w:rPr>
            </w:pPr>
          </w:p>
        </w:tc>
        <w:tc>
          <w:tcPr>
            <w:tcW w:w="19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r>
      <w:tr>
        <w:tblPrEx>
          <w:tblCellMar>
            <w:top w:w="0" w:type="dxa"/>
            <w:left w:w="108" w:type="dxa"/>
            <w:bottom w:w="0" w:type="dxa"/>
            <w:right w:w="108" w:type="dxa"/>
          </w:tblCellMar>
        </w:tblPrEx>
        <w:trPr>
          <w:trHeight w:val="555" w:hRule="atLeast"/>
        </w:trPr>
        <w:tc>
          <w:tcPr>
            <w:tcW w:w="10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c>
          <w:tcPr>
            <w:tcW w:w="3075" w:type="dxa"/>
            <w:tcBorders>
              <w:top w:val="single" w:color="FFFFCC" w:sz="4" w:space="0"/>
              <w:left w:val="single" w:color="FFFFCC" w:sz="4" w:space="0"/>
              <w:bottom w:val="single" w:color="auto" w:sz="4" w:space="0"/>
              <w:right w:val="single" w:color="auto" w:sz="8" w:space="0"/>
            </w:tcBorders>
            <w:vAlign w:val="center"/>
          </w:tcPr>
          <w:p>
            <w:pPr>
              <w:ind w:firstLine="640" w:firstLineChars="200"/>
              <w:rPr>
                <w:rFonts w:ascii="仿宋" w:hAnsi="仿宋" w:eastAsia="仿宋"/>
                <w:bCs/>
                <w:szCs w:val="32"/>
              </w:rPr>
            </w:pPr>
            <w:r>
              <w:rPr>
                <w:rFonts w:hint="eastAsia" w:ascii="仿宋" w:hAnsi="仿宋" w:eastAsia="仿宋"/>
                <w:bCs/>
                <w:szCs w:val="32"/>
              </w:rPr>
              <w:t>　</w:t>
            </w:r>
          </w:p>
        </w:tc>
        <w:tc>
          <w:tcPr>
            <w:tcW w:w="1440" w:type="dxa"/>
            <w:tcBorders>
              <w:top w:val="single" w:color="FFFFCC" w:sz="4" w:space="0"/>
              <w:left w:val="single" w:color="FFFFCC" w:sz="4" w:space="0"/>
              <w:bottom w:val="single" w:color="auto" w:sz="4" w:space="0"/>
              <w:right w:val="single" w:color="auto" w:sz="8" w:space="0"/>
            </w:tcBorders>
          </w:tcPr>
          <w:p>
            <w:pPr>
              <w:ind w:firstLine="640" w:firstLineChars="200"/>
              <w:rPr>
                <w:rFonts w:ascii="仿宋" w:hAnsi="仿宋" w:eastAsia="仿宋"/>
                <w:bCs/>
                <w:szCs w:val="32"/>
              </w:rPr>
            </w:pPr>
            <w:r>
              <w:rPr>
                <w:rFonts w:hint="eastAsia" w:ascii="仿宋" w:hAnsi="仿宋" w:eastAsia="仿宋"/>
                <w:bCs/>
                <w:szCs w:val="32"/>
              </w:rPr>
              <w:t>　</w:t>
            </w:r>
          </w:p>
        </w:tc>
        <w:tc>
          <w:tcPr>
            <w:tcW w:w="1440" w:type="dxa"/>
            <w:vMerge w:val="continue"/>
            <w:tcBorders>
              <w:left w:val="single" w:color="FFFFCC" w:sz="4" w:space="0"/>
              <w:right w:val="single" w:color="auto" w:sz="8" w:space="0"/>
            </w:tcBorders>
            <w:vAlign w:val="center"/>
          </w:tcPr>
          <w:p>
            <w:pPr>
              <w:ind w:firstLine="640" w:firstLineChars="200"/>
              <w:rPr>
                <w:rFonts w:ascii="仿宋" w:hAnsi="仿宋" w:eastAsia="仿宋"/>
                <w:bCs/>
                <w:szCs w:val="32"/>
              </w:rPr>
            </w:pPr>
          </w:p>
        </w:tc>
        <w:tc>
          <w:tcPr>
            <w:tcW w:w="19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r>
      <w:tr>
        <w:tblPrEx>
          <w:tblCellMar>
            <w:top w:w="0" w:type="dxa"/>
            <w:left w:w="108" w:type="dxa"/>
            <w:bottom w:w="0" w:type="dxa"/>
            <w:right w:w="108" w:type="dxa"/>
          </w:tblCellMar>
        </w:tblPrEx>
        <w:trPr>
          <w:trHeight w:val="665" w:hRule="atLeast"/>
        </w:trPr>
        <w:tc>
          <w:tcPr>
            <w:tcW w:w="10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c>
          <w:tcPr>
            <w:tcW w:w="3075" w:type="dxa"/>
            <w:tcBorders>
              <w:top w:val="single" w:color="auto" w:sz="4" w:space="0"/>
              <w:left w:val="single" w:color="FFFFCC" w:sz="4" w:space="0"/>
              <w:bottom w:val="single" w:color="auto" w:sz="4" w:space="0"/>
              <w:right w:val="single" w:color="auto" w:sz="8" w:space="0"/>
            </w:tcBorders>
            <w:vAlign w:val="center"/>
          </w:tcPr>
          <w:p>
            <w:pPr>
              <w:ind w:firstLine="640" w:firstLineChars="200"/>
              <w:rPr>
                <w:rFonts w:ascii="仿宋" w:hAnsi="仿宋" w:eastAsia="仿宋"/>
                <w:bCs/>
                <w:szCs w:val="32"/>
              </w:rPr>
            </w:pPr>
          </w:p>
        </w:tc>
        <w:tc>
          <w:tcPr>
            <w:tcW w:w="1440" w:type="dxa"/>
            <w:tcBorders>
              <w:top w:val="single" w:color="auto" w:sz="4" w:space="0"/>
              <w:left w:val="single" w:color="FFFFCC" w:sz="4" w:space="0"/>
              <w:bottom w:val="single" w:color="auto" w:sz="4" w:space="0"/>
              <w:right w:val="single" w:color="auto" w:sz="8" w:space="0"/>
            </w:tcBorders>
          </w:tcPr>
          <w:p>
            <w:pPr>
              <w:ind w:firstLine="640" w:firstLineChars="200"/>
              <w:rPr>
                <w:rFonts w:ascii="仿宋" w:hAnsi="仿宋" w:eastAsia="仿宋"/>
                <w:bCs/>
                <w:szCs w:val="32"/>
              </w:rPr>
            </w:pPr>
          </w:p>
        </w:tc>
        <w:tc>
          <w:tcPr>
            <w:tcW w:w="1440" w:type="dxa"/>
            <w:vMerge w:val="continue"/>
            <w:tcBorders>
              <w:left w:val="single" w:color="FFFFCC" w:sz="4" w:space="0"/>
              <w:right w:val="single" w:color="auto" w:sz="8" w:space="0"/>
            </w:tcBorders>
            <w:vAlign w:val="center"/>
          </w:tcPr>
          <w:p>
            <w:pPr>
              <w:ind w:firstLine="640" w:firstLineChars="200"/>
              <w:rPr>
                <w:rFonts w:ascii="仿宋" w:hAnsi="仿宋" w:eastAsia="仿宋"/>
                <w:bCs/>
                <w:szCs w:val="32"/>
              </w:rPr>
            </w:pPr>
          </w:p>
        </w:tc>
        <w:tc>
          <w:tcPr>
            <w:tcW w:w="19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r>
      <w:tr>
        <w:tblPrEx>
          <w:tblCellMar>
            <w:top w:w="0" w:type="dxa"/>
            <w:left w:w="108" w:type="dxa"/>
            <w:bottom w:w="0" w:type="dxa"/>
            <w:right w:w="108" w:type="dxa"/>
          </w:tblCellMar>
        </w:tblPrEx>
        <w:trPr>
          <w:trHeight w:val="525" w:hRule="atLeast"/>
        </w:trPr>
        <w:tc>
          <w:tcPr>
            <w:tcW w:w="10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c>
          <w:tcPr>
            <w:tcW w:w="3075" w:type="dxa"/>
            <w:tcBorders>
              <w:top w:val="single" w:color="auto" w:sz="4" w:space="0"/>
              <w:left w:val="single" w:color="FFFFCC" w:sz="4" w:space="0"/>
              <w:bottom w:val="single" w:color="auto" w:sz="4" w:space="0"/>
              <w:right w:val="single" w:color="auto" w:sz="8" w:space="0"/>
            </w:tcBorders>
            <w:vAlign w:val="center"/>
          </w:tcPr>
          <w:p>
            <w:pPr>
              <w:ind w:firstLine="640" w:firstLineChars="200"/>
              <w:rPr>
                <w:rFonts w:ascii="仿宋" w:hAnsi="仿宋" w:eastAsia="仿宋"/>
                <w:bCs/>
                <w:szCs w:val="32"/>
              </w:rPr>
            </w:pPr>
          </w:p>
        </w:tc>
        <w:tc>
          <w:tcPr>
            <w:tcW w:w="1440" w:type="dxa"/>
            <w:tcBorders>
              <w:top w:val="single" w:color="auto" w:sz="4" w:space="0"/>
              <w:left w:val="single" w:color="FFFFCC" w:sz="4" w:space="0"/>
              <w:bottom w:val="single" w:color="auto" w:sz="4" w:space="0"/>
              <w:right w:val="single" w:color="auto" w:sz="8" w:space="0"/>
            </w:tcBorders>
          </w:tcPr>
          <w:p>
            <w:pPr>
              <w:ind w:firstLine="640" w:firstLineChars="200"/>
              <w:rPr>
                <w:rFonts w:ascii="仿宋" w:hAnsi="仿宋" w:eastAsia="仿宋"/>
                <w:bCs/>
                <w:szCs w:val="32"/>
              </w:rPr>
            </w:pPr>
          </w:p>
        </w:tc>
        <w:tc>
          <w:tcPr>
            <w:tcW w:w="1440" w:type="dxa"/>
            <w:vMerge w:val="continue"/>
            <w:tcBorders>
              <w:left w:val="single" w:color="FFFFCC" w:sz="4" w:space="0"/>
              <w:right w:val="single" w:color="auto" w:sz="8" w:space="0"/>
            </w:tcBorders>
            <w:vAlign w:val="center"/>
          </w:tcPr>
          <w:p>
            <w:pPr>
              <w:ind w:firstLine="640" w:firstLineChars="200"/>
              <w:rPr>
                <w:rFonts w:ascii="仿宋" w:hAnsi="仿宋" w:eastAsia="仿宋"/>
                <w:bCs/>
                <w:szCs w:val="32"/>
              </w:rPr>
            </w:pPr>
          </w:p>
        </w:tc>
        <w:tc>
          <w:tcPr>
            <w:tcW w:w="19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r>
      <w:tr>
        <w:tblPrEx>
          <w:tblCellMar>
            <w:top w:w="0" w:type="dxa"/>
            <w:left w:w="108" w:type="dxa"/>
            <w:bottom w:w="0" w:type="dxa"/>
            <w:right w:w="108" w:type="dxa"/>
          </w:tblCellMar>
        </w:tblPrEx>
        <w:trPr>
          <w:trHeight w:val="525" w:hRule="atLeast"/>
        </w:trPr>
        <w:tc>
          <w:tcPr>
            <w:tcW w:w="10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c>
          <w:tcPr>
            <w:tcW w:w="3075" w:type="dxa"/>
            <w:tcBorders>
              <w:top w:val="single" w:color="auto" w:sz="4" w:space="0"/>
              <w:left w:val="single" w:color="FFFFCC" w:sz="4" w:space="0"/>
              <w:bottom w:val="single" w:color="auto" w:sz="4" w:space="0"/>
              <w:right w:val="single" w:color="auto" w:sz="8" w:space="0"/>
            </w:tcBorders>
            <w:vAlign w:val="center"/>
          </w:tcPr>
          <w:p>
            <w:pPr>
              <w:ind w:firstLine="640" w:firstLineChars="200"/>
              <w:rPr>
                <w:rFonts w:ascii="仿宋" w:hAnsi="仿宋" w:eastAsia="仿宋"/>
                <w:bCs/>
                <w:szCs w:val="32"/>
              </w:rPr>
            </w:pPr>
          </w:p>
        </w:tc>
        <w:tc>
          <w:tcPr>
            <w:tcW w:w="1440" w:type="dxa"/>
            <w:tcBorders>
              <w:top w:val="single" w:color="auto" w:sz="4" w:space="0"/>
              <w:left w:val="single" w:color="FFFFCC" w:sz="4" w:space="0"/>
              <w:bottom w:val="single" w:color="auto" w:sz="4" w:space="0"/>
              <w:right w:val="single" w:color="auto" w:sz="8" w:space="0"/>
            </w:tcBorders>
          </w:tcPr>
          <w:p>
            <w:pPr>
              <w:ind w:firstLine="640" w:firstLineChars="200"/>
              <w:rPr>
                <w:rFonts w:ascii="仿宋" w:hAnsi="仿宋" w:eastAsia="仿宋"/>
                <w:bCs/>
                <w:szCs w:val="32"/>
              </w:rPr>
            </w:pPr>
          </w:p>
        </w:tc>
        <w:tc>
          <w:tcPr>
            <w:tcW w:w="1440" w:type="dxa"/>
            <w:vMerge w:val="continue"/>
            <w:tcBorders>
              <w:left w:val="single" w:color="FFFFCC" w:sz="4" w:space="0"/>
              <w:right w:val="single" w:color="auto" w:sz="8" w:space="0"/>
            </w:tcBorders>
            <w:vAlign w:val="center"/>
          </w:tcPr>
          <w:p>
            <w:pPr>
              <w:ind w:firstLine="640" w:firstLineChars="200"/>
              <w:rPr>
                <w:rFonts w:ascii="仿宋" w:hAnsi="仿宋" w:eastAsia="仿宋"/>
                <w:bCs/>
                <w:szCs w:val="32"/>
              </w:rPr>
            </w:pPr>
          </w:p>
        </w:tc>
        <w:tc>
          <w:tcPr>
            <w:tcW w:w="19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r>
      <w:tr>
        <w:tblPrEx>
          <w:tblCellMar>
            <w:top w:w="0" w:type="dxa"/>
            <w:left w:w="108" w:type="dxa"/>
            <w:bottom w:w="0" w:type="dxa"/>
            <w:right w:w="108" w:type="dxa"/>
          </w:tblCellMar>
        </w:tblPrEx>
        <w:trPr>
          <w:trHeight w:val="675" w:hRule="atLeast"/>
        </w:trPr>
        <w:tc>
          <w:tcPr>
            <w:tcW w:w="10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c>
          <w:tcPr>
            <w:tcW w:w="3075" w:type="dxa"/>
            <w:tcBorders>
              <w:top w:val="single" w:color="auto" w:sz="4" w:space="0"/>
              <w:left w:val="single" w:color="FFFFCC" w:sz="4" w:space="0"/>
              <w:bottom w:val="single" w:color="auto" w:sz="4" w:space="0"/>
              <w:right w:val="single" w:color="auto" w:sz="8" w:space="0"/>
            </w:tcBorders>
            <w:vAlign w:val="center"/>
          </w:tcPr>
          <w:p>
            <w:pPr>
              <w:ind w:firstLine="640" w:firstLineChars="200"/>
              <w:rPr>
                <w:rFonts w:ascii="仿宋" w:hAnsi="仿宋" w:eastAsia="仿宋"/>
                <w:bCs/>
                <w:szCs w:val="32"/>
              </w:rPr>
            </w:pPr>
          </w:p>
        </w:tc>
        <w:tc>
          <w:tcPr>
            <w:tcW w:w="1440" w:type="dxa"/>
            <w:tcBorders>
              <w:top w:val="single" w:color="auto" w:sz="4" w:space="0"/>
              <w:left w:val="single" w:color="FFFFCC" w:sz="4" w:space="0"/>
              <w:bottom w:val="single" w:color="auto" w:sz="4" w:space="0"/>
              <w:right w:val="single" w:color="auto" w:sz="8" w:space="0"/>
            </w:tcBorders>
          </w:tcPr>
          <w:p>
            <w:pPr>
              <w:ind w:firstLine="640" w:firstLineChars="200"/>
              <w:rPr>
                <w:rFonts w:ascii="仿宋" w:hAnsi="仿宋" w:eastAsia="仿宋"/>
                <w:bCs/>
                <w:szCs w:val="32"/>
              </w:rPr>
            </w:pPr>
          </w:p>
        </w:tc>
        <w:tc>
          <w:tcPr>
            <w:tcW w:w="1440" w:type="dxa"/>
            <w:vMerge w:val="continue"/>
            <w:tcBorders>
              <w:left w:val="single" w:color="FFFFCC" w:sz="4" w:space="0"/>
              <w:right w:val="single" w:color="auto" w:sz="8" w:space="0"/>
            </w:tcBorders>
            <w:vAlign w:val="center"/>
          </w:tcPr>
          <w:p>
            <w:pPr>
              <w:ind w:firstLine="640" w:firstLineChars="200"/>
              <w:rPr>
                <w:rFonts w:ascii="仿宋" w:hAnsi="仿宋" w:eastAsia="仿宋"/>
                <w:bCs/>
                <w:szCs w:val="32"/>
              </w:rPr>
            </w:pPr>
          </w:p>
        </w:tc>
        <w:tc>
          <w:tcPr>
            <w:tcW w:w="19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r>
      <w:tr>
        <w:tblPrEx>
          <w:tblCellMar>
            <w:top w:w="0" w:type="dxa"/>
            <w:left w:w="108" w:type="dxa"/>
            <w:bottom w:w="0" w:type="dxa"/>
            <w:right w:w="108" w:type="dxa"/>
          </w:tblCellMar>
        </w:tblPrEx>
        <w:trPr>
          <w:trHeight w:val="600" w:hRule="atLeast"/>
        </w:trPr>
        <w:tc>
          <w:tcPr>
            <w:tcW w:w="10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c>
          <w:tcPr>
            <w:tcW w:w="3075" w:type="dxa"/>
            <w:tcBorders>
              <w:top w:val="single" w:color="auto" w:sz="4" w:space="0"/>
              <w:left w:val="single" w:color="FFFFCC" w:sz="4" w:space="0"/>
              <w:bottom w:val="single" w:color="auto" w:sz="4" w:space="0"/>
              <w:right w:val="single" w:color="auto" w:sz="8" w:space="0"/>
            </w:tcBorders>
            <w:vAlign w:val="center"/>
          </w:tcPr>
          <w:p>
            <w:pPr>
              <w:ind w:firstLine="640" w:firstLineChars="200"/>
              <w:rPr>
                <w:rFonts w:ascii="仿宋" w:hAnsi="仿宋" w:eastAsia="仿宋"/>
                <w:bCs/>
                <w:szCs w:val="32"/>
              </w:rPr>
            </w:pPr>
          </w:p>
        </w:tc>
        <w:tc>
          <w:tcPr>
            <w:tcW w:w="1440" w:type="dxa"/>
            <w:tcBorders>
              <w:top w:val="single" w:color="auto" w:sz="4" w:space="0"/>
              <w:left w:val="single" w:color="FFFFCC" w:sz="4" w:space="0"/>
              <w:bottom w:val="single" w:color="auto" w:sz="4" w:space="0"/>
              <w:right w:val="single" w:color="auto" w:sz="8" w:space="0"/>
            </w:tcBorders>
          </w:tcPr>
          <w:p>
            <w:pPr>
              <w:ind w:firstLine="640" w:firstLineChars="200"/>
              <w:rPr>
                <w:rFonts w:ascii="仿宋" w:hAnsi="仿宋" w:eastAsia="仿宋"/>
                <w:bCs/>
                <w:szCs w:val="32"/>
              </w:rPr>
            </w:pPr>
          </w:p>
        </w:tc>
        <w:tc>
          <w:tcPr>
            <w:tcW w:w="1440" w:type="dxa"/>
            <w:vMerge w:val="continue"/>
            <w:tcBorders>
              <w:left w:val="single" w:color="FFFFCC" w:sz="4" w:space="0"/>
              <w:right w:val="single" w:color="auto" w:sz="8" w:space="0"/>
            </w:tcBorders>
            <w:vAlign w:val="center"/>
          </w:tcPr>
          <w:p>
            <w:pPr>
              <w:ind w:firstLine="640" w:firstLineChars="200"/>
              <w:rPr>
                <w:rFonts w:ascii="仿宋" w:hAnsi="仿宋" w:eastAsia="仿宋"/>
                <w:bCs/>
                <w:szCs w:val="32"/>
              </w:rPr>
            </w:pPr>
          </w:p>
        </w:tc>
        <w:tc>
          <w:tcPr>
            <w:tcW w:w="1980" w:type="dxa"/>
            <w:vMerge w:val="continue"/>
            <w:tcBorders>
              <w:left w:val="single" w:color="auto" w:sz="8" w:space="0"/>
              <w:right w:val="single" w:color="auto" w:sz="8" w:space="0"/>
            </w:tcBorders>
            <w:vAlign w:val="center"/>
          </w:tcPr>
          <w:p>
            <w:pPr>
              <w:ind w:firstLine="640" w:firstLineChars="200"/>
              <w:rPr>
                <w:rFonts w:ascii="仿宋" w:hAnsi="仿宋" w:eastAsia="仿宋"/>
                <w:bCs/>
                <w:szCs w:val="32"/>
              </w:rPr>
            </w:pPr>
          </w:p>
        </w:tc>
      </w:tr>
      <w:tr>
        <w:tblPrEx>
          <w:tblCellMar>
            <w:top w:w="0" w:type="dxa"/>
            <w:left w:w="108" w:type="dxa"/>
            <w:bottom w:w="0" w:type="dxa"/>
            <w:right w:w="108" w:type="dxa"/>
          </w:tblCellMar>
        </w:tblPrEx>
        <w:trPr>
          <w:trHeight w:val="715" w:hRule="atLeast"/>
        </w:trPr>
        <w:tc>
          <w:tcPr>
            <w:tcW w:w="1080" w:type="dxa"/>
            <w:vMerge w:val="continue"/>
            <w:tcBorders>
              <w:left w:val="single" w:color="auto" w:sz="8" w:space="0"/>
              <w:bottom w:val="single" w:color="000000" w:sz="8" w:space="0"/>
              <w:right w:val="single" w:color="auto" w:sz="8" w:space="0"/>
            </w:tcBorders>
            <w:vAlign w:val="center"/>
          </w:tcPr>
          <w:p>
            <w:pPr>
              <w:ind w:firstLine="640" w:firstLineChars="200"/>
              <w:rPr>
                <w:rFonts w:ascii="仿宋" w:hAnsi="仿宋" w:eastAsia="仿宋"/>
                <w:bCs/>
                <w:szCs w:val="32"/>
              </w:rPr>
            </w:pPr>
          </w:p>
        </w:tc>
        <w:tc>
          <w:tcPr>
            <w:tcW w:w="3075" w:type="dxa"/>
            <w:tcBorders>
              <w:top w:val="single" w:color="auto" w:sz="4" w:space="0"/>
              <w:left w:val="single" w:color="FFFFCC" w:sz="4" w:space="0"/>
              <w:bottom w:val="single" w:color="auto" w:sz="8" w:space="0"/>
              <w:right w:val="single" w:color="auto" w:sz="8" w:space="0"/>
            </w:tcBorders>
            <w:vAlign w:val="center"/>
          </w:tcPr>
          <w:p>
            <w:pPr>
              <w:ind w:firstLine="640" w:firstLineChars="200"/>
              <w:rPr>
                <w:rFonts w:ascii="仿宋" w:hAnsi="仿宋" w:eastAsia="仿宋"/>
                <w:bCs/>
                <w:szCs w:val="32"/>
              </w:rPr>
            </w:pPr>
          </w:p>
        </w:tc>
        <w:tc>
          <w:tcPr>
            <w:tcW w:w="1440" w:type="dxa"/>
            <w:tcBorders>
              <w:top w:val="single" w:color="auto" w:sz="4" w:space="0"/>
              <w:left w:val="single" w:color="FFFFCC" w:sz="4" w:space="0"/>
              <w:bottom w:val="single" w:color="auto" w:sz="8" w:space="0"/>
              <w:right w:val="single" w:color="auto" w:sz="8" w:space="0"/>
            </w:tcBorders>
          </w:tcPr>
          <w:p>
            <w:pPr>
              <w:ind w:firstLine="640" w:firstLineChars="200"/>
              <w:rPr>
                <w:rFonts w:ascii="仿宋" w:hAnsi="仿宋" w:eastAsia="仿宋"/>
                <w:bCs/>
                <w:szCs w:val="32"/>
              </w:rPr>
            </w:pPr>
          </w:p>
        </w:tc>
        <w:tc>
          <w:tcPr>
            <w:tcW w:w="1440" w:type="dxa"/>
            <w:vMerge w:val="continue"/>
            <w:tcBorders>
              <w:left w:val="single" w:color="FFFFCC" w:sz="4" w:space="0"/>
              <w:bottom w:val="single" w:color="auto" w:sz="8" w:space="0"/>
              <w:right w:val="single" w:color="auto" w:sz="8" w:space="0"/>
            </w:tcBorders>
            <w:vAlign w:val="center"/>
          </w:tcPr>
          <w:p>
            <w:pPr>
              <w:ind w:firstLine="640" w:firstLineChars="200"/>
              <w:rPr>
                <w:rFonts w:ascii="仿宋" w:hAnsi="仿宋" w:eastAsia="仿宋"/>
                <w:bCs/>
                <w:szCs w:val="32"/>
              </w:rPr>
            </w:pPr>
          </w:p>
        </w:tc>
        <w:tc>
          <w:tcPr>
            <w:tcW w:w="1980" w:type="dxa"/>
            <w:vMerge w:val="continue"/>
            <w:tcBorders>
              <w:left w:val="single" w:color="auto" w:sz="8" w:space="0"/>
              <w:bottom w:val="single" w:color="000000" w:sz="8" w:space="0"/>
              <w:right w:val="single" w:color="auto" w:sz="8" w:space="0"/>
            </w:tcBorders>
            <w:vAlign w:val="center"/>
          </w:tcPr>
          <w:p>
            <w:pPr>
              <w:ind w:firstLine="640" w:firstLineChars="200"/>
              <w:rPr>
                <w:rFonts w:ascii="仿宋" w:hAnsi="仿宋" w:eastAsia="仿宋"/>
                <w:bCs/>
                <w:szCs w:val="32"/>
              </w:rPr>
            </w:pPr>
          </w:p>
        </w:tc>
      </w:tr>
    </w:tbl>
    <w:p>
      <w:pPr>
        <w:rPr>
          <w:rFonts w:ascii="仿宋_GB2312" w:hAnsi="仿宋"/>
          <w:bCs/>
          <w:sz w:val="28"/>
          <w:szCs w:val="28"/>
        </w:rPr>
      </w:pPr>
      <w:r>
        <w:rPr>
          <w:rFonts w:hint="eastAsia" w:ascii="仿宋_GB2312" w:hAnsi="仿宋"/>
          <w:bCs/>
          <w:sz w:val="28"/>
          <w:szCs w:val="28"/>
        </w:rPr>
        <w:t>专业层次填：五年制高师和三年制中职普职融通实验班、五年一贯制高职、三二连读高职、普通中专、职业中专、职业高中、技工学校。</w:t>
      </w:r>
    </w:p>
    <w:p>
      <w:pPr>
        <w:ind w:firstLine="640" w:firstLineChars="200"/>
        <w:rPr>
          <w:rFonts w:ascii="仿宋" w:hAnsi="仿宋" w:eastAsia="仿宋"/>
          <w:bCs/>
          <w:szCs w:val="32"/>
        </w:rPr>
      </w:pPr>
    </w:p>
    <w:p>
      <w:pPr>
        <w:widowControl/>
        <w:jc w:val="left"/>
        <w:rPr>
          <w:rFonts w:ascii="黑体" w:hAnsi="黑体" w:eastAsia="黑体"/>
          <w:bCs/>
          <w:szCs w:val="32"/>
        </w:rPr>
      </w:pPr>
    </w:p>
    <w:p>
      <w:pPr>
        <w:widowControl/>
        <w:jc w:val="left"/>
        <w:rPr>
          <w:rFonts w:ascii="黑体" w:hAnsi="黑体" w:eastAsia="黑体"/>
          <w:bCs/>
          <w:szCs w:val="32"/>
        </w:rPr>
      </w:pPr>
      <w:r>
        <w:rPr>
          <w:rFonts w:hint="eastAsia" w:ascii="黑体" w:hAnsi="黑体" w:eastAsia="黑体"/>
          <w:bCs/>
          <w:szCs w:val="32"/>
        </w:rPr>
        <w:t>附件7</w:t>
      </w:r>
    </w:p>
    <w:p>
      <w:pPr>
        <w:widowControl/>
        <w:spacing w:line="560" w:lineRule="exact"/>
        <w:jc w:val="center"/>
        <w:outlineLvl w:val="1"/>
        <w:rPr>
          <w:rFonts w:ascii="方正小标宋_GBK" w:hAnsi="方正小标宋_GBK" w:eastAsia="方正小标宋_GBK" w:cs="方正小标宋_GBK"/>
          <w:color w:val="000000"/>
          <w:spacing w:val="-20"/>
          <w:kern w:val="0"/>
          <w:sz w:val="44"/>
          <w:szCs w:val="44"/>
        </w:rPr>
      </w:pPr>
      <w:r>
        <w:rPr>
          <w:rFonts w:hint="eastAsia" w:ascii="方正小标宋_GBK" w:hAnsi="方正小标宋_GBK" w:eastAsia="方正小标宋_GBK" w:cs="方正小标宋_GBK"/>
          <w:color w:val="000000"/>
          <w:spacing w:val="-20"/>
          <w:kern w:val="0"/>
          <w:sz w:val="44"/>
          <w:szCs w:val="44"/>
        </w:rPr>
        <w:t>2022年青岛西海岸新区职业学校招生工作</w:t>
      </w:r>
    </w:p>
    <w:p>
      <w:pPr>
        <w:widowControl/>
        <w:spacing w:line="560" w:lineRule="exact"/>
        <w:jc w:val="center"/>
        <w:outlineLvl w:val="1"/>
        <w:rPr>
          <w:rFonts w:ascii="方正小标宋_GBK" w:hAnsi="方正小标宋_GBK" w:eastAsia="方正小标宋_GBK" w:cs="方正小标宋_GBK"/>
          <w:color w:val="000000"/>
          <w:spacing w:val="-20"/>
          <w:kern w:val="0"/>
          <w:sz w:val="44"/>
          <w:szCs w:val="44"/>
        </w:rPr>
      </w:pPr>
      <w:r>
        <w:rPr>
          <w:rFonts w:hint="eastAsia" w:ascii="方正小标宋_GBK" w:hAnsi="方正小标宋_GBK" w:eastAsia="方正小标宋_GBK" w:cs="方正小标宋_GBK"/>
          <w:color w:val="000000"/>
          <w:spacing w:val="-20"/>
          <w:kern w:val="0"/>
          <w:sz w:val="44"/>
          <w:szCs w:val="44"/>
        </w:rPr>
        <w:t>日程安排</w:t>
      </w:r>
    </w:p>
    <w:tbl>
      <w:tblPr>
        <w:tblStyle w:val="11"/>
        <w:tblW w:w="9143" w:type="dxa"/>
        <w:jc w:val="center"/>
        <w:tblLayout w:type="fixed"/>
        <w:tblCellMar>
          <w:top w:w="0" w:type="dxa"/>
          <w:left w:w="108" w:type="dxa"/>
          <w:bottom w:w="0" w:type="dxa"/>
          <w:right w:w="108" w:type="dxa"/>
        </w:tblCellMar>
      </w:tblPr>
      <w:tblGrid>
        <w:gridCol w:w="2753"/>
        <w:gridCol w:w="6390"/>
      </w:tblGrid>
      <w:tr>
        <w:tblPrEx>
          <w:tblCellMar>
            <w:top w:w="0" w:type="dxa"/>
            <w:left w:w="108" w:type="dxa"/>
            <w:bottom w:w="0" w:type="dxa"/>
            <w:right w:w="108" w:type="dxa"/>
          </w:tblCellMar>
        </w:tblPrEx>
        <w:trPr>
          <w:trHeight w:val="531" w:hRule="atLeast"/>
          <w:tblHeader/>
          <w:jc w:val="center"/>
        </w:trPr>
        <w:tc>
          <w:tcPr>
            <w:tcW w:w="275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时间</w:t>
            </w:r>
          </w:p>
        </w:tc>
        <w:tc>
          <w:tcPr>
            <w:tcW w:w="6390" w:type="dxa"/>
            <w:tcBorders>
              <w:top w:val="single" w:color="auto" w:sz="4" w:space="0"/>
              <w:left w:val="nil"/>
              <w:bottom w:val="single" w:color="auto" w:sz="4" w:space="0"/>
              <w:right w:val="single" w:color="auto" w:sz="4" w:space="0"/>
            </w:tcBorders>
            <w:vAlign w:val="center"/>
          </w:tcPr>
          <w:p>
            <w:pPr>
              <w:spacing w:line="360" w:lineRule="exact"/>
              <w:jc w:val="center"/>
              <w:rPr>
                <w:rFonts w:hint="eastAsia" w:ascii="黑体" w:hAnsi="黑体" w:eastAsia="黑体" w:cs="黑体"/>
                <w:b w:val="0"/>
                <w:bCs/>
                <w:sz w:val="28"/>
                <w:szCs w:val="28"/>
              </w:rPr>
            </w:pPr>
            <w:r>
              <w:rPr>
                <w:rFonts w:hint="eastAsia" w:ascii="黑体" w:hAnsi="黑体" w:eastAsia="黑体" w:cs="黑体"/>
                <w:b w:val="0"/>
                <w:bCs/>
                <w:sz w:val="28"/>
                <w:szCs w:val="28"/>
              </w:rPr>
              <w:t>工作安排</w:t>
            </w:r>
          </w:p>
        </w:tc>
      </w:tr>
      <w:tr>
        <w:tblPrEx>
          <w:tblCellMar>
            <w:top w:w="0" w:type="dxa"/>
            <w:left w:w="108" w:type="dxa"/>
            <w:bottom w:w="0" w:type="dxa"/>
            <w:right w:w="108" w:type="dxa"/>
          </w:tblCellMar>
        </w:tblPrEx>
        <w:trPr>
          <w:trHeight w:val="809" w:hRule="atLeast"/>
          <w:jc w:val="center"/>
        </w:trPr>
        <w:tc>
          <w:tcPr>
            <w:tcW w:w="2753" w:type="dxa"/>
            <w:tcBorders>
              <w:top w:val="nil"/>
              <w:left w:val="single" w:color="auto" w:sz="4" w:space="0"/>
              <w:bottom w:val="single" w:color="auto" w:sz="4" w:space="0"/>
              <w:right w:val="single" w:color="auto" w:sz="4" w:space="0"/>
            </w:tcBorders>
            <w:vAlign w:val="center"/>
          </w:tcPr>
          <w:p>
            <w:pPr>
              <w:spacing w:line="340" w:lineRule="exact"/>
              <w:jc w:val="center"/>
              <w:rPr>
                <w:rFonts w:ascii="仿宋_GB2312" w:hAnsi="仿宋"/>
                <w:sz w:val="24"/>
              </w:rPr>
            </w:pPr>
            <w:r>
              <w:rPr>
                <w:rFonts w:hint="eastAsia" w:ascii="仿宋_GB2312" w:hAnsi="仿宋"/>
                <w:sz w:val="24"/>
              </w:rPr>
              <w:t>4月6日前</w:t>
            </w:r>
          </w:p>
        </w:tc>
        <w:tc>
          <w:tcPr>
            <w:tcW w:w="6390" w:type="dxa"/>
            <w:tcBorders>
              <w:top w:val="nil"/>
              <w:left w:val="nil"/>
              <w:bottom w:val="single" w:color="auto" w:sz="4" w:space="0"/>
              <w:right w:val="single" w:color="auto" w:sz="4" w:space="0"/>
            </w:tcBorders>
            <w:vAlign w:val="center"/>
          </w:tcPr>
          <w:p>
            <w:pPr>
              <w:spacing w:line="340" w:lineRule="exact"/>
              <w:rPr>
                <w:rFonts w:ascii="仿宋_GB2312" w:hAnsi="仿宋"/>
                <w:sz w:val="24"/>
              </w:rPr>
            </w:pPr>
            <w:r>
              <w:rPr>
                <w:rFonts w:hint="eastAsia" w:ascii="仿宋_GB2312" w:hAnsi="仿宋"/>
                <w:sz w:val="24"/>
              </w:rPr>
              <w:t>核定我区中职招生计划</w:t>
            </w:r>
          </w:p>
        </w:tc>
      </w:tr>
      <w:tr>
        <w:tblPrEx>
          <w:tblCellMar>
            <w:top w:w="0" w:type="dxa"/>
            <w:left w:w="108" w:type="dxa"/>
            <w:bottom w:w="0" w:type="dxa"/>
            <w:right w:w="108" w:type="dxa"/>
          </w:tblCellMar>
        </w:tblPrEx>
        <w:trPr>
          <w:trHeight w:val="685" w:hRule="atLeast"/>
          <w:jc w:val="center"/>
        </w:trPr>
        <w:tc>
          <w:tcPr>
            <w:tcW w:w="2753" w:type="dxa"/>
            <w:tcBorders>
              <w:top w:val="nil"/>
              <w:left w:val="single" w:color="auto" w:sz="4" w:space="0"/>
              <w:bottom w:val="single" w:color="auto" w:sz="4" w:space="0"/>
              <w:right w:val="single" w:color="auto" w:sz="4" w:space="0"/>
            </w:tcBorders>
            <w:vAlign w:val="center"/>
          </w:tcPr>
          <w:p>
            <w:pPr>
              <w:spacing w:line="340" w:lineRule="exact"/>
              <w:jc w:val="both"/>
              <w:rPr>
                <w:rFonts w:ascii="仿宋_GB2312" w:hAnsi="仿宋"/>
                <w:sz w:val="24"/>
              </w:rPr>
            </w:pPr>
            <w:r>
              <w:rPr>
                <w:rFonts w:hint="eastAsia" w:ascii="仿宋_GB2312" w:hAnsi="仿宋"/>
                <w:sz w:val="24"/>
              </w:rPr>
              <w:t>4月18日（星期一）至27日（星期三）</w:t>
            </w:r>
          </w:p>
        </w:tc>
        <w:tc>
          <w:tcPr>
            <w:tcW w:w="6390" w:type="dxa"/>
            <w:tcBorders>
              <w:top w:val="nil"/>
              <w:left w:val="nil"/>
              <w:bottom w:val="single" w:color="auto" w:sz="4" w:space="0"/>
              <w:right w:val="single" w:color="auto" w:sz="4" w:space="0"/>
            </w:tcBorders>
            <w:vAlign w:val="center"/>
          </w:tcPr>
          <w:p>
            <w:pPr>
              <w:spacing w:line="340" w:lineRule="exact"/>
              <w:rPr>
                <w:rFonts w:ascii="仿宋_GB2312" w:hAnsi="仿宋"/>
                <w:sz w:val="24"/>
              </w:rPr>
            </w:pPr>
            <w:r>
              <w:rPr>
                <w:rFonts w:hint="eastAsia" w:ascii="仿宋_GB2312" w:hAnsi="仿宋"/>
                <w:sz w:val="24"/>
              </w:rPr>
              <w:t>职业学校根据省反馈初中后高职招生专业及计划数情况，通过中考平台制作分市招生计划以及在青分专业招生计划，同时申报三年制中职、技校招生计划</w:t>
            </w:r>
          </w:p>
        </w:tc>
      </w:tr>
      <w:tr>
        <w:tblPrEx>
          <w:tblCellMar>
            <w:top w:w="0" w:type="dxa"/>
            <w:left w:w="108" w:type="dxa"/>
            <w:bottom w:w="0" w:type="dxa"/>
            <w:right w:w="108" w:type="dxa"/>
          </w:tblCellMar>
        </w:tblPrEx>
        <w:trPr>
          <w:trHeight w:val="685" w:hRule="atLeast"/>
          <w:jc w:val="center"/>
        </w:trPr>
        <w:tc>
          <w:tcPr>
            <w:tcW w:w="2753" w:type="dxa"/>
            <w:tcBorders>
              <w:top w:val="nil"/>
              <w:left w:val="single" w:color="auto" w:sz="4" w:space="0"/>
              <w:bottom w:val="single" w:color="auto" w:sz="4" w:space="0"/>
              <w:right w:val="single" w:color="auto" w:sz="4" w:space="0"/>
            </w:tcBorders>
            <w:vAlign w:val="center"/>
          </w:tcPr>
          <w:p>
            <w:pPr>
              <w:spacing w:line="340" w:lineRule="exact"/>
              <w:jc w:val="center"/>
              <w:rPr>
                <w:rFonts w:ascii="仿宋_GB2312" w:hAnsi="仿宋"/>
                <w:sz w:val="24"/>
              </w:rPr>
            </w:pPr>
            <w:r>
              <w:rPr>
                <w:rFonts w:hint="eastAsia" w:ascii="仿宋_GB2312" w:hAnsi="仿宋"/>
                <w:sz w:val="24"/>
              </w:rPr>
              <w:t>4月下旬</w:t>
            </w:r>
          </w:p>
        </w:tc>
        <w:tc>
          <w:tcPr>
            <w:tcW w:w="6390" w:type="dxa"/>
            <w:tcBorders>
              <w:top w:val="nil"/>
              <w:left w:val="nil"/>
              <w:bottom w:val="single" w:color="auto" w:sz="4" w:space="0"/>
              <w:right w:val="single" w:color="auto" w:sz="4" w:space="0"/>
            </w:tcBorders>
            <w:vAlign w:val="center"/>
          </w:tcPr>
          <w:p>
            <w:pPr>
              <w:spacing w:line="340" w:lineRule="exact"/>
              <w:rPr>
                <w:rFonts w:ascii="仿宋_GB2312" w:hAnsi="仿宋"/>
                <w:sz w:val="24"/>
              </w:rPr>
            </w:pPr>
            <w:r>
              <w:rPr>
                <w:rFonts w:hint="eastAsia" w:ascii="仿宋_GB2312" w:hAnsi="仿宋"/>
                <w:sz w:val="24"/>
              </w:rPr>
              <w:t>新区各职业学校招生简章预审及报批</w:t>
            </w:r>
          </w:p>
        </w:tc>
      </w:tr>
      <w:tr>
        <w:tblPrEx>
          <w:tblCellMar>
            <w:top w:w="0" w:type="dxa"/>
            <w:left w:w="108" w:type="dxa"/>
            <w:bottom w:w="0" w:type="dxa"/>
            <w:right w:w="108" w:type="dxa"/>
          </w:tblCellMar>
        </w:tblPrEx>
        <w:trPr>
          <w:trHeight w:val="672" w:hRule="atLeast"/>
          <w:jc w:val="center"/>
        </w:trPr>
        <w:tc>
          <w:tcPr>
            <w:tcW w:w="2753" w:type="dxa"/>
            <w:tcBorders>
              <w:top w:val="nil"/>
              <w:left w:val="single" w:color="auto" w:sz="4" w:space="0"/>
              <w:bottom w:val="single" w:color="auto" w:sz="4" w:space="0"/>
              <w:right w:val="single" w:color="auto" w:sz="4" w:space="0"/>
            </w:tcBorders>
            <w:vAlign w:val="center"/>
          </w:tcPr>
          <w:p>
            <w:pPr>
              <w:spacing w:line="340" w:lineRule="exact"/>
              <w:jc w:val="center"/>
              <w:rPr>
                <w:rFonts w:ascii="仿宋_GB2312" w:hAnsi="仿宋"/>
                <w:sz w:val="24"/>
              </w:rPr>
            </w:pPr>
            <w:r>
              <w:rPr>
                <w:rFonts w:hint="eastAsia" w:ascii="仿宋_GB2312" w:hAnsi="仿宋"/>
                <w:sz w:val="24"/>
              </w:rPr>
              <w:t>4月下旬</w:t>
            </w:r>
          </w:p>
        </w:tc>
        <w:tc>
          <w:tcPr>
            <w:tcW w:w="6390" w:type="dxa"/>
            <w:tcBorders>
              <w:top w:val="nil"/>
              <w:left w:val="nil"/>
              <w:bottom w:val="single" w:color="auto" w:sz="4" w:space="0"/>
              <w:right w:val="single" w:color="auto" w:sz="4" w:space="0"/>
            </w:tcBorders>
            <w:vAlign w:val="center"/>
          </w:tcPr>
          <w:p>
            <w:pPr>
              <w:spacing w:line="340" w:lineRule="exact"/>
              <w:rPr>
                <w:rFonts w:ascii="仿宋_GB2312" w:hAnsi="仿宋"/>
                <w:sz w:val="24"/>
              </w:rPr>
            </w:pPr>
            <w:r>
              <w:rPr>
                <w:rFonts w:hint="eastAsia" w:ascii="仿宋_GB2312" w:hAnsi="仿宋"/>
                <w:sz w:val="24"/>
              </w:rPr>
              <w:t xml:space="preserve">研究制定新区中职招生工作意见；召开全区招生工作会议。 </w:t>
            </w:r>
          </w:p>
        </w:tc>
      </w:tr>
      <w:tr>
        <w:tblPrEx>
          <w:tblCellMar>
            <w:top w:w="0" w:type="dxa"/>
            <w:left w:w="108" w:type="dxa"/>
            <w:bottom w:w="0" w:type="dxa"/>
            <w:right w:w="108" w:type="dxa"/>
          </w:tblCellMar>
        </w:tblPrEx>
        <w:trPr>
          <w:trHeight w:val="952" w:hRule="atLeast"/>
          <w:jc w:val="center"/>
        </w:trPr>
        <w:tc>
          <w:tcPr>
            <w:tcW w:w="275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_GB2312" w:hAnsi="仿宋"/>
                <w:sz w:val="24"/>
              </w:rPr>
            </w:pPr>
            <w:r>
              <w:rPr>
                <w:rFonts w:hint="eastAsia" w:ascii="仿宋_GB2312" w:hAnsi="仿宋" w:cs="仿宋_GB2312"/>
                <w:color w:val="000000"/>
                <w:kern w:val="0"/>
                <w:sz w:val="24"/>
              </w:rPr>
              <w:t>4月28日（星期四）前</w:t>
            </w: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cs="仿宋_GB2312"/>
                <w:color w:val="000000"/>
                <w:kern w:val="0"/>
                <w:sz w:val="24"/>
              </w:rPr>
              <w:t>需要组织面试的各职业学校向市招考院申报面试安排表，需设置专业最低控制分数线的学校报送专业最低控制线。</w:t>
            </w:r>
          </w:p>
        </w:tc>
      </w:tr>
      <w:tr>
        <w:tblPrEx>
          <w:tblCellMar>
            <w:top w:w="0" w:type="dxa"/>
            <w:left w:w="108" w:type="dxa"/>
            <w:bottom w:w="0" w:type="dxa"/>
            <w:right w:w="108" w:type="dxa"/>
          </w:tblCellMar>
        </w:tblPrEx>
        <w:trPr>
          <w:trHeight w:val="561" w:hRule="atLeast"/>
          <w:jc w:val="center"/>
        </w:trPr>
        <w:tc>
          <w:tcPr>
            <w:tcW w:w="2753" w:type="dxa"/>
            <w:tcBorders>
              <w:top w:val="nil"/>
              <w:left w:val="single" w:color="auto" w:sz="4" w:space="0"/>
              <w:bottom w:val="single" w:color="auto" w:sz="4" w:space="0"/>
              <w:right w:val="single" w:color="auto" w:sz="4" w:space="0"/>
            </w:tcBorders>
            <w:vAlign w:val="center"/>
          </w:tcPr>
          <w:p>
            <w:pPr>
              <w:spacing w:line="340" w:lineRule="exact"/>
              <w:jc w:val="center"/>
              <w:rPr>
                <w:rFonts w:ascii="仿宋_GB2312" w:hAnsi="仿宋"/>
                <w:sz w:val="24"/>
              </w:rPr>
            </w:pPr>
            <w:r>
              <w:rPr>
                <w:rFonts w:hint="eastAsia" w:ascii="仿宋_GB2312" w:hAnsi="仿宋"/>
                <w:sz w:val="24"/>
              </w:rPr>
              <w:t>5月5日-13日</w:t>
            </w:r>
          </w:p>
        </w:tc>
        <w:tc>
          <w:tcPr>
            <w:tcW w:w="6390" w:type="dxa"/>
            <w:tcBorders>
              <w:top w:val="nil"/>
              <w:left w:val="nil"/>
              <w:bottom w:val="single" w:color="auto" w:sz="4" w:space="0"/>
              <w:right w:val="single" w:color="auto" w:sz="4" w:space="0"/>
            </w:tcBorders>
            <w:vAlign w:val="center"/>
          </w:tcPr>
          <w:p>
            <w:pPr>
              <w:spacing w:line="340" w:lineRule="exact"/>
              <w:rPr>
                <w:rFonts w:ascii="仿宋_GB2312" w:hAnsi="仿宋"/>
                <w:sz w:val="24"/>
              </w:rPr>
            </w:pPr>
            <w:r>
              <w:rPr>
                <w:rFonts w:hint="eastAsia" w:ascii="仿宋_GB2312" w:hAnsi="仿宋"/>
                <w:sz w:val="24"/>
              </w:rPr>
              <w:t>市局审核各类初中后职业类招生计划</w:t>
            </w:r>
          </w:p>
        </w:tc>
      </w:tr>
      <w:tr>
        <w:tblPrEx>
          <w:tblCellMar>
            <w:top w:w="0" w:type="dxa"/>
            <w:left w:w="108" w:type="dxa"/>
            <w:bottom w:w="0" w:type="dxa"/>
            <w:right w:w="108" w:type="dxa"/>
          </w:tblCellMar>
        </w:tblPrEx>
        <w:trPr>
          <w:trHeight w:val="585" w:hRule="atLeast"/>
          <w:jc w:val="center"/>
        </w:trPr>
        <w:tc>
          <w:tcPr>
            <w:tcW w:w="2753" w:type="dxa"/>
            <w:tcBorders>
              <w:top w:val="nil"/>
              <w:left w:val="single" w:color="auto" w:sz="4" w:space="0"/>
              <w:bottom w:val="single" w:color="auto" w:sz="4" w:space="0"/>
              <w:right w:val="single" w:color="auto" w:sz="4" w:space="0"/>
            </w:tcBorders>
            <w:vAlign w:val="center"/>
          </w:tcPr>
          <w:p>
            <w:pPr>
              <w:spacing w:line="340" w:lineRule="exact"/>
              <w:jc w:val="center"/>
              <w:rPr>
                <w:rFonts w:ascii="仿宋_GB2312" w:hAnsi="仿宋"/>
                <w:sz w:val="24"/>
              </w:rPr>
            </w:pPr>
            <w:r>
              <w:rPr>
                <w:rFonts w:hint="eastAsia" w:ascii="仿宋_GB2312" w:hAnsi="仿宋"/>
                <w:sz w:val="24"/>
              </w:rPr>
              <w:t>5月8日-16日</w:t>
            </w:r>
          </w:p>
        </w:tc>
        <w:tc>
          <w:tcPr>
            <w:tcW w:w="6390" w:type="dxa"/>
            <w:tcBorders>
              <w:top w:val="nil"/>
              <w:left w:val="nil"/>
              <w:bottom w:val="single" w:color="auto" w:sz="4" w:space="0"/>
              <w:right w:val="single" w:color="auto" w:sz="4" w:space="0"/>
            </w:tcBorders>
            <w:vAlign w:val="center"/>
          </w:tcPr>
          <w:p>
            <w:pPr>
              <w:spacing w:line="300" w:lineRule="exact"/>
              <w:rPr>
                <w:rFonts w:ascii="仿宋_GB2312" w:hAnsi="仿宋"/>
                <w:sz w:val="24"/>
              </w:rPr>
            </w:pPr>
            <w:r>
              <w:rPr>
                <w:rFonts w:hint="eastAsia" w:ascii="仿宋_GB2312" w:hAnsi="仿宋"/>
                <w:sz w:val="24"/>
              </w:rPr>
              <w:t>全区中职招生政策宣传</w:t>
            </w:r>
          </w:p>
        </w:tc>
      </w:tr>
      <w:tr>
        <w:tblPrEx>
          <w:tblCellMar>
            <w:top w:w="0" w:type="dxa"/>
            <w:left w:w="108" w:type="dxa"/>
            <w:bottom w:w="0" w:type="dxa"/>
            <w:right w:w="108" w:type="dxa"/>
          </w:tblCellMar>
        </w:tblPrEx>
        <w:trPr>
          <w:trHeight w:val="552" w:hRule="atLeast"/>
          <w:jc w:val="center"/>
        </w:trPr>
        <w:tc>
          <w:tcPr>
            <w:tcW w:w="2753" w:type="dxa"/>
            <w:tcBorders>
              <w:top w:val="nil"/>
              <w:left w:val="single" w:color="auto" w:sz="4" w:space="0"/>
              <w:bottom w:val="single" w:color="auto" w:sz="4" w:space="0"/>
              <w:right w:val="single" w:color="auto" w:sz="4" w:space="0"/>
            </w:tcBorders>
            <w:vAlign w:val="center"/>
          </w:tcPr>
          <w:p>
            <w:pPr>
              <w:spacing w:line="340" w:lineRule="exact"/>
              <w:jc w:val="center"/>
              <w:rPr>
                <w:rFonts w:ascii="仿宋_GB2312" w:hAnsi="仿宋"/>
                <w:sz w:val="24"/>
              </w:rPr>
            </w:pPr>
            <w:r>
              <w:rPr>
                <w:rFonts w:hint="eastAsia" w:ascii="仿宋_GB2312" w:hAnsi="仿宋"/>
                <w:sz w:val="24"/>
              </w:rPr>
              <w:t>5月16日-22日</w:t>
            </w:r>
          </w:p>
        </w:tc>
        <w:tc>
          <w:tcPr>
            <w:tcW w:w="6390" w:type="dxa"/>
            <w:tcBorders>
              <w:top w:val="nil"/>
              <w:left w:val="nil"/>
              <w:bottom w:val="single" w:color="auto" w:sz="4" w:space="0"/>
              <w:right w:val="single" w:color="auto" w:sz="4" w:space="0"/>
            </w:tcBorders>
            <w:vAlign w:val="center"/>
          </w:tcPr>
          <w:p>
            <w:pPr>
              <w:spacing w:line="340" w:lineRule="exact"/>
              <w:rPr>
                <w:rFonts w:ascii="仿宋_GB2312" w:hAnsi="仿宋"/>
                <w:color w:val="000000"/>
                <w:sz w:val="24"/>
              </w:rPr>
            </w:pPr>
            <w:r>
              <w:rPr>
                <w:rFonts w:hint="eastAsia" w:ascii="仿宋_GB2312" w:hAnsi="仿宋"/>
                <w:color w:val="000000"/>
                <w:sz w:val="24"/>
              </w:rPr>
              <w:t>职业学校面试</w:t>
            </w:r>
          </w:p>
        </w:tc>
      </w:tr>
      <w:tr>
        <w:tblPrEx>
          <w:tblCellMar>
            <w:top w:w="0" w:type="dxa"/>
            <w:left w:w="108" w:type="dxa"/>
            <w:bottom w:w="0" w:type="dxa"/>
            <w:right w:w="108" w:type="dxa"/>
          </w:tblCellMar>
        </w:tblPrEx>
        <w:trPr>
          <w:trHeight w:val="619" w:hRule="atLeast"/>
          <w:jc w:val="center"/>
        </w:trPr>
        <w:tc>
          <w:tcPr>
            <w:tcW w:w="275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_GB2312" w:hAnsi="仿宋"/>
                <w:sz w:val="24"/>
              </w:rPr>
            </w:pPr>
            <w:r>
              <w:rPr>
                <w:rFonts w:hint="eastAsia" w:ascii="仿宋_GB2312" w:hAnsi="仿宋"/>
                <w:sz w:val="24"/>
              </w:rPr>
              <w:t>5月23日</w:t>
            </w: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职业学校将面试合格考生信息在中考平台完成标记</w:t>
            </w:r>
          </w:p>
        </w:tc>
      </w:tr>
      <w:tr>
        <w:tblPrEx>
          <w:tblCellMar>
            <w:top w:w="0" w:type="dxa"/>
            <w:left w:w="108" w:type="dxa"/>
            <w:bottom w:w="0" w:type="dxa"/>
            <w:right w:w="108" w:type="dxa"/>
          </w:tblCellMar>
        </w:tblPrEx>
        <w:trPr>
          <w:trHeight w:val="1134" w:hRule="atLeast"/>
          <w:jc w:val="center"/>
        </w:trPr>
        <w:tc>
          <w:tcPr>
            <w:tcW w:w="275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_GB2312" w:hAnsi="仿宋"/>
                <w:sz w:val="24"/>
              </w:rPr>
            </w:pPr>
            <w:r>
              <w:rPr>
                <w:rFonts w:hint="eastAsia" w:ascii="仿宋_GB2312" w:hAnsi="仿宋"/>
                <w:sz w:val="24"/>
              </w:rPr>
              <w:t>5月26日（星期四）至28日（星期六）每天8:00至20:00</w:t>
            </w: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全市高中阶段学校招生网上志愿填报</w:t>
            </w:r>
          </w:p>
        </w:tc>
      </w:tr>
      <w:tr>
        <w:tblPrEx>
          <w:tblCellMar>
            <w:top w:w="0" w:type="dxa"/>
            <w:left w:w="108" w:type="dxa"/>
            <w:bottom w:w="0" w:type="dxa"/>
            <w:right w:w="108" w:type="dxa"/>
          </w:tblCellMar>
        </w:tblPrEx>
        <w:trPr>
          <w:trHeight w:val="583" w:hRule="atLeast"/>
          <w:jc w:val="center"/>
        </w:trPr>
        <w:tc>
          <w:tcPr>
            <w:tcW w:w="2753"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_GB2312" w:hAnsi="仿宋"/>
                <w:sz w:val="24"/>
              </w:rPr>
            </w:pPr>
            <w:r>
              <w:rPr>
                <w:rFonts w:hint="eastAsia" w:ascii="仿宋_GB2312" w:hAnsi="仿宋"/>
                <w:sz w:val="24"/>
              </w:rPr>
              <w:t>6月20日（星期一）</w:t>
            </w: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公示全市高中阶段招生加分优待考生名单</w:t>
            </w:r>
          </w:p>
        </w:tc>
      </w:tr>
      <w:tr>
        <w:tblPrEx>
          <w:tblCellMar>
            <w:top w:w="0" w:type="dxa"/>
            <w:left w:w="108" w:type="dxa"/>
            <w:bottom w:w="0" w:type="dxa"/>
            <w:right w:w="108" w:type="dxa"/>
          </w:tblCellMar>
        </w:tblPrEx>
        <w:trPr>
          <w:trHeight w:val="554" w:hRule="atLeast"/>
          <w:jc w:val="center"/>
        </w:trPr>
        <w:tc>
          <w:tcPr>
            <w:tcW w:w="2753" w:type="dxa"/>
            <w:vMerge w:val="restart"/>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仿宋_GB2312" w:hAnsi="仿宋"/>
                <w:sz w:val="24"/>
              </w:rPr>
            </w:pPr>
            <w:r>
              <w:rPr>
                <w:rFonts w:hint="eastAsia" w:ascii="仿宋_GB2312" w:hAnsi="仿宋"/>
                <w:sz w:val="24"/>
              </w:rPr>
              <w:t>7月10日（星期日）</w:t>
            </w: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1.公布初中学业水平考试成绩</w:t>
            </w:r>
          </w:p>
        </w:tc>
      </w:tr>
      <w:tr>
        <w:tblPrEx>
          <w:tblCellMar>
            <w:top w:w="0" w:type="dxa"/>
            <w:left w:w="108" w:type="dxa"/>
            <w:bottom w:w="0" w:type="dxa"/>
            <w:right w:w="108" w:type="dxa"/>
          </w:tblCellMar>
        </w:tblPrEx>
        <w:trPr>
          <w:trHeight w:val="563" w:hRule="atLeast"/>
          <w:jc w:val="center"/>
        </w:trPr>
        <w:tc>
          <w:tcPr>
            <w:tcW w:w="27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sz w:val="24"/>
              </w:rPr>
            </w:pP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2.公布“分数带”、分数带内招生计划</w:t>
            </w:r>
          </w:p>
        </w:tc>
      </w:tr>
      <w:tr>
        <w:tblPrEx>
          <w:tblCellMar>
            <w:top w:w="0" w:type="dxa"/>
            <w:left w:w="108" w:type="dxa"/>
            <w:bottom w:w="0" w:type="dxa"/>
            <w:right w:w="108" w:type="dxa"/>
          </w:tblCellMar>
        </w:tblPrEx>
        <w:trPr>
          <w:trHeight w:val="1142" w:hRule="atLeast"/>
          <w:jc w:val="center"/>
        </w:trPr>
        <w:tc>
          <w:tcPr>
            <w:tcW w:w="2753"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7月10日（星期日）至12日（星期二）11:00前</w:t>
            </w:r>
          </w:p>
        </w:tc>
        <w:tc>
          <w:tcPr>
            <w:tcW w:w="6390" w:type="dxa"/>
            <w:tcBorders>
              <w:top w:val="single" w:color="000000" w:sz="4" w:space="0"/>
              <w:left w:val="single" w:color="000000" w:sz="4" w:space="0"/>
              <w:bottom w:val="single" w:color="auto"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考生调整职业学校五年制高师、普职融通、五年制高职、三年中职技校志愿</w:t>
            </w:r>
          </w:p>
        </w:tc>
      </w:tr>
      <w:tr>
        <w:tblPrEx>
          <w:tblCellMar>
            <w:top w:w="0" w:type="dxa"/>
            <w:left w:w="108" w:type="dxa"/>
            <w:bottom w:w="0" w:type="dxa"/>
            <w:right w:w="108" w:type="dxa"/>
          </w:tblCellMar>
        </w:tblPrEx>
        <w:trPr>
          <w:trHeight w:val="852" w:hRule="atLeast"/>
          <w:jc w:val="center"/>
        </w:trPr>
        <w:tc>
          <w:tcPr>
            <w:tcW w:w="2753" w:type="dxa"/>
            <w:vMerge w:val="restart"/>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7月24日（星期日）至26日（星期二）</w:t>
            </w: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1.公布职业学校第一阶段录取满额的学校和专业的专业分数线，及批次控制分数线</w:t>
            </w:r>
          </w:p>
        </w:tc>
      </w:tr>
      <w:tr>
        <w:tblPrEx>
          <w:tblCellMar>
            <w:top w:w="0" w:type="dxa"/>
            <w:left w:w="108" w:type="dxa"/>
            <w:bottom w:w="0" w:type="dxa"/>
            <w:right w:w="108" w:type="dxa"/>
          </w:tblCellMar>
        </w:tblPrEx>
        <w:trPr>
          <w:trHeight w:val="835" w:hRule="atLeast"/>
          <w:jc w:val="center"/>
        </w:trPr>
        <w:tc>
          <w:tcPr>
            <w:tcW w:w="27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sz w:val="24"/>
              </w:rPr>
            </w:pP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2.各职业学校在省考试院要求的截止时间前在省计划调整平台完成招生计划跨市调拨审批</w:t>
            </w:r>
          </w:p>
        </w:tc>
      </w:tr>
      <w:tr>
        <w:tblPrEx>
          <w:tblCellMar>
            <w:top w:w="0" w:type="dxa"/>
            <w:left w:w="108" w:type="dxa"/>
            <w:bottom w:w="0" w:type="dxa"/>
            <w:right w:w="108" w:type="dxa"/>
          </w:tblCellMar>
        </w:tblPrEx>
        <w:trPr>
          <w:trHeight w:val="847" w:hRule="atLeast"/>
          <w:jc w:val="center"/>
        </w:trPr>
        <w:tc>
          <w:tcPr>
            <w:tcW w:w="27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sz w:val="24"/>
              </w:rPr>
            </w:pP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3.考生自行登录中考平台查询投档结果，并到招生学校报到</w:t>
            </w:r>
          </w:p>
        </w:tc>
      </w:tr>
      <w:tr>
        <w:tblPrEx>
          <w:tblCellMar>
            <w:top w:w="0" w:type="dxa"/>
            <w:left w:w="108" w:type="dxa"/>
            <w:bottom w:w="0" w:type="dxa"/>
            <w:right w:w="108" w:type="dxa"/>
          </w:tblCellMar>
        </w:tblPrEx>
        <w:trPr>
          <w:trHeight w:val="1115" w:hRule="atLeast"/>
          <w:jc w:val="center"/>
        </w:trPr>
        <w:tc>
          <w:tcPr>
            <w:tcW w:w="275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sz w:val="24"/>
              </w:rPr>
            </w:pP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4.7月26日17:00前，需要组织补充面试的职业学校完成面试组织并在录取平台完成面试合格库信息上传</w:t>
            </w:r>
          </w:p>
        </w:tc>
      </w:tr>
      <w:tr>
        <w:tblPrEx>
          <w:tblCellMar>
            <w:top w:w="0" w:type="dxa"/>
            <w:left w:w="108" w:type="dxa"/>
            <w:bottom w:w="0" w:type="dxa"/>
            <w:right w:w="108" w:type="dxa"/>
          </w:tblCellMar>
        </w:tblPrEx>
        <w:trPr>
          <w:trHeight w:val="1652" w:hRule="atLeast"/>
          <w:jc w:val="center"/>
        </w:trPr>
        <w:tc>
          <w:tcPr>
            <w:tcW w:w="2753" w:type="dxa"/>
            <w:vMerge w:val="restart"/>
            <w:tcBorders>
              <w:top w:val="single" w:color="000000" w:sz="4" w:space="0"/>
              <w:left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7月27日（星期三）至8月4日（星期四）</w:t>
            </w:r>
          </w:p>
          <w:p>
            <w:pPr>
              <w:spacing w:line="340" w:lineRule="exact"/>
              <w:rPr>
                <w:rFonts w:ascii="仿宋_GB2312" w:hAnsi="仿宋"/>
                <w:sz w:val="24"/>
              </w:rPr>
            </w:pP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1.初中后职业类尚有缺额计划的招生学校组织第二阶段段录取，未被录取的考生自行联系尚有缺额计划的职业类学校报名。五年制高师、五年一贯制高职、三二连读高职录取计划调整截止时间按照省招生考试院规定执行。</w:t>
            </w:r>
          </w:p>
        </w:tc>
      </w:tr>
      <w:tr>
        <w:tblPrEx>
          <w:tblCellMar>
            <w:top w:w="0" w:type="dxa"/>
            <w:left w:w="108" w:type="dxa"/>
            <w:bottom w:w="0" w:type="dxa"/>
            <w:right w:w="108" w:type="dxa"/>
          </w:tblCellMar>
        </w:tblPrEx>
        <w:trPr>
          <w:trHeight w:val="982" w:hRule="atLeast"/>
          <w:jc w:val="center"/>
        </w:trPr>
        <w:tc>
          <w:tcPr>
            <w:tcW w:w="2753" w:type="dxa"/>
            <w:vMerge w:val="continue"/>
            <w:tcBorders>
              <w:left w:val="single" w:color="000000" w:sz="4" w:space="0"/>
              <w:right w:val="single" w:color="000000" w:sz="4" w:space="0"/>
            </w:tcBorders>
            <w:vAlign w:val="center"/>
          </w:tcPr>
          <w:p>
            <w:pPr>
              <w:spacing w:line="340" w:lineRule="exact"/>
              <w:rPr>
                <w:rFonts w:ascii="仿宋_GB2312" w:hAnsi="仿宋"/>
                <w:sz w:val="24"/>
              </w:rPr>
            </w:pPr>
          </w:p>
        </w:tc>
        <w:tc>
          <w:tcPr>
            <w:tcW w:w="6390" w:type="dxa"/>
            <w:tcBorders>
              <w:top w:val="single" w:color="000000" w:sz="4" w:space="0"/>
              <w:left w:val="single" w:color="000000" w:sz="4" w:space="0"/>
              <w:bottom w:val="single" w:color="000000"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2.初中后职业类尚有缺额计划的招生学校在录取平台上传第二阶段录取信息</w:t>
            </w:r>
          </w:p>
        </w:tc>
      </w:tr>
      <w:tr>
        <w:tblPrEx>
          <w:tblCellMar>
            <w:top w:w="0" w:type="dxa"/>
            <w:left w:w="108" w:type="dxa"/>
            <w:bottom w:w="0" w:type="dxa"/>
            <w:right w:w="108" w:type="dxa"/>
          </w:tblCellMar>
        </w:tblPrEx>
        <w:trPr>
          <w:trHeight w:val="998" w:hRule="atLeast"/>
          <w:jc w:val="center"/>
        </w:trPr>
        <w:tc>
          <w:tcPr>
            <w:tcW w:w="2753" w:type="dxa"/>
            <w:vMerge w:val="continue"/>
            <w:tcBorders>
              <w:left w:val="single" w:color="000000" w:sz="4" w:space="0"/>
              <w:bottom w:val="single" w:color="auto" w:sz="4" w:space="0"/>
              <w:right w:val="single" w:color="000000" w:sz="4" w:space="0"/>
            </w:tcBorders>
            <w:vAlign w:val="center"/>
          </w:tcPr>
          <w:p>
            <w:pPr>
              <w:spacing w:line="340" w:lineRule="exact"/>
              <w:rPr>
                <w:rFonts w:ascii="仿宋_GB2312" w:hAnsi="仿宋"/>
                <w:sz w:val="24"/>
              </w:rPr>
            </w:pPr>
          </w:p>
        </w:tc>
        <w:tc>
          <w:tcPr>
            <w:tcW w:w="6390" w:type="dxa"/>
            <w:tcBorders>
              <w:top w:val="single" w:color="000000" w:sz="4" w:space="0"/>
              <w:left w:val="single" w:color="000000" w:sz="4" w:space="0"/>
              <w:bottom w:val="single" w:color="auto" w:sz="4" w:space="0"/>
              <w:right w:val="single" w:color="000000" w:sz="4" w:space="0"/>
            </w:tcBorders>
            <w:vAlign w:val="center"/>
          </w:tcPr>
          <w:p>
            <w:pPr>
              <w:spacing w:line="340" w:lineRule="exact"/>
              <w:rPr>
                <w:rFonts w:ascii="仿宋_GB2312" w:hAnsi="仿宋"/>
                <w:sz w:val="24"/>
              </w:rPr>
            </w:pPr>
            <w:r>
              <w:rPr>
                <w:rFonts w:hint="eastAsia" w:ascii="仿宋_GB2312" w:hAnsi="仿宋"/>
                <w:sz w:val="24"/>
              </w:rPr>
              <w:t>3.初中后职业类学校在中考平台上传三年制注册录取考生信息和证件图片</w:t>
            </w:r>
          </w:p>
        </w:tc>
      </w:tr>
    </w:tbl>
    <w:p>
      <w:pPr>
        <w:spacing w:line="400" w:lineRule="exact"/>
        <w:rPr>
          <w:rFonts w:ascii="仿宋_GB2312" w:hAnsi="仿宋"/>
          <w:sz w:val="24"/>
        </w:rPr>
      </w:pPr>
      <w:r>
        <w:rPr>
          <w:rFonts w:hint="eastAsia" w:ascii="仿宋_GB2312" w:hAnsi="仿宋"/>
          <w:sz w:val="24"/>
        </w:rPr>
        <w:t>说明：初中学校的详细时间进程请以“关于做好2022年全区初中学业水平考试与普通高中招生工作的通知为准，如遇上级文件要求或疫情防控需要进行调整，调整时间另行通知。</w:t>
      </w:r>
    </w:p>
    <w:p>
      <w:pPr>
        <w:rPr>
          <w:rFonts w:ascii="黑体" w:hAnsi="黑体" w:eastAsia="黑体"/>
          <w:bCs/>
          <w:szCs w:val="32"/>
        </w:rPr>
      </w:pPr>
      <w:r>
        <w:rPr>
          <w:rFonts w:hint="eastAsia" w:ascii="黑体" w:hAnsi="黑体" w:eastAsia="黑体"/>
          <w:bCs/>
          <w:szCs w:val="32"/>
        </w:rPr>
        <w:br w:type="page"/>
      </w:r>
      <w:r>
        <w:rPr>
          <w:rFonts w:hint="eastAsia" w:ascii="黑体" w:hAnsi="黑体" w:eastAsia="黑体"/>
          <w:bCs/>
          <w:szCs w:val="32"/>
        </w:rPr>
        <w:t>附件8</w:t>
      </w:r>
    </w:p>
    <w:p>
      <w:pPr>
        <w:widowControl/>
        <w:spacing w:line="560" w:lineRule="exact"/>
        <w:jc w:val="center"/>
        <w:outlineLvl w:val="1"/>
        <w:rPr>
          <w:rFonts w:hint="eastAsia" w:ascii="方正小标宋_GBK" w:hAnsi="方正小标宋_GBK" w:eastAsia="方正小标宋_GBK" w:cs="方正小标宋_GBK"/>
          <w:color w:val="000000"/>
          <w:spacing w:val="-20"/>
          <w:kern w:val="0"/>
          <w:sz w:val="44"/>
          <w:szCs w:val="44"/>
        </w:rPr>
      </w:pPr>
      <w:r>
        <w:rPr>
          <w:rFonts w:hint="eastAsia" w:ascii="方正小标宋_GBK" w:hAnsi="方正小标宋_GBK" w:eastAsia="方正小标宋_GBK" w:cs="方正小标宋_GBK"/>
          <w:color w:val="000000"/>
          <w:spacing w:val="-20"/>
          <w:kern w:val="0"/>
          <w:sz w:val="44"/>
          <w:szCs w:val="44"/>
        </w:rPr>
        <w:t>2022年青岛西海岸新区职业学校招生工作</w:t>
      </w:r>
    </w:p>
    <w:p>
      <w:pPr>
        <w:widowControl/>
        <w:spacing w:line="560" w:lineRule="exact"/>
        <w:jc w:val="center"/>
        <w:outlineLvl w:val="1"/>
        <w:rPr>
          <w:rFonts w:ascii="方正小标宋_GBK" w:hAnsi="方正小标宋_GBK" w:eastAsia="方正小标宋_GBK" w:cs="方正小标宋_GBK"/>
          <w:color w:val="000000"/>
          <w:spacing w:val="-20"/>
          <w:kern w:val="0"/>
          <w:sz w:val="44"/>
          <w:szCs w:val="44"/>
        </w:rPr>
      </w:pPr>
      <w:r>
        <w:rPr>
          <w:rFonts w:hint="eastAsia" w:ascii="方正小标宋_GBK" w:hAnsi="方正小标宋_GBK" w:eastAsia="方正小标宋_GBK" w:cs="方正小标宋_GBK"/>
          <w:color w:val="000000"/>
          <w:spacing w:val="-20"/>
          <w:kern w:val="0"/>
          <w:sz w:val="44"/>
          <w:szCs w:val="44"/>
        </w:rPr>
        <w:t>领导小组</w:t>
      </w:r>
    </w:p>
    <w:p>
      <w:pPr>
        <w:spacing w:line="560" w:lineRule="exact"/>
        <w:jc w:val="center"/>
        <w:rPr>
          <w:rFonts w:ascii="宋体" w:hAnsi="宋体"/>
          <w:b/>
          <w:bCs/>
          <w:sz w:val="44"/>
          <w:szCs w:val="44"/>
        </w:rPr>
      </w:pPr>
    </w:p>
    <w:p>
      <w:pPr>
        <w:spacing w:line="560" w:lineRule="exact"/>
        <w:ind w:firstLine="640" w:firstLineChars="200"/>
        <w:rPr>
          <w:rFonts w:ascii="仿宋_GB2312" w:hAnsi="宋体"/>
          <w:bCs/>
          <w:spacing w:val="-28"/>
          <w:szCs w:val="32"/>
        </w:rPr>
      </w:pPr>
      <w:r>
        <w:rPr>
          <w:rFonts w:hint="eastAsia" w:ascii="仿宋_GB2312" w:hAnsi="宋体"/>
          <w:bCs/>
          <w:szCs w:val="32"/>
        </w:rPr>
        <w:t xml:space="preserve">组  长：于瑞泳  </w:t>
      </w:r>
      <w:r>
        <w:rPr>
          <w:rFonts w:hint="eastAsia" w:ascii="仿宋_GB2312" w:hAnsi="宋体"/>
          <w:bCs/>
          <w:spacing w:val="-28"/>
          <w:szCs w:val="32"/>
        </w:rPr>
        <w:t>区委教育工委常务副书记、区教育和体育局局长</w:t>
      </w:r>
    </w:p>
    <w:p>
      <w:pPr>
        <w:spacing w:line="560" w:lineRule="exact"/>
        <w:ind w:firstLine="1920" w:firstLineChars="600"/>
        <w:rPr>
          <w:rFonts w:ascii="仿宋_GB2312" w:hAnsi="宋体"/>
          <w:bCs/>
          <w:szCs w:val="32"/>
        </w:rPr>
      </w:pPr>
      <w:r>
        <w:rPr>
          <w:rFonts w:hint="eastAsia" w:ascii="仿宋_GB2312" w:hAnsi="宋体"/>
          <w:bCs/>
          <w:szCs w:val="32"/>
        </w:rPr>
        <w:t xml:space="preserve">王红卫  </w:t>
      </w:r>
      <w:r>
        <w:rPr>
          <w:rFonts w:hint="eastAsia" w:ascii="仿宋_GB2312" w:hAnsi="宋体"/>
          <w:bCs/>
          <w:spacing w:val="-22"/>
          <w:szCs w:val="32"/>
        </w:rPr>
        <w:t>局党组书记</w:t>
      </w:r>
      <w:r>
        <w:rPr>
          <w:rFonts w:hint="eastAsia" w:ascii="仿宋_GB2312" w:hAnsi="宋体"/>
          <w:bCs/>
          <w:spacing w:val="-22"/>
          <w:szCs w:val="32"/>
          <w:lang w:eastAsia="zh-CN"/>
        </w:rPr>
        <w:t>、</w:t>
      </w:r>
      <w:r>
        <w:rPr>
          <w:rFonts w:hint="eastAsia" w:ascii="仿宋_GB2312" w:hAnsi="宋体"/>
          <w:bCs/>
          <w:spacing w:val="-22"/>
          <w:szCs w:val="32"/>
        </w:rPr>
        <w:t>区教育和体育事业发展中心主任</w:t>
      </w:r>
    </w:p>
    <w:p>
      <w:pPr>
        <w:spacing w:line="560" w:lineRule="exact"/>
        <w:ind w:firstLine="640" w:firstLineChars="200"/>
        <w:rPr>
          <w:rFonts w:ascii="仿宋_GB2312" w:hAnsi="宋体"/>
          <w:bCs/>
          <w:color w:val="auto"/>
          <w:spacing w:val="-22"/>
          <w:szCs w:val="32"/>
        </w:rPr>
      </w:pPr>
      <w:r>
        <w:rPr>
          <w:rFonts w:hint="eastAsia" w:ascii="仿宋_GB2312" w:hAnsi="宋体"/>
          <w:bCs/>
          <w:szCs w:val="32"/>
        </w:rPr>
        <w:t xml:space="preserve">副组长：丁光富  </w:t>
      </w:r>
      <w:r>
        <w:rPr>
          <w:rFonts w:hint="eastAsia" w:ascii="仿宋_GB2312" w:hAnsi="宋体"/>
          <w:bCs/>
          <w:color w:val="auto"/>
          <w:spacing w:val="-22"/>
          <w:szCs w:val="32"/>
        </w:rPr>
        <w:t>局党组</w:t>
      </w:r>
      <w:r>
        <w:rPr>
          <w:rFonts w:hint="eastAsia" w:ascii="仿宋_GB2312" w:hAnsi="宋体"/>
          <w:bCs/>
          <w:color w:val="auto"/>
          <w:spacing w:val="-22"/>
          <w:szCs w:val="32"/>
          <w:lang w:val="en-US" w:eastAsia="zh-CN"/>
        </w:rPr>
        <w:t>副</w:t>
      </w:r>
      <w:r>
        <w:rPr>
          <w:rFonts w:hint="eastAsia" w:ascii="仿宋_GB2312" w:hAnsi="宋体"/>
          <w:bCs/>
          <w:color w:val="auto"/>
          <w:spacing w:val="-22"/>
          <w:szCs w:val="32"/>
        </w:rPr>
        <w:t>书记</w:t>
      </w:r>
      <w:r>
        <w:rPr>
          <w:rFonts w:hint="eastAsia" w:ascii="仿宋_GB2312" w:hAnsi="宋体"/>
          <w:bCs/>
          <w:color w:val="auto"/>
          <w:spacing w:val="-22"/>
          <w:szCs w:val="32"/>
          <w:lang w:eastAsia="zh-CN"/>
        </w:rPr>
        <w:t>、</w:t>
      </w:r>
      <w:r>
        <w:rPr>
          <w:rFonts w:hint="eastAsia" w:ascii="仿宋_GB2312" w:hAnsi="宋体"/>
          <w:bCs/>
          <w:color w:val="auto"/>
          <w:spacing w:val="-22"/>
          <w:szCs w:val="32"/>
        </w:rPr>
        <w:t>区委教育工委委员</w:t>
      </w:r>
    </w:p>
    <w:p>
      <w:pPr>
        <w:spacing w:line="560" w:lineRule="exact"/>
        <w:ind w:firstLine="1920" w:firstLineChars="600"/>
        <w:rPr>
          <w:rFonts w:ascii="仿宋_GB2312" w:hAnsi="宋体"/>
          <w:bCs/>
          <w:szCs w:val="32"/>
        </w:rPr>
      </w:pPr>
      <w:r>
        <w:rPr>
          <w:rFonts w:hint="eastAsia" w:ascii="仿宋_GB2312" w:hAnsi="宋体"/>
          <w:bCs/>
          <w:szCs w:val="32"/>
        </w:rPr>
        <w:t>李  杰  局三级调研员</w:t>
      </w:r>
    </w:p>
    <w:p>
      <w:pPr>
        <w:spacing w:line="560" w:lineRule="exact"/>
        <w:ind w:firstLine="640" w:firstLineChars="200"/>
        <w:jc w:val="left"/>
        <w:rPr>
          <w:rFonts w:ascii="仿宋_GB2312" w:hAnsi="宋体"/>
          <w:bCs/>
          <w:szCs w:val="32"/>
        </w:rPr>
      </w:pPr>
      <w:r>
        <w:rPr>
          <w:rFonts w:hint="eastAsia" w:ascii="仿宋_GB2312" w:hAnsi="宋体"/>
          <w:bCs/>
          <w:szCs w:val="32"/>
        </w:rPr>
        <w:t>成  员：韩文昌  职业教育和继续教育科（职教）负责人</w:t>
      </w:r>
    </w:p>
    <w:p>
      <w:pPr>
        <w:spacing w:line="560" w:lineRule="exact"/>
        <w:ind w:firstLine="1920" w:firstLineChars="600"/>
        <w:jc w:val="left"/>
        <w:rPr>
          <w:rFonts w:ascii="仿宋_GB2312" w:hAnsi="宋体"/>
          <w:bCs/>
          <w:szCs w:val="32"/>
        </w:rPr>
      </w:pPr>
      <w:r>
        <w:rPr>
          <w:rFonts w:hint="eastAsia" w:ascii="仿宋_GB2312" w:hAnsi="宋体"/>
          <w:bCs/>
          <w:szCs w:val="32"/>
        </w:rPr>
        <w:t>李梅雪  普通教育科负责人</w:t>
      </w:r>
    </w:p>
    <w:p>
      <w:pPr>
        <w:spacing w:line="560" w:lineRule="exact"/>
        <w:ind w:firstLine="1920" w:firstLineChars="600"/>
        <w:rPr>
          <w:rFonts w:ascii="仿宋_GB2312" w:hAnsi="宋体"/>
          <w:bCs/>
          <w:szCs w:val="32"/>
        </w:rPr>
      </w:pPr>
      <w:r>
        <w:rPr>
          <w:rFonts w:hint="eastAsia" w:ascii="仿宋_GB2312" w:hAnsi="宋体"/>
          <w:bCs/>
          <w:szCs w:val="32"/>
        </w:rPr>
        <w:t>王  强  职业教育和继续教育科（民</w:t>
      </w:r>
      <w:r>
        <w:rPr>
          <w:rFonts w:hint="eastAsia" w:ascii="仿宋_GB2312" w:hAnsi="宋体"/>
          <w:bCs/>
          <w:szCs w:val="32"/>
          <w:lang w:eastAsia="zh-CN"/>
        </w:rPr>
        <w:t>办</w:t>
      </w:r>
      <w:r>
        <w:rPr>
          <w:rFonts w:hint="eastAsia" w:ascii="仿宋_GB2312" w:hAnsi="宋体"/>
          <w:bCs/>
          <w:szCs w:val="32"/>
        </w:rPr>
        <w:t>）负责人</w:t>
      </w:r>
    </w:p>
    <w:p>
      <w:pPr>
        <w:spacing w:line="560" w:lineRule="exact"/>
        <w:ind w:firstLine="1920" w:firstLineChars="600"/>
        <w:rPr>
          <w:rFonts w:ascii="仿宋_GB2312" w:hAnsi="宋体"/>
          <w:bCs/>
          <w:szCs w:val="32"/>
        </w:rPr>
      </w:pPr>
      <w:r>
        <w:rPr>
          <w:rFonts w:hint="eastAsia" w:ascii="仿宋_GB2312" w:hAnsi="宋体"/>
          <w:bCs/>
          <w:szCs w:val="32"/>
        </w:rPr>
        <w:t>张林峡  体育卫生与艺术教育科负责人</w:t>
      </w:r>
    </w:p>
    <w:p>
      <w:pPr>
        <w:spacing w:line="560" w:lineRule="exact"/>
        <w:ind w:firstLine="1920" w:firstLineChars="600"/>
        <w:rPr>
          <w:rFonts w:ascii="仿宋_GB2312" w:hAnsi="宋体"/>
          <w:bCs/>
          <w:szCs w:val="32"/>
        </w:rPr>
      </w:pPr>
      <w:r>
        <w:rPr>
          <w:rFonts w:hint="eastAsia" w:ascii="仿宋_GB2312" w:hAnsi="宋体"/>
          <w:bCs/>
          <w:szCs w:val="32"/>
        </w:rPr>
        <w:t>杨旭辉  政策研究部负责人</w:t>
      </w:r>
    </w:p>
    <w:p>
      <w:pPr>
        <w:spacing w:line="560" w:lineRule="exact"/>
        <w:ind w:firstLine="1920" w:firstLineChars="600"/>
        <w:rPr>
          <w:rFonts w:ascii="仿宋_GB2312" w:hAnsi="宋体"/>
          <w:bCs/>
          <w:szCs w:val="32"/>
        </w:rPr>
      </w:pPr>
      <w:r>
        <w:rPr>
          <w:rFonts w:hint="eastAsia" w:ascii="仿宋_GB2312" w:hAnsi="宋体"/>
          <w:bCs/>
          <w:szCs w:val="32"/>
        </w:rPr>
        <w:t>于京波  招生考试部负责人</w:t>
      </w:r>
    </w:p>
    <w:p>
      <w:pPr>
        <w:spacing w:line="560" w:lineRule="exact"/>
        <w:ind w:firstLine="1920" w:firstLineChars="600"/>
        <w:rPr>
          <w:rFonts w:ascii="仿宋_GB2312" w:hAnsi="宋体"/>
          <w:bCs/>
          <w:szCs w:val="32"/>
        </w:rPr>
      </w:pPr>
      <w:r>
        <w:rPr>
          <w:rFonts w:hint="eastAsia" w:ascii="仿宋_GB2312" w:hAnsi="宋体"/>
          <w:bCs/>
          <w:szCs w:val="32"/>
        </w:rPr>
        <w:t>冯晓宁</w:t>
      </w:r>
      <w:r>
        <w:rPr>
          <w:rFonts w:hint="eastAsia" w:ascii="仿宋_GB2312" w:hAnsi="宋体"/>
          <w:bCs/>
          <w:szCs w:val="32"/>
          <w:lang w:val="en-US" w:eastAsia="zh-CN"/>
        </w:rPr>
        <w:t xml:space="preserve"> </w:t>
      </w:r>
      <w:r>
        <w:rPr>
          <w:rFonts w:hint="eastAsia" w:ascii="仿宋_GB2312" w:hAnsi="宋体"/>
          <w:bCs/>
          <w:szCs w:val="32"/>
        </w:rPr>
        <w:t xml:space="preserve"> 环境治理部（纪检、信访）负责人</w:t>
      </w:r>
    </w:p>
    <w:p>
      <w:pPr>
        <w:spacing w:line="560" w:lineRule="exact"/>
        <w:ind w:firstLine="627" w:firstLineChars="196"/>
        <w:rPr>
          <w:szCs w:val="32"/>
        </w:rPr>
      </w:pPr>
      <w:r>
        <w:rPr>
          <w:rFonts w:hint="eastAsia" w:ascii="仿宋_GB2312" w:hAnsi="宋体"/>
          <w:bCs/>
          <w:szCs w:val="32"/>
        </w:rPr>
        <w:t>领导小组下设办公室，办公室设在职教科，韩文昌同志兼任办公室主任。</w:t>
      </w:r>
      <w:bookmarkStart w:id="3" w:name="_GoBack"/>
      <w:bookmarkEnd w:id="3"/>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p>
      <w:pPr>
        <w:spacing w:line="560" w:lineRule="exact"/>
        <w:rPr>
          <w:rFonts w:ascii="楷体_GB2312" w:hAnsi="楷体_GB2312" w:eastAsia="楷体_GB2312" w:cs="楷体_GB2312"/>
          <w:b/>
          <w:bCs/>
          <w:szCs w:val="32"/>
        </w:rPr>
      </w:pPr>
    </w:p>
    <w:tbl>
      <w:tblPr>
        <w:tblStyle w:val="11"/>
        <w:tblpPr w:leftFromText="180" w:rightFromText="180" w:vertAnchor="text" w:horzAnchor="page" w:tblpX="1675" w:tblpY="661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40" w:type="dxa"/>
            <w:tcBorders>
              <w:top w:val="single" w:color="auto" w:sz="4" w:space="0"/>
              <w:left w:val="nil"/>
              <w:bottom w:val="single" w:color="auto" w:sz="4" w:space="0"/>
              <w:right w:val="nil"/>
            </w:tcBorders>
            <w:noWrap w:val="0"/>
            <w:vAlign w:val="top"/>
          </w:tcPr>
          <w:p>
            <w:pPr>
              <w:spacing w:line="440" w:lineRule="exact"/>
              <w:rPr>
                <w:rFonts w:hint="eastAsia" w:eastAsia="仿宋_GB2312"/>
              </w:rPr>
            </w:pPr>
            <w:r>
              <w:rPr>
                <w:rFonts w:hint="eastAsia" w:ascii="仿宋_GB2312" w:eastAsia="仿宋_GB2312"/>
                <w:spacing w:val="-6"/>
                <w:sz w:val="28"/>
                <w:szCs w:val="28"/>
              </w:rPr>
              <w:t>青岛西海岸新区教育和体育局办公室   主动公开     202</w:t>
            </w:r>
            <w:r>
              <w:rPr>
                <w:rFonts w:hint="eastAsia" w:ascii="仿宋_GB2312" w:eastAsia="仿宋_GB2312"/>
                <w:spacing w:val="-6"/>
                <w:sz w:val="28"/>
                <w:szCs w:val="28"/>
                <w:lang w:val="en-US" w:eastAsia="zh-CN"/>
              </w:rPr>
              <w:t>2</w:t>
            </w:r>
            <w:r>
              <w:rPr>
                <w:rFonts w:hint="eastAsia" w:ascii="仿宋_GB2312" w:eastAsia="仿宋_GB2312"/>
                <w:spacing w:val="-6"/>
                <w:sz w:val="28"/>
                <w:szCs w:val="28"/>
              </w:rPr>
              <w:t>年</w:t>
            </w:r>
            <w:r>
              <w:rPr>
                <w:rFonts w:hint="eastAsia" w:ascii="仿宋_GB2312" w:eastAsia="仿宋_GB2312"/>
                <w:spacing w:val="-6"/>
                <w:sz w:val="28"/>
                <w:szCs w:val="28"/>
                <w:lang w:val="en-US" w:eastAsia="zh-CN"/>
              </w:rPr>
              <w:t>4</w:t>
            </w:r>
            <w:r>
              <w:rPr>
                <w:rFonts w:hint="eastAsia" w:ascii="仿宋_GB2312" w:eastAsia="仿宋_GB2312"/>
                <w:spacing w:val="-6"/>
                <w:sz w:val="28"/>
                <w:szCs w:val="28"/>
              </w:rPr>
              <w:t>月</w:t>
            </w:r>
            <w:r>
              <w:rPr>
                <w:rFonts w:hint="eastAsia" w:ascii="仿宋_GB2312" w:eastAsia="仿宋_GB2312"/>
                <w:spacing w:val="-6"/>
                <w:sz w:val="28"/>
                <w:szCs w:val="28"/>
                <w:lang w:val="en-US" w:eastAsia="zh-CN"/>
              </w:rPr>
              <w:t>28</w:t>
            </w:r>
            <w:r>
              <w:rPr>
                <w:rFonts w:hint="eastAsia" w:ascii="仿宋_GB2312" w:eastAsia="仿宋_GB2312"/>
                <w:spacing w:val="-6"/>
                <w:sz w:val="28"/>
                <w:szCs w:val="28"/>
              </w:rPr>
              <w:t>日印发</w:t>
            </w:r>
          </w:p>
        </w:tc>
      </w:tr>
    </w:tbl>
    <w:p>
      <w:pPr>
        <w:spacing w:line="560" w:lineRule="exact"/>
        <w:rPr>
          <w:rFonts w:ascii="楷体_GB2312" w:hAnsi="楷体_GB2312" w:eastAsia="楷体_GB2312" w:cs="楷体_GB2312"/>
          <w:b/>
          <w:bCs/>
          <w:szCs w:val="32"/>
        </w:rPr>
      </w:pPr>
    </w:p>
    <w:sectPr>
      <w:footerReference r:id="rId9" w:type="default"/>
      <w:footerReference r:id="rId10" w:type="even"/>
      <w:pgSz w:w="11906" w:h="16838"/>
      <w:pgMar w:top="2098" w:right="1474" w:bottom="1985" w:left="1588" w:header="0" w:footer="1134"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文星仿宋">
    <w:panose1 w:val="02010604000101010101"/>
    <w:charset w:val="86"/>
    <w:family w:val="auto"/>
    <w:pitch w:val="default"/>
    <w:sig w:usb0="00000001" w:usb1="080E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___WRD_EMBED_SUB_44">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419"/>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ascii="楷体" w:hAnsi="楷体" w:eastAsia="楷体" w:cs="楷体"/>
                              <w:sz w:val="28"/>
                              <w:szCs w:val="28"/>
                            </w:rPr>
                            <w:t>- 11 -</w:t>
                          </w:r>
                          <w:r>
                            <w:rPr>
                              <w:rFonts w:hint="eastAsia" w:ascii="楷体" w:hAnsi="楷体" w:eastAsia="楷体" w:cs="楷体"/>
                              <w:sz w:val="28"/>
                              <w:szCs w:val="28"/>
                            </w:rP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f2R9yQEAAJkDAAAOAAAAAAAAAAEAIAAAAB4BAABkcnMvZTJvRG9j&#10;LnhtbFBLBQYAAAAABgAGAFkBAABZBQAAAAA=&#10;">
              <v:fill on="f" focussize="0,0"/>
              <v:stroke on="f"/>
              <v:imagedata o:title=""/>
              <o:lock v:ext="edit" aspectratio="f"/>
              <v:textbox inset="0mm,0mm,0mm,0mm" style="mso-fit-shape-to-text:t;">
                <w:txbxContent>
                  <w:p>
                    <w:pPr>
                      <w:pStyle w:val="8"/>
                      <w:rPr>
                        <w:rFonts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ascii="楷体" w:hAnsi="楷体" w:eastAsia="楷体" w:cs="楷体"/>
                        <w:sz w:val="28"/>
                        <w:szCs w:val="28"/>
                      </w:rPr>
                      <w:t>- 11 -</w:t>
                    </w:r>
                    <w:r>
                      <w:rPr>
                        <w:rFonts w:hint="eastAsia" w:ascii="楷体" w:hAnsi="楷体" w:eastAsia="楷体" w:cs="楷体"/>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OhqksgBAACZ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zoapLIAQAAmQMAAA4AAAAAAAAAAQAgAAAAHgEAAGRycy9lMm9Eb2Mu&#10;eG1sUEsFBgAAAAAGAAYAWQEAAFgFAAAAAA==&#10;">
              <v:fill on="f" focussize="0,0"/>
              <v:stroke on="f"/>
              <v:imagedata o:title=""/>
              <o:lock v:ext="edit" aspectratio="f"/>
              <v:textbox inset="0mm,0mm,0mm,0mm" style="mso-fit-shape-to-text:t;">
                <w:txbxContent>
                  <w:p>
                    <w:pPr>
                      <w:pStyle w:val="8"/>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ascii="楷体" w:hAnsi="楷体" w:eastAsia="楷体" w:cs="楷体"/>
                              <w:sz w:val="28"/>
                              <w:szCs w:val="28"/>
                            </w:rPr>
                            <w:t>- 12 -</w:t>
                          </w:r>
                          <w:r>
                            <w:rPr>
                              <w:rFonts w:hint="eastAsia" w:ascii="楷体" w:hAnsi="楷体" w:eastAsia="楷体" w:cs="楷体"/>
                              <w:sz w:val="28"/>
                              <w:szCs w:val="28"/>
                            </w:rP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nTSskBAACZAwAADgAAAGRycy9lMm9Eb2MueG1srVPNjtMwEL4j8Q6W&#10;79RpkVCJ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cNfUmJ4xYHfvn+7fLj1+XnV/I6&#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GdNKyQEAAJkDAAAOAAAAAAAAAAEAIAAAAB4BAABkcnMvZTJvRG9j&#10;LnhtbFBLBQYAAAAABgAGAFkBAABZBQAAAAA=&#10;">
              <v:fill on="f" focussize="0,0"/>
              <v:stroke on="f"/>
              <v:imagedata o:title=""/>
              <o:lock v:ext="edit" aspectratio="f"/>
              <v:textbox inset="0mm,0mm,0mm,0mm" style="mso-fit-shape-to-text:t;">
                <w:txbxContent>
                  <w:p>
                    <w:pPr>
                      <w:pStyle w:val="8"/>
                      <w:rPr>
                        <w:rFonts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ascii="楷体" w:hAnsi="楷体" w:eastAsia="楷体" w:cs="楷体"/>
                        <w:sz w:val="28"/>
                        <w:szCs w:val="28"/>
                      </w:rPr>
                      <w:t>- 12 -</w:t>
                    </w:r>
                    <w:r>
                      <w:rPr>
                        <w:rFonts w:hint="eastAsia" w:ascii="楷体" w:hAnsi="楷体" w:eastAsia="楷体" w:cs="楷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ascii="楷体" w:hAnsi="楷体" w:eastAsia="楷体" w:cs="楷体"/>
                              <w:sz w:val="28"/>
                              <w:szCs w:val="28"/>
                            </w:rPr>
                            <w:t>- 21 -</w:t>
                          </w:r>
                          <w:r>
                            <w:rPr>
                              <w:rFonts w:hint="eastAsia" w:ascii="楷体" w:hAnsi="楷体" w:eastAsia="楷体" w:cs="楷体"/>
                              <w:sz w:val="28"/>
                              <w:szCs w:val="28"/>
                            </w:rP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Ybicg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t2G4nIAQAAmgMAAA4AAAAAAAAAAQAgAAAAHgEAAGRycy9lMm9Eb2Mu&#10;eG1sUEsFBgAAAAAGAAYAWQEAAFgFAAAAAA==&#10;">
              <v:fill on="f" focussize="0,0"/>
              <v:stroke on="f"/>
              <v:imagedata o:title=""/>
              <o:lock v:ext="edit" aspectratio="f"/>
              <v:textbox inset="0mm,0mm,0mm,0mm" style="mso-fit-shape-to-text:t;">
                <w:txbxContent>
                  <w:p>
                    <w:pPr>
                      <w:pStyle w:val="8"/>
                      <w:rPr>
                        <w:rFonts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ascii="楷体" w:hAnsi="楷体" w:eastAsia="楷体" w:cs="楷体"/>
                        <w:sz w:val="28"/>
                        <w:szCs w:val="28"/>
                      </w:rPr>
                      <w:t>- 21 -</w:t>
                    </w:r>
                    <w:r>
                      <w:rPr>
                        <w:rFonts w:hint="eastAsia" w:ascii="楷体" w:hAnsi="楷体" w:eastAsia="楷体" w:cs="楷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ascii="楷体" w:hAnsi="楷体" w:eastAsia="楷体" w:cs="楷体"/>
                              <w:sz w:val="28"/>
                              <w:szCs w:val="28"/>
                            </w:rPr>
                            <w:t>- 22 -</w:t>
                          </w:r>
                          <w:r>
                            <w:rPr>
                              <w:rFonts w:hint="eastAsia" w:ascii="楷体" w:hAnsi="楷体" w:eastAsia="楷体" w:cs="楷体"/>
                              <w:sz w:val="28"/>
                              <w:szCs w:val="28"/>
                            </w:rP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XgV3MoBAACa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G3pDiWUGB37+/u3849f551dS&#10;Vak/vYca0549Jsbh3g24NbMf0JlkDzKY9EVBBOPY3dOlu2KIhKdHq+VqVWKIY2y+IH7x8twHiO+F&#10;MyQZDQ04vtxVdnyEOKbOKamadQ9K6zxCbf9yIGbyFIn7yDFZcdgNk6Cda0+op8fJN9TiolOiP1hs&#10;bFqS2QizsZuNgw9q3yG1KvMCf3eISCJzSxVG2Kkwjiyrm9Yr7cSf95z18ktt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XgV3MoBAACaAwAADgAAAAAAAAABACAAAAAeAQAAZHJzL2Uyb0Rv&#10;Yy54bWxQSwUGAAAAAAYABgBZAQAAWgUAAAAA&#10;">
              <v:fill on="f" focussize="0,0"/>
              <v:stroke on="f"/>
              <v:imagedata o:title=""/>
              <o:lock v:ext="edit" aspectratio="f"/>
              <v:textbox inset="0mm,0mm,0mm,0mm" style="mso-fit-shape-to-text:t;">
                <w:txbxContent>
                  <w:p>
                    <w:pPr>
                      <w:pStyle w:val="8"/>
                      <w:rPr>
                        <w:rFonts w:ascii="楷体" w:hAnsi="楷体" w:eastAsia="楷体" w:cs="楷体"/>
                        <w:sz w:val="28"/>
                        <w:szCs w:val="28"/>
                      </w:rPr>
                    </w:pPr>
                    <w:r>
                      <w:rPr>
                        <w:rFonts w:hint="eastAsia" w:ascii="楷体" w:hAnsi="楷体" w:eastAsia="楷体" w:cs="楷体"/>
                        <w:sz w:val="28"/>
                        <w:szCs w:val="28"/>
                      </w:rPr>
                      <w:fldChar w:fldCharType="begin"/>
                    </w:r>
                    <w:r>
                      <w:rPr>
                        <w:rFonts w:hint="eastAsia" w:ascii="楷体" w:hAnsi="楷体" w:eastAsia="楷体" w:cs="楷体"/>
                        <w:sz w:val="28"/>
                        <w:szCs w:val="28"/>
                      </w:rPr>
                      <w:instrText xml:space="preserve"> PAGE  \* MERGEFORMAT </w:instrText>
                    </w:r>
                    <w:r>
                      <w:rPr>
                        <w:rFonts w:hint="eastAsia" w:ascii="楷体" w:hAnsi="楷体" w:eastAsia="楷体" w:cs="楷体"/>
                        <w:sz w:val="28"/>
                        <w:szCs w:val="28"/>
                      </w:rPr>
                      <w:fldChar w:fldCharType="separate"/>
                    </w:r>
                    <w:r>
                      <w:rPr>
                        <w:rFonts w:ascii="楷体" w:hAnsi="楷体" w:eastAsia="楷体" w:cs="楷体"/>
                        <w:sz w:val="28"/>
                        <w:szCs w:val="28"/>
                      </w:rPr>
                      <w:t>- 22 -</w:t>
                    </w:r>
                    <w:r>
                      <w:rPr>
                        <w:rFonts w:hint="eastAsia" w:ascii="楷体" w:hAnsi="楷体" w:eastAsia="楷体" w:cs="楷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ZWRiZDY3NjVhODI5MmZhOWY0YTNjNmFkOTUyM2EifQ=="/>
  </w:docVars>
  <w:rsids>
    <w:rsidRoot w:val="00AD1875"/>
    <w:rsid w:val="00000C45"/>
    <w:rsid w:val="000013FF"/>
    <w:rsid w:val="0000540D"/>
    <w:rsid w:val="00010E60"/>
    <w:rsid w:val="000110D2"/>
    <w:rsid w:val="0001162E"/>
    <w:rsid w:val="000131EC"/>
    <w:rsid w:val="00021CF1"/>
    <w:rsid w:val="00024D40"/>
    <w:rsid w:val="00034420"/>
    <w:rsid w:val="00040F0A"/>
    <w:rsid w:val="0004259B"/>
    <w:rsid w:val="000440C4"/>
    <w:rsid w:val="00051927"/>
    <w:rsid w:val="00055878"/>
    <w:rsid w:val="00056628"/>
    <w:rsid w:val="000569E0"/>
    <w:rsid w:val="0005774C"/>
    <w:rsid w:val="00062D84"/>
    <w:rsid w:val="00064DEC"/>
    <w:rsid w:val="000708E6"/>
    <w:rsid w:val="0007400C"/>
    <w:rsid w:val="00080B74"/>
    <w:rsid w:val="00085806"/>
    <w:rsid w:val="00087CEF"/>
    <w:rsid w:val="00094E1F"/>
    <w:rsid w:val="00095324"/>
    <w:rsid w:val="000A3292"/>
    <w:rsid w:val="000A6498"/>
    <w:rsid w:val="000B28AF"/>
    <w:rsid w:val="000B434D"/>
    <w:rsid w:val="000B4B6B"/>
    <w:rsid w:val="000C2343"/>
    <w:rsid w:val="000C3F95"/>
    <w:rsid w:val="000C53CB"/>
    <w:rsid w:val="000C6C21"/>
    <w:rsid w:val="000C7289"/>
    <w:rsid w:val="000D1484"/>
    <w:rsid w:val="000D31C7"/>
    <w:rsid w:val="000D36C5"/>
    <w:rsid w:val="000E719D"/>
    <w:rsid w:val="000F5002"/>
    <w:rsid w:val="00100736"/>
    <w:rsid w:val="00100B72"/>
    <w:rsid w:val="00103207"/>
    <w:rsid w:val="0010331C"/>
    <w:rsid w:val="00103D0A"/>
    <w:rsid w:val="0010769B"/>
    <w:rsid w:val="0011518F"/>
    <w:rsid w:val="00115704"/>
    <w:rsid w:val="00120BFB"/>
    <w:rsid w:val="00122132"/>
    <w:rsid w:val="001240C9"/>
    <w:rsid w:val="0013470F"/>
    <w:rsid w:val="00144FCD"/>
    <w:rsid w:val="0014751B"/>
    <w:rsid w:val="00156C29"/>
    <w:rsid w:val="00162B84"/>
    <w:rsid w:val="0016320C"/>
    <w:rsid w:val="001653F6"/>
    <w:rsid w:val="001749DD"/>
    <w:rsid w:val="001750D0"/>
    <w:rsid w:val="001770E5"/>
    <w:rsid w:val="00180898"/>
    <w:rsid w:val="00183000"/>
    <w:rsid w:val="00186E0E"/>
    <w:rsid w:val="00187EC2"/>
    <w:rsid w:val="001913A1"/>
    <w:rsid w:val="0019169C"/>
    <w:rsid w:val="00196A35"/>
    <w:rsid w:val="001972BD"/>
    <w:rsid w:val="001A1FAE"/>
    <w:rsid w:val="001A36BB"/>
    <w:rsid w:val="001A5E45"/>
    <w:rsid w:val="001B22D9"/>
    <w:rsid w:val="001B2867"/>
    <w:rsid w:val="001B5AC8"/>
    <w:rsid w:val="001B6F69"/>
    <w:rsid w:val="001C0649"/>
    <w:rsid w:val="001D5AD3"/>
    <w:rsid w:val="001D6CB2"/>
    <w:rsid w:val="001D6F98"/>
    <w:rsid w:val="001E0E86"/>
    <w:rsid w:val="001E107B"/>
    <w:rsid w:val="001E421A"/>
    <w:rsid w:val="001E66D5"/>
    <w:rsid w:val="001E6B25"/>
    <w:rsid w:val="001F0110"/>
    <w:rsid w:val="001F1EEA"/>
    <w:rsid w:val="00201A44"/>
    <w:rsid w:val="002026A9"/>
    <w:rsid w:val="002057A1"/>
    <w:rsid w:val="00210E90"/>
    <w:rsid w:val="00212DE6"/>
    <w:rsid w:val="00212E0D"/>
    <w:rsid w:val="00213566"/>
    <w:rsid w:val="00223320"/>
    <w:rsid w:val="0022494F"/>
    <w:rsid w:val="0022778A"/>
    <w:rsid w:val="002323C4"/>
    <w:rsid w:val="00234FF5"/>
    <w:rsid w:val="00241F49"/>
    <w:rsid w:val="00242550"/>
    <w:rsid w:val="0025166D"/>
    <w:rsid w:val="002530BA"/>
    <w:rsid w:val="002570CE"/>
    <w:rsid w:val="00257499"/>
    <w:rsid w:val="0026154E"/>
    <w:rsid w:val="00262D19"/>
    <w:rsid w:val="00265226"/>
    <w:rsid w:val="00265702"/>
    <w:rsid w:val="00267E82"/>
    <w:rsid w:val="00275735"/>
    <w:rsid w:val="00282D8D"/>
    <w:rsid w:val="0028345E"/>
    <w:rsid w:val="002849BB"/>
    <w:rsid w:val="002855D4"/>
    <w:rsid w:val="00285DCD"/>
    <w:rsid w:val="00287FBA"/>
    <w:rsid w:val="00292920"/>
    <w:rsid w:val="00292E7F"/>
    <w:rsid w:val="002966A9"/>
    <w:rsid w:val="002A16F9"/>
    <w:rsid w:val="002A7BA4"/>
    <w:rsid w:val="002C1897"/>
    <w:rsid w:val="002D250C"/>
    <w:rsid w:val="002D2E72"/>
    <w:rsid w:val="002D625F"/>
    <w:rsid w:val="002D70F0"/>
    <w:rsid w:val="002E6066"/>
    <w:rsid w:val="002F1A05"/>
    <w:rsid w:val="002F22CF"/>
    <w:rsid w:val="002F38BD"/>
    <w:rsid w:val="002F7280"/>
    <w:rsid w:val="003078BB"/>
    <w:rsid w:val="0031343E"/>
    <w:rsid w:val="003147CA"/>
    <w:rsid w:val="00323C0F"/>
    <w:rsid w:val="00324A58"/>
    <w:rsid w:val="00332D71"/>
    <w:rsid w:val="0033507D"/>
    <w:rsid w:val="00335181"/>
    <w:rsid w:val="003510C9"/>
    <w:rsid w:val="00354A1E"/>
    <w:rsid w:val="00354ACF"/>
    <w:rsid w:val="00360A54"/>
    <w:rsid w:val="00364545"/>
    <w:rsid w:val="003720A6"/>
    <w:rsid w:val="00372488"/>
    <w:rsid w:val="00372805"/>
    <w:rsid w:val="0037292C"/>
    <w:rsid w:val="003802C4"/>
    <w:rsid w:val="00385670"/>
    <w:rsid w:val="00393602"/>
    <w:rsid w:val="0039512A"/>
    <w:rsid w:val="00395EF1"/>
    <w:rsid w:val="003A00E0"/>
    <w:rsid w:val="003A3DCA"/>
    <w:rsid w:val="003A7356"/>
    <w:rsid w:val="003B73CD"/>
    <w:rsid w:val="003C09B6"/>
    <w:rsid w:val="003C12A5"/>
    <w:rsid w:val="003C183C"/>
    <w:rsid w:val="003C1E29"/>
    <w:rsid w:val="003C322C"/>
    <w:rsid w:val="003C3300"/>
    <w:rsid w:val="003C6794"/>
    <w:rsid w:val="003C7A96"/>
    <w:rsid w:val="003C7ED6"/>
    <w:rsid w:val="003D3114"/>
    <w:rsid w:val="003D4211"/>
    <w:rsid w:val="003D463C"/>
    <w:rsid w:val="003D586F"/>
    <w:rsid w:val="003D78CC"/>
    <w:rsid w:val="003E13F2"/>
    <w:rsid w:val="003F75F5"/>
    <w:rsid w:val="00401856"/>
    <w:rsid w:val="004019A9"/>
    <w:rsid w:val="00405040"/>
    <w:rsid w:val="00411AAA"/>
    <w:rsid w:val="00415C0A"/>
    <w:rsid w:val="0042154F"/>
    <w:rsid w:val="00421F48"/>
    <w:rsid w:val="00426DDA"/>
    <w:rsid w:val="004316F4"/>
    <w:rsid w:val="00432A91"/>
    <w:rsid w:val="00433B2B"/>
    <w:rsid w:val="00434F8D"/>
    <w:rsid w:val="004414C7"/>
    <w:rsid w:val="00442069"/>
    <w:rsid w:val="00442FA0"/>
    <w:rsid w:val="004534B2"/>
    <w:rsid w:val="00455009"/>
    <w:rsid w:val="00467FF7"/>
    <w:rsid w:val="004714FE"/>
    <w:rsid w:val="00472344"/>
    <w:rsid w:val="004745C6"/>
    <w:rsid w:val="004754A0"/>
    <w:rsid w:val="0048074D"/>
    <w:rsid w:val="00480AAD"/>
    <w:rsid w:val="00481981"/>
    <w:rsid w:val="00482114"/>
    <w:rsid w:val="00485306"/>
    <w:rsid w:val="0048589C"/>
    <w:rsid w:val="0048691E"/>
    <w:rsid w:val="00487D05"/>
    <w:rsid w:val="00492305"/>
    <w:rsid w:val="00496DF0"/>
    <w:rsid w:val="004A25B3"/>
    <w:rsid w:val="004A3630"/>
    <w:rsid w:val="004A4630"/>
    <w:rsid w:val="004B78DD"/>
    <w:rsid w:val="004C221F"/>
    <w:rsid w:val="004D6598"/>
    <w:rsid w:val="004D77B5"/>
    <w:rsid w:val="004E1877"/>
    <w:rsid w:val="004E2B98"/>
    <w:rsid w:val="004E40E6"/>
    <w:rsid w:val="004E5A46"/>
    <w:rsid w:val="004E61D3"/>
    <w:rsid w:val="004F2A46"/>
    <w:rsid w:val="004F6CB7"/>
    <w:rsid w:val="00501EF3"/>
    <w:rsid w:val="00503A78"/>
    <w:rsid w:val="00506256"/>
    <w:rsid w:val="0051136A"/>
    <w:rsid w:val="005117C8"/>
    <w:rsid w:val="00520BFF"/>
    <w:rsid w:val="00521C58"/>
    <w:rsid w:val="00524434"/>
    <w:rsid w:val="00525642"/>
    <w:rsid w:val="00525AFC"/>
    <w:rsid w:val="00535BEB"/>
    <w:rsid w:val="00536F40"/>
    <w:rsid w:val="00540832"/>
    <w:rsid w:val="0054118C"/>
    <w:rsid w:val="005432F2"/>
    <w:rsid w:val="00543B6D"/>
    <w:rsid w:val="00544E57"/>
    <w:rsid w:val="00545160"/>
    <w:rsid w:val="00552192"/>
    <w:rsid w:val="005533BC"/>
    <w:rsid w:val="005547B6"/>
    <w:rsid w:val="00555CC0"/>
    <w:rsid w:val="00561132"/>
    <w:rsid w:val="00562787"/>
    <w:rsid w:val="00562986"/>
    <w:rsid w:val="00567375"/>
    <w:rsid w:val="00570C04"/>
    <w:rsid w:val="005748E1"/>
    <w:rsid w:val="00575728"/>
    <w:rsid w:val="00577014"/>
    <w:rsid w:val="00580823"/>
    <w:rsid w:val="00583487"/>
    <w:rsid w:val="00585D90"/>
    <w:rsid w:val="0058628B"/>
    <w:rsid w:val="0059052C"/>
    <w:rsid w:val="005921ED"/>
    <w:rsid w:val="00593989"/>
    <w:rsid w:val="00594BDA"/>
    <w:rsid w:val="0059569D"/>
    <w:rsid w:val="005973EB"/>
    <w:rsid w:val="005A670C"/>
    <w:rsid w:val="005B0BD5"/>
    <w:rsid w:val="005B1796"/>
    <w:rsid w:val="005B3A9C"/>
    <w:rsid w:val="005C5722"/>
    <w:rsid w:val="005D4C76"/>
    <w:rsid w:val="005E3FED"/>
    <w:rsid w:val="005E68CF"/>
    <w:rsid w:val="005F1637"/>
    <w:rsid w:val="005F2DA2"/>
    <w:rsid w:val="00600886"/>
    <w:rsid w:val="006027CD"/>
    <w:rsid w:val="00604A75"/>
    <w:rsid w:val="00610251"/>
    <w:rsid w:val="00617B14"/>
    <w:rsid w:val="006216A2"/>
    <w:rsid w:val="00623BDD"/>
    <w:rsid w:val="006245E7"/>
    <w:rsid w:val="0062678A"/>
    <w:rsid w:val="00630181"/>
    <w:rsid w:val="006311D2"/>
    <w:rsid w:val="006370A2"/>
    <w:rsid w:val="006414E1"/>
    <w:rsid w:val="00641C7E"/>
    <w:rsid w:val="00641E5F"/>
    <w:rsid w:val="0064319D"/>
    <w:rsid w:val="00644294"/>
    <w:rsid w:val="0064548A"/>
    <w:rsid w:val="00646359"/>
    <w:rsid w:val="00653737"/>
    <w:rsid w:val="00656C96"/>
    <w:rsid w:val="00660E63"/>
    <w:rsid w:val="006610F5"/>
    <w:rsid w:val="006627B2"/>
    <w:rsid w:val="00662DA6"/>
    <w:rsid w:val="00666370"/>
    <w:rsid w:val="00666854"/>
    <w:rsid w:val="0067058E"/>
    <w:rsid w:val="00672066"/>
    <w:rsid w:val="00674A5F"/>
    <w:rsid w:val="006752FE"/>
    <w:rsid w:val="0067544C"/>
    <w:rsid w:val="00677B4E"/>
    <w:rsid w:val="006A2BF6"/>
    <w:rsid w:val="006A5A0D"/>
    <w:rsid w:val="006C1AB1"/>
    <w:rsid w:val="006C4069"/>
    <w:rsid w:val="006C423B"/>
    <w:rsid w:val="006C4939"/>
    <w:rsid w:val="006C722A"/>
    <w:rsid w:val="006D2AAE"/>
    <w:rsid w:val="006E6080"/>
    <w:rsid w:val="006F40D5"/>
    <w:rsid w:val="00705817"/>
    <w:rsid w:val="00716589"/>
    <w:rsid w:val="007168E9"/>
    <w:rsid w:val="0072112E"/>
    <w:rsid w:val="0072286A"/>
    <w:rsid w:val="00727F6A"/>
    <w:rsid w:val="0073562E"/>
    <w:rsid w:val="00735D31"/>
    <w:rsid w:val="00741FD4"/>
    <w:rsid w:val="007463CE"/>
    <w:rsid w:val="00746412"/>
    <w:rsid w:val="00746830"/>
    <w:rsid w:val="00753DCF"/>
    <w:rsid w:val="00757CCA"/>
    <w:rsid w:val="007714AE"/>
    <w:rsid w:val="0077371F"/>
    <w:rsid w:val="00773DFC"/>
    <w:rsid w:val="007827FC"/>
    <w:rsid w:val="007844B3"/>
    <w:rsid w:val="0078739C"/>
    <w:rsid w:val="0079326F"/>
    <w:rsid w:val="007A066F"/>
    <w:rsid w:val="007A1177"/>
    <w:rsid w:val="007A118A"/>
    <w:rsid w:val="007A1B4C"/>
    <w:rsid w:val="007A41AC"/>
    <w:rsid w:val="007A60B7"/>
    <w:rsid w:val="007B0EA4"/>
    <w:rsid w:val="007C2585"/>
    <w:rsid w:val="007D11E7"/>
    <w:rsid w:val="007D143D"/>
    <w:rsid w:val="007D4F9C"/>
    <w:rsid w:val="007D5349"/>
    <w:rsid w:val="007D6731"/>
    <w:rsid w:val="007E1058"/>
    <w:rsid w:val="007E37BB"/>
    <w:rsid w:val="007E5827"/>
    <w:rsid w:val="007F28C8"/>
    <w:rsid w:val="007F38AF"/>
    <w:rsid w:val="007F3F53"/>
    <w:rsid w:val="00800E2F"/>
    <w:rsid w:val="0080133C"/>
    <w:rsid w:val="008115B0"/>
    <w:rsid w:val="00811D8E"/>
    <w:rsid w:val="00822A42"/>
    <w:rsid w:val="00822BD4"/>
    <w:rsid w:val="00832A57"/>
    <w:rsid w:val="008370FF"/>
    <w:rsid w:val="00837297"/>
    <w:rsid w:val="00842F0F"/>
    <w:rsid w:val="0084555C"/>
    <w:rsid w:val="00850B23"/>
    <w:rsid w:val="00857129"/>
    <w:rsid w:val="008607C8"/>
    <w:rsid w:val="00862ABE"/>
    <w:rsid w:val="008661CC"/>
    <w:rsid w:val="00866FE6"/>
    <w:rsid w:val="008679EA"/>
    <w:rsid w:val="00875578"/>
    <w:rsid w:val="00884CA1"/>
    <w:rsid w:val="00891951"/>
    <w:rsid w:val="00895C34"/>
    <w:rsid w:val="00897CCD"/>
    <w:rsid w:val="008A420B"/>
    <w:rsid w:val="008B0E80"/>
    <w:rsid w:val="008B194F"/>
    <w:rsid w:val="008B4A9F"/>
    <w:rsid w:val="008B74EF"/>
    <w:rsid w:val="008B7763"/>
    <w:rsid w:val="008C5697"/>
    <w:rsid w:val="008C5A46"/>
    <w:rsid w:val="008D0843"/>
    <w:rsid w:val="008D1194"/>
    <w:rsid w:val="008D403A"/>
    <w:rsid w:val="008D4E38"/>
    <w:rsid w:val="008D561B"/>
    <w:rsid w:val="008D5C36"/>
    <w:rsid w:val="008E0D95"/>
    <w:rsid w:val="008E43D0"/>
    <w:rsid w:val="008E5097"/>
    <w:rsid w:val="008F0B15"/>
    <w:rsid w:val="008F6FEB"/>
    <w:rsid w:val="00900361"/>
    <w:rsid w:val="00914449"/>
    <w:rsid w:val="00931B84"/>
    <w:rsid w:val="00945A0B"/>
    <w:rsid w:val="009472DD"/>
    <w:rsid w:val="00963041"/>
    <w:rsid w:val="00963AF9"/>
    <w:rsid w:val="00971B0B"/>
    <w:rsid w:val="0097244A"/>
    <w:rsid w:val="0097370E"/>
    <w:rsid w:val="009951B1"/>
    <w:rsid w:val="009A0035"/>
    <w:rsid w:val="009A2A46"/>
    <w:rsid w:val="009A54A1"/>
    <w:rsid w:val="009A735D"/>
    <w:rsid w:val="009B02F9"/>
    <w:rsid w:val="009B7CF8"/>
    <w:rsid w:val="009C0282"/>
    <w:rsid w:val="009C330A"/>
    <w:rsid w:val="009C60C4"/>
    <w:rsid w:val="009C7432"/>
    <w:rsid w:val="009D3A02"/>
    <w:rsid w:val="009D3DCC"/>
    <w:rsid w:val="009D62E7"/>
    <w:rsid w:val="009D6F5D"/>
    <w:rsid w:val="009D75F8"/>
    <w:rsid w:val="009E3768"/>
    <w:rsid w:val="009E4423"/>
    <w:rsid w:val="009E6804"/>
    <w:rsid w:val="009E748A"/>
    <w:rsid w:val="009F32FE"/>
    <w:rsid w:val="009F399A"/>
    <w:rsid w:val="009F6B38"/>
    <w:rsid w:val="00A003F1"/>
    <w:rsid w:val="00A007CE"/>
    <w:rsid w:val="00A00EA1"/>
    <w:rsid w:val="00A044F3"/>
    <w:rsid w:val="00A047E3"/>
    <w:rsid w:val="00A05744"/>
    <w:rsid w:val="00A06145"/>
    <w:rsid w:val="00A072D0"/>
    <w:rsid w:val="00A10037"/>
    <w:rsid w:val="00A118B4"/>
    <w:rsid w:val="00A17D95"/>
    <w:rsid w:val="00A24FB0"/>
    <w:rsid w:val="00A260A6"/>
    <w:rsid w:val="00A3088C"/>
    <w:rsid w:val="00A310FA"/>
    <w:rsid w:val="00A31ACB"/>
    <w:rsid w:val="00A31ADE"/>
    <w:rsid w:val="00A3653F"/>
    <w:rsid w:val="00A4031B"/>
    <w:rsid w:val="00A42C12"/>
    <w:rsid w:val="00A43A4D"/>
    <w:rsid w:val="00A4452D"/>
    <w:rsid w:val="00A449E1"/>
    <w:rsid w:val="00A45D57"/>
    <w:rsid w:val="00A600A1"/>
    <w:rsid w:val="00A73DC4"/>
    <w:rsid w:val="00A874DE"/>
    <w:rsid w:val="00A90461"/>
    <w:rsid w:val="00A92F52"/>
    <w:rsid w:val="00A96368"/>
    <w:rsid w:val="00AA0F56"/>
    <w:rsid w:val="00AA6CF4"/>
    <w:rsid w:val="00AB073F"/>
    <w:rsid w:val="00AB1082"/>
    <w:rsid w:val="00AB4923"/>
    <w:rsid w:val="00AB5F79"/>
    <w:rsid w:val="00AC3168"/>
    <w:rsid w:val="00AC6B9E"/>
    <w:rsid w:val="00AC77F8"/>
    <w:rsid w:val="00AD1875"/>
    <w:rsid w:val="00AD25A4"/>
    <w:rsid w:val="00AE1FCF"/>
    <w:rsid w:val="00AF132F"/>
    <w:rsid w:val="00AF4685"/>
    <w:rsid w:val="00AF6045"/>
    <w:rsid w:val="00AF69D9"/>
    <w:rsid w:val="00AF7544"/>
    <w:rsid w:val="00B01BDE"/>
    <w:rsid w:val="00B02A40"/>
    <w:rsid w:val="00B03497"/>
    <w:rsid w:val="00B04B7F"/>
    <w:rsid w:val="00B06DEC"/>
    <w:rsid w:val="00B17774"/>
    <w:rsid w:val="00B25AAF"/>
    <w:rsid w:val="00B36226"/>
    <w:rsid w:val="00B37752"/>
    <w:rsid w:val="00B44D96"/>
    <w:rsid w:val="00B47F0E"/>
    <w:rsid w:val="00B562C3"/>
    <w:rsid w:val="00B663FD"/>
    <w:rsid w:val="00B70D73"/>
    <w:rsid w:val="00B71FDF"/>
    <w:rsid w:val="00B753EF"/>
    <w:rsid w:val="00B800D0"/>
    <w:rsid w:val="00B8054E"/>
    <w:rsid w:val="00B82D96"/>
    <w:rsid w:val="00B85CA6"/>
    <w:rsid w:val="00B8740D"/>
    <w:rsid w:val="00B96EA8"/>
    <w:rsid w:val="00BA00BF"/>
    <w:rsid w:val="00BA1491"/>
    <w:rsid w:val="00BB3EFC"/>
    <w:rsid w:val="00BC0239"/>
    <w:rsid w:val="00BC043E"/>
    <w:rsid w:val="00BC1423"/>
    <w:rsid w:val="00BC4B34"/>
    <w:rsid w:val="00BD67F9"/>
    <w:rsid w:val="00BD7C03"/>
    <w:rsid w:val="00BE2F13"/>
    <w:rsid w:val="00BE4D09"/>
    <w:rsid w:val="00BE5614"/>
    <w:rsid w:val="00BE5BB8"/>
    <w:rsid w:val="00BE76D5"/>
    <w:rsid w:val="00C02243"/>
    <w:rsid w:val="00C12792"/>
    <w:rsid w:val="00C15215"/>
    <w:rsid w:val="00C22B30"/>
    <w:rsid w:val="00C22EAF"/>
    <w:rsid w:val="00C2517C"/>
    <w:rsid w:val="00C310A7"/>
    <w:rsid w:val="00C41772"/>
    <w:rsid w:val="00C470C4"/>
    <w:rsid w:val="00C50528"/>
    <w:rsid w:val="00C505FA"/>
    <w:rsid w:val="00C536F0"/>
    <w:rsid w:val="00C53CA3"/>
    <w:rsid w:val="00C55540"/>
    <w:rsid w:val="00C5641E"/>
    <w:rsid w:val="00C73EB5"/>
    <w:rsid w:val="00C75181"/>
    <w:rsid w:val="00C84B72"/>
    <w:rsid w:val="00C84C25"/>
    <w:rsid w:val="00C87A18"/>
    <w:rsid w:val="00C90882"/>
    <w:rsid w:val="00C91D09"/>
    <w:rsid w:val="00C96F99"/>
    <w:rsid w:val="00CA1023"/>
    <w:rsid w:val="00CA2CDB"/>
    <w:rsid w:val="00CA39B7"/>
    <w:rsid w:val="00CA4C15"/>
    <w:rsid w:val="00CA4DBB"/>
    <w:rsid w:val="00CA4F24"/>
    <w:rsid w:val="00CA502D"/>
    <w:rsid w:val="00CA6E96"/>
    <w:rsid w:val="00CA70E5"/>
    <w:rsid w:val="00CB167F"/>
    <w:rsid w:val="00CB49D1"/>
    <w:rsid w:val="00CB6915"/>
    <w:rsid w:val="00CB72A1"/>
    <w:rsid w:val="00CC2AB7"/>
    <w:rsid w:val="00CC371E"/>
    <w:rsid w:val="00CC6D13"/>
    <w:rsid w:val="00CD1208"/>
    <w:rsid w:val="00CD3805"/>
    <w:rsid w:val="00CD4046"/>
    <w:rsid w:val="00CD5A9C"/>
    <w:rsid w:val="00CD72A3"/>
    <w:rsid w:val="00CE4D44"/>
    <w:rsid w:val="00CE7FC3"/>
    <w:rsid w:val="00CF0559"/>
    <w:rsid w:val="00CF4C93"/>
    <w:rsid w:val="00CF6C8E"/>
    <w:rsid w:val="00D10FCF"/>
    <w:rsid w:val="00D12FB8"/>
    <w:rsid w:val="00D14F82"/>
    <w:rsid w:val="00D223D8"/>
    <w:rsid w:val="00D22848"/>
    <w:rsid w:val="00D240AF"/>
    <w:rsid w:val="00D24AE8"/>
    <w:rsid w:val="00D370A7"/>
    <w:rsid w:val="00D40222"/>
    <w:rsid w:val="00D45E87"/>
    <w:rsid w:val="00D46800"/>
    <w:rsid w:val="00D46964"/>
    <w:rsid w:val="00D5324E"/>
    <w:rsid w:val="00D5545A"/>
    <w:rsid w:val="00D615B5"/>
    <w:rsid w:val="00D6199A"/>
    <w:rsid w:val="00D65EE8"/>
    <w:rsid w:val="00D703F1"/>
    <w:rsid w:val="00D708BE"/>
    <w:rsid w:val="00D72098"/>
    <w:rsid w:val="00D750C3"/>
    <w:rsid w:val="00D81DEC"/>
    <w:rsid w:val="00D84DDD"/>
    <w:rsid w:val="00D85B51"/>
    <w:rsid w:val="00D87D82"/>
    <w:rsid w:val="00D94766"/>
    <w:rsid w:val="00D951CE"/>
    <w:rsid w:val="00DA2394"/>
    <w:rsid w:val="00DA4ABD"/>
    <w:rsid w:val="00DA64C8"/>
    <w:rsid w:val="00DA699D"/>
    <w:rsid w:val="00DB0E10"/>
    <w:rsid w:val="00DB3159"/>
    <w:rsid w:val="00DB561A"/>
    <w:rsid w:val="00DB635C"/>
    <w:rsid w:val="00DB723D"/>
    <w:rsid w:val="00DB77AF"/>
    <w:rsid w:val="00DD0A29"/>
    <w:rsid w:val="00DD4CEA"/>
    <w:rsid w:val="00DD4FF6"/>
    <w:rsid w:val="00DE4DFF"/>
    <w:rsid w:val="00DE75DB"/>
    <w:rsid w:val="00DE76A6"/>
    <w:rsid w:val="00E0307B"/>
    <w:rsid w:val="00E032AE"/>
    <w:rsid w:val="00E04BB8"/>
    <w:rsid w:val="00E058D7"/>
    <w:rsid w:val="00E06E28"/>
    <w:rsid w:val="00E07E00"/>
    <w:rsid w:val="00E107B9"/>
    <w:rsid w:val="00E10AE2"/>
    <w:rsid w:val="00E16A9D"/>
    <w:rsid w:val="00E1731B"/>
    <w:rsid w:val="00E20AFE"/>
    <w:rsid w:val="00E3215F"/>
    <w:rsid w:val="00E33ECE"/>
    <w:rsid w:val="00E349A1"/>
    <w:rsid w:val="00E40EAA"/>
    <w:rsid w:val="00E42C22"/>
    <w:rsid w:val="00E44B29"/>
    <w:rsid w:val="00E54409"/>
    <w:rsid w:val="00E55602"/>
    <w:rsid w:val="00E566AA"/>
    <w:rsid w:val="00E60E37"/>
    <w:rsid w:val="00E64B02"/>
    <w:rsid w:val="00E757FE"/>
    <w:rsid w:val="00E80911"/>
    <w:rsid w:val="00E86F9A"/>
    <w:rsid w:val="00E93A54"/>
    <w:rsid w:val="00E94618"/>
    <w:rsid w:val="00EA57B6"/>
    <w:rsid w:val="00EA647D"/>
    <w:rsid w:val="00EA6726"/>
    <w:rsid w:val="00EB3DBA"/>
    <w:rsid w:val="00EB49DF"/>
    <w:rsid w:val="00EB52E1"/>
    <w:rsid w:val="00EB621A"/>
    <w:rsid w:val="00EB710F"/>
    <w:rsid w:val="00EC6297"/>
    <w:rsid w:val="00EC7E1C"/>
    <w:rsid w:val="00ED0039"/>
    <w:rsid w:val="00ED6437"/>
    <w:rsid w:val="00ED6928"/>
    <w:rsid w:val="00EE5C19"/>
    <w:rsid w:val="00EF424D"/>
    <w:rsid w:val="00F007E2"/>
    <w:rsid w:val="00F0430A"/>
    <w:rsid w:val="00F0510E"/>
    <w:rsid w:val="00F117DD"/>
    <w:rsid w:val="00F13003"/>
    <w:rsid w:val="00F15644"/>
    <w:rsid w:val="00F21CBC"/>
    <w:rsid w:val="00F253BE"/>
    <w:rsid w:val="00F25944"/>
    <w:rsid w:val="00F265BE"/>
    <w:rsid w:val="00F27B03"/>
    <w:rsid w:val="00F32EE1"/>
    <w:rsid w:val="00F3315E"/>
    <w:rsid w:val="00F3462E"/>
    <w:rsid w:val="00F426D7"/>
    <w:rsid w:val="00F43118"/>
    <w:rsid w:val="00F43B48"/>
    <w:rsid w:val="00F46514"/>
    <w:rsid w:val="00F4692E"/>
    <w:rsid w:val="00F50538"/>
    <w:rsid w:val="00F515B7"/>
    <w:rsid w:val="00F52ED7"/>
    <w:rsid w:val="00F607D8"/>
    <w:rsid w:val="00F6178E"/>
    <w:rsid w:val="00F61C9B"/>
    <w:rsid w:val="00F641AB"/>
    <w:rsid w:val="00F6480F"/>
    <w:rsid w:val="00F656BE"/>
    <w:rsid w:val="00F6577A"/>
    <w:rsid w:val="00F73598"/>
    <w:rsid w:val="00F73FF3"/>
    <w:rsid w:val="00F747B4"/>
    <w:rsid w:val="00F74BDD"/>
    <w:rsid w:val="00F778B0"/>
    <w:rsid w:val="00F8107E"/>
    <w:rsid w:val="00F86EE4"/>
    <w:rsid w:val="00F91E54"/>
    <w:rsid w:val="00F9389D"/>
    <w:rsid w:val="00FB1EF8"/>
    <w:rsid w:val="00FB308E"/>
    <w:rsid w:val="00FB4393"/>
    <w:rsid w:val="00FC1A11"/>
    <w:rsid w:val="00FC2A20"/>
    <w:rsid w:val="00FC5364"/>
    <w:rsid w:val="00FC6EB0"/>
    <w:rsid w:val="00FC71FC"/>
    <w:rsid w:val="00FD11CA"/>
    <w:rsid w:val="00FD2762"/>
    <w:rsid w:val="00FD4445"/>
    <w:rsid w:val="00FD7EFC"/>
    <w:rsid w:val="00FE0386"/>
    <w:rsid w:val="00FE42C5"/>
    <w:rsid w:val="00FE7C60"/>
    <w:rsid w:val="00FF0956"/>
    <w:rsid w:val="01105490"/>
    <w:rsid w:val="05E56388"/>
    <w:rsid w:val="06F4113E"/>
    <w:rsid w:val="106043C7"/>
    <w:rsid w:val="1571672E"/>
    <w:rsid w:val="161A6DC6"/>
    <w:rsid w:val="166C7887"/>
    <w:rsid w:val="17842B8C"/>
    <w:rsid w:val="182649D9"/>
    <w:rsid w:val="1AB5530F"/>
    <w:rsid w:val="1B733B83"/>
    <w:rsid w:val="1BB71370"/>
    <w:rsid w:val="1CA6626D"/>
    <w:rsid w:val="1CA94A00"/>
    <w:rsid w:val="1DB11429"/>
    <w:rsid w:val="1E7D5017"/>
    <w:rsid w:val="1EE92A08"/>
    <w:rsid w:val="21DD163E"/>
    <w:rsid w:val="26163E66"/>
    <w:rsid w:val="26F85C43"/>
    <w:rsid w:val="277327DA"/>
    <w:rsid w:val="29CE4CD9"/>
    <w:rsid w:val="2FCE5DEC"/>
    <w:rsid w:val="2FEE1871"/>
    <w:rsid w:val="30D83DB9"/>
    <w:rsid w:val="31A87524"/>
    <w:rsid w:val="31FD603B"/>
    <w:rsid w:val="35380BBF"/>
    <w:rsid w:val="38742D55"/>
    <w:rsid w:val="3B22687C"/>
    <w:rsid w:val="3B516920"/>
    <w:rsid w:val="3B8141A5"/>
    <w:rsid w:val="3D052072"/>
    <w:rsid w:val="3DA00DE8"/>
    <w:rsid w:val="3E662CA1"/>
    <w:rsid w:val="3E702979"/>
    <w:rsid w:val="3EC06E03"/>
    <w:rsid w:val="40AA0BC3"/>
    <w:rsid w:val="44417C7B"/>
    <w:rsid w:val="44FA1B2D"/>
    <w:rsid w:val="4ADF0297"/>
    <w:rsid w:val="4B5D7CD5"/>
    <w:rsid w:val="4D40640B"/>
    <w:rsid w:val="4DE66FB2"/>
    <w:rsid w:val="4F032754"/>
    <w:rsid w:val="514117B3"/>
    <w:rsid w:val="51FD2928"/>
    <w:rsid w:val="52122E41"/>
    <w:rsid w:val="530B524D"/>
    <w:rsid w:val="54644EDA"/>
    <w:rsid w:val="55582347"/>
    <w:rsid w:val="58490869"/>
    <w:rsid w:val="58B3271B"/>
    <w:rsid w:val="5A6A2CC5"/>
    <w:rsid w:val="5E8545C5"/>
    <w:rsid w:val="5E9C3CD4"/>
    <w:rsid w:val="5EE50805"/>
    <w:rsid w:val="5F3245A5"/>
    <w:rsid w:val="62A77C24"/>
    <w:rsid w:val="6385030A"/>
    <w:rsid w:val="645962D8"/>
    <w:rsid w:val="652266CA"/>
    <w:rsid w:val="6A6F55E3"/>
    <w:rsid w:val="6BBD3BCC"/>
    <w:rsid w:val="6D971032"/>
    <w:rsid w:val="6F4F55C9"/>
    <w:rsid w:val="6FAC47B4"/>
    <w:rsid w:val="6FC0605C"/>
    <w:rsid w:val="7299205B"/>
    <w:rsid w:val="72B12C8C"/>
    <w:rsid w:val="7F0453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仿宋_GB2312" w:cs="Times New Roman"/>
      <w:kern w:val="2"/>
      <w:sz w:val="32"/>
      <w:szCs w:val="22"/>
      <w:lang w:val="en-US" w:eastAsia="zh-CN" w:bidi="ar-SA"/>
    </w:rPr>
  </w:style>
  <w:style w:type="paragraph" w:styleId="2">
    <w:name w:val="heading 3"/>
    <w:basedOn w:val="1"/>
    <w:next w:val="1"/>
    <w:qFormat/>
    <w:uiPriority w:val="99"/>
    <w:pPr>
      <w:keepNext/>
      <w:keepLines/>
      <w:spacing w:before="260" w:after="260" w:line="416" w:lineRule="atLeast"/>
      <w:outlineLvl w:val="2"/>
    </w:pPr>
    <w:rPr>
      <w:b/>
      <w:bCs/>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4"/>
    <w:qFormat/>
    <w:uiPriority w:val="0"/>
    <w:pPr>
      <w:shd w:val="clear" w:color="auto" w:fill="000080"/>
      <w:spacing w:line="240" w:lineRule="auto"/>
    </w:pPr>
    <w:rPr>
      <w:rFonts w:eastAsia="宋体"/>
      <w:sz w:val="21"/>
      <w:szCs w:val="24"/>
    </w:rPr>
  </w:style>
  <w:style w:type="paragraph" w:styleId="4">
    <w:name w:val="annotation text"/>
    <w:basedOn w:val="1"/>
    <w:link w:val="20"/>
    <w:qFormat/>
    <w:uiPriority w:val="0"/>
    <w:pPr>
      <w:adjustRightInd w:val="0"/>
      <w:spacing w:line="312" w:lineRule="atLeast"/>
      <w:jc w:val="left"/>
      <w:textAlignment w:val="baseline"/>
    </w:pPr>
    <w:rPr>
      <w:rFonts w:ascii="Times New Roman" w:hAnsi="Times New Roman" w:eastAsia="楷体_GB2312"/>
      <w:spacing w:val="8"/>
      <w:kern w:val="0"/>
      <w:szCs w:val="20"/>
    </w:rPr>
  </w:style>
  <w:style w:type="paragraph" w:styleId="5">
    <w:name w:val="Body Text"/>
    <w:basedOn w:val="1"/>
    <w:link w:val="16"/>
    <w:qFormat/>
    <w:uiPriority w:val="0"/>
    <w:pPr>
      <w:spacing w:after="120"/>
    </w:pPr>
  </w:style>
  <w:style w:type="paragraph" w:styleId="6">
    <w:name w:val="Body Text Indent"/>
    <w:basedOn w:val="1"/>
    <w:link w:val="22"/>
    <w:qFormat/>
    <w:uiPriority w:val="0"/>
    <w:pPr>
      <w:spacing w:after="120"/>
      <w:ind w:left="420" w:leftChars="200"/>
    </w:pPr>
  </w:style>
  <w:style w:type="paragraph" w:styleId="7">
    <w:name w:val="Balloon Text"/>
    <w:basedOn w:val="1"/>
    <w:link w:val="28"/>
    <w:qFormat/>
    <w:uiPriority w:val="0"/>
    <w:pPr>
      <w:spacing w:line="240" w:lineRule="auto"/>
    </w:pPr>
    <w:rPr>
      <w:rFonts w:eastAsia="宋体"/>
      <w:sz w:val="18"/>
      <w:szCs w:val="18"/>
    </w:rPr>
  </w:style>
  <w:style w:type="paragraph" w:styleId="8">
    <w:name w:val="footer"/>
    <w:basedOn w:val="1"/>
    <w:link w:val="19"/>
    <w:qFormat/>
    <w:uiPriority w:val="99"/>
    <w:pPr>
      <w:tabs>
        <w:tab w:val="center" w:pos="4153"/>
        <w:tab w:val="right" w:pos="8306"/>
      </w:tabs>
      <w:snapToGrid w:val="0"/>
      <w:spacing w:line="240" w:lineRule="auto"/>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Normal (Web)"/>
    <w:basedOn w:val="1"/>
    <w:qFormat/>
    <w:uiPriority w:val="99"/>
    <w:pPr>
      <w:widowControl/>
      <w:spacing w:before="100" w:beforeAutospacing="1" w:after="100" w:afterAutospacing="1" w:line="240" w:lineRule="auto"/>
      <w:jc w:val="left"/>
    </w:pPr>
    <w:rPr>
      <w:rFonts w:ascii="Times New Roman" w:hAnsi="Times New Roman" w:eastAsia="宋体"/>
      <w:kern w:val="0"/>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Hyperlink"/>
    <w:qFormat/>
    <w:uiPriority w:val="0"/>
    <w:rPr>
      <w:color w:val="0000FF"/>
      <w:u w:val="single"/>
    </w:rPr>
  </w:style>
  <w:style w:type="character" w:customStyle="1" w:styleId="16">
    <w:name w:val="正文文本 Char"/>
    <w:basedOn w:val="13"/>
    <w:link w:val="5"/>
    <w:qFormat/>
    <w:uiPriority w:val="0"/>
    <w:rPr>
      <w:rFonts w:ascii="Calibri" w:hAnsi="Calibri" w:eastAsia="仿宋_GB2312"/>
      <w:kern w:val="2"/>
      <w:sz w:val="32"/>
      <w:szCs w:val="22"/>
    </w:rPr>
  </w:style>
  <w:style w:type="paragraph" w:customStyle="1" w:styleId="17">
    <w:name w:val="_Style 72"/>
    <w:basedOn w:val="1"/>
    <w:qFormat/>
    <w:uiPriority w:val="0"/>
    <w:pPr>
      <w:spacing w:line="240" w:lineRule="auto"/>
    </w:pPr>
    <w:rPr>
      <w:rFonts w:ascii="宋体" w:hAnsi="宋体" w:eastAsia="宋体" w:cs="Courier New"/>
      <w:szCs w:val="32"/>
    </w:rPr>
  </w:style>
  <w:style w:type="character" w:customStyle="1" w:styleId="18">
    <w:name w:val="页眉 Char"/>
    <w:basedOn w:val="13"/>
    <w:link w:val="9"/>
    <w:qFormat/>
    <w:uiPriority w:val="99"/>
    <w:rPr>
      <w:rFonts w:ascii="Calibri" w:hAnsi="Calibri" w:eastAsia="仿宋_GB2312"/>
      <w:kern w:val="2"/>
      <w:sz w:val="18"/>
      <w:szCs w:val="18"/>
    </w:rPr>
  </w:style>
  <w:style w:type="character" w:customStyle="1" w:styleId="19">
    <w:name w:val="页脚 Char"/>
    <w:basedOn w:val="13"/>
    <w:link w:val="8"/>
    <w:qFormat/>
    <w:uiPriority w:val="99"/>
    <w:rPr>
      <w:rFonts w:ascii="Calibri" w:hAnsi="Calibri" w:eastAsia="仿宋_GB2312"/>
      <w:kern w:val="2"/>
      <w:sz w:val="18"/>
      <w:szCs w:val="18"/>
    </w:rPr>
  </w:style>
  <w:style w:type="character" w:customStyle="1" w:styleId="20">
    <w:name w:val="批注文字 Char2"/>
    <w:link w:val="4"/>
    <w:qFormat/>
    <w:uiPriority w:val="0"/>
    <w:rPr>
      <w:rFonts w:eastAsia="楷体_GB2312"/>
      <w:spacing w:val="8"/>
      <w:sz w:val="32"/>
    </w:rPr>
  </w:style>
  <w:style w:type="character" w:customStyle="1" w:styleId="21">
    <w:name w:val="批注文字 Char1"/>
    <w:basedOn w:val="13"/>
    <w:qFormat/>
    <w:uiPriority w:val="0"/>
    <w:rPr>
      <w:rFonts w:ascii="Calibri" w:hAnsi="Calibri" w:eastAsia="仿宋_GB2312"/>
      <w:kern w:val="2"/>
      <w:sz w:val="32"/>
      <w:szCs w:val="22"/>
    </w:rPr>
  </w:style>
  <w:style w:type="character" w:customStyle="1" w:styleId="22">
    <w:name w:val="正文文本缩进 Char2"/>
    <w:basedOn w:val="13"/>
    <w:link w:val="6"/>
    <w:qFormat/>
    <w:uiPriority w:val="0"/>
    <w:rPr>
      <w:rFonts w:ascii="Calibri" w:hAnsi="Calibri" w:eastAsia="仿宋_GB2312"/>
      <w:kern w:val="2"/>
      <w:sz w:val="32"/>
      <w:szCs w:val="22"/>
    </w:rPr>
  </w:style>
  <w:style w:type="character" w:customStyle="1" w:styleId="23">
    <w:name w:val="font11"/>
    <w:qFormat/>
    <w:uiPriority w:val="0"/>
    <w:rPr>
      <w:rFonts w:hint="eastAsia" w:ascii="宋体" w:hAnsi="宋体" w:eastAsia="宋体" w:cs="宋体"/>
      <w:color w:val="000000"/>
      <w:sz w:val="20"/>
      <w:szCs w:val="20"/>
      <w:u w:val="none"/>
    </w:rPr>
  </w:style>
  <w:style w:type="character" w:customStyle="1" w:styleId="24">
    <w:name w:val="文档结构图 Char"/>
    <w:basedOn w:val="13"/>
    <w:link w:val="3"/>
    <w:qFormat/>
    <w:uiPriority w:val="0"/>
    <w:rPr>
      <w:rFonts w:ascii="Calibri" w:hAnsi="Calibri"/>
      <w:kern w:val="2"/>
      <w:sz w:val="21"/>
      <w:szCs w:val="24"/>
      <w:shd w:val="clear" w:color="auto" w:fill="000080"/>
    </w:rPr>
  </w:style>
  <w:style w:type="paragraph" w:customStyle="1" w:styleId="25">
    <w:name w:val="列出段落1"/>
    <w:basedOn w:val="1"/>
    <w:qFormat/>
    <w:uiPriority w:val="34"/>
    <w:pPr>
      <w:spacing w:line="240" w:lineRule="auto"/>
      <w:ind w:firstLine="420" w:firstLineChars="200"/>
    </w:pPr>
    <w:rPr>
      <w:rFonts w:eastAsia="宋体"/>
      <w:sz w:val="21"/>
      <w:szCs w:val="24"/>
    </w:rPr>
  </w:style>
  <w:style w:type="paragraph" w:customStyle="1" w:styleId="26">
    <w:name w:val="_Style 4"/>
    <w:basedOn w:val="3"/>
    <w:qFormat/>
    <w:uiPriority w:val="0"/>
    <w:pPr>
      <w:adjustRightInd w:val="0"/>
      <w:spacing w:line="436" w:lineRule="exact"/>
      <w:ind w:left="357"/>
      <w:jc w:val="left"/>
      <w:outlineLvl w:val="3"/>
    </w:pPr>
    <w:rPr>
      <w:szCs w:val="20"/>
    </w:rPr>
  </w:style>
  <w:style w:type="table" w:customStyle="1" w:styleId="27">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8">
    <w:name w:val="批注框文本 Char1"/>
    <w:basedOn w:val="13"/>
    <w:link w:val="7"/>
    <w:qFormat/>
    <w:uiPriority w:val="0"/>
    <w:rPr>
      <w:rFonts w:ascii="Calibri" w:hAnsi="Calibri"/>
      <w:kern w:val="2"/>
      <w:sz w:val="18"/>
      <w:szCs w:val="18"/>
    </w:rPr>
  </w:style>
  <w:style w:type="character" w:customStyle="1" w:styleId="29">
    <w:name w:val="正文文本缩进 Char1"/>
    <w:qFormat/>
    <w:uiPriority w:val="0"/>
    <w:rPr>
      <w:kern w:val="2"/>
      <w:sz w:val="21"/>
      <w:szCs w:val="24"/>
    </w:rPr>
  </w:style>
  <w:style w:type="character" w:customStyle="1" w:styleId="30">
    <w:name w:val="font01"/>
    <w:qFormat/>
    <w:uiPriority w:val="0"/>
    <w:rPr>
      <w:rFonts w:hint="eastAsia" w:ascii="仿宋" w:hAnsi="仿宋" w:eastAsia="仿宋" w:cs="仿宋"/>
      <w:color w:val="000000"/>
      <w:sz w:val="21"/>
      <w:szCs w:val="21"/>
      <w:u w:val="none"/>
    </w:rPr>
  </w:style>
  <w:style w:type="character" w:customStyle="1" w:styleId="31">
    <w:name w:val="批注框文本 Char"/>
    <w:qFormat/>
    <w:uiPriority w:val="0"/>
    <w:rPr>
      <w:kern w:val="2"/>
      <w:sz w:val="18"/>
      <w:szCs w:val="18"/>
    </w:rPr>
  </w:style>
  <w:style w:type="character" w:customStyle="1" w:styleId="32">
    <w:name w:val="批注文字 Char"/>
    <w:qFormat/>
    <w:uiPriority w:val="0"/>
    <w:rPr>
      <w:rFonts w:eastAsia="楷体_GB2312"/>
      <w:spacing w:val="8"/>
      <w:sz w:val="32"/>
    </w:rPr>
  </w:style>
  <w:style w:type="character" w:customStyle="1" w:styleId="33">
    <w:name w:val="正文文本缩进 Char"/>
    <w:qFormat/>
    <w:locked/>
    <w:uiPriority w:val="0"/>
    <w:rPr>
      <w:rFonts w:eastAsia="楷体_GB2312"/>
      <w:spacing w:val="8"/>
      <w:sz w:val="32"/>
    </w:rPr>
  </w:style>
  <w:style w:type="paragraph" w:customStyle="1" w:styleId="34">
    <w:name w:val="列表段落1"/>
    <w:basedOn w:val="1"/>
    <w:qFormat/>
    <w:uiPriority w:val="34"/>
    <w:pPr>
      <w:spacing w:line="240" w:lineRule="auto"/>
      <w:ind w:firstLine="420" w:firstLineChars="200"/>
    </w:pPr>
    <w:rPr>
      <w:rFonts w:eastAsia="宋体"/>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F1510-71D5-4F4E-8CE1-391D6C877FB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9035</Words>
  <Characters>9551</Characters>
  <Lines>77</Lines>
  <Paragraphs>21</Paragraphs>
  <TotalTime>0</TotalTime>
  <ScaleCrop>false</ScaleCrop>
  <LinksUpToDate>false</LinksUpToDate>
  <CharactersWithSpaces>9649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2022-04-24T08:39:00Z</dcterms:created>
  <dc:creator>微软用户</dc:creator>
  <cp:lastModifiedBy>admin</cp:lastModifiedBy>
  <cp:lastPrinted>2022-04-26T06:53:00Z</cp:lastPrinted>
  <dcterms:modified xsi:type="dcterms:W3CDTF">2022-04-29T07:15:07Z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A65B31D89C234BDD921F43300C64D23C</vt:lpwstr>
  </property>
</Properties>
</file>