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_GB2312" w:hAnsi="仿宋_GB2312" w:eastAsia="仿宋_GB2312" w:cs="仿宋_GB2312"/>
          <w:snapToGrid w:val="0"/>
          <w:spacing w:val="-24"/>
          <w:kern w:val="0"/>
          <w:sz w:val="32"/>
          <w:szCs w:val="40"/>
        </w:rPr>
      </w:pPr>
      <w:r>
        <w:rPr>
          <w:rFonts w:hint="eastAsia" w:ascii="方正小标宋简体" w:hAnsi="Times New Roman" w:eastAsia="方正小标宋简体" w:cs="Times New Roman"/>
          <w:bCs/>
          <w:snapToGrid w:val="0"/>
          <w:color w:val="000000"/>
          <w:spacing w:val="-24"/>
          <w:kern w:val="0"/>
          <w:sz w:val="44"/>
          <w:szCs w:val="44"/>
          <w:shd w:val="clear" w:color="auto" w:fill="FFFFFF"/>
        </w:rPr>
        <w:t>解读《青岛西海岸新区</w:t>
      </w:r>
      <w:r>
        <w:rPr>
          <w:rFonts w:hint="eastAsia" w:ascii="方正小标宋简体" w:eastAsia="方正小标宋简体" w:cs="Times New Roman"/>
          <w:bCs/>
          <w:snapToGrid w:val="0"/>
          <w:color w:val="000000"/>
          <w:spacing w:val="-24"/>
          <w:kern w:val="0"/>
          <w:sz w:val="44"/>
          <w:szCs w:val="44"/>
          <w:shd w:val="clear" w:color="auto" w:fill="FFFFFF"/>
          <w:lang w:val="en-US" w:eastAsia="zh-CN"/>
        </w:rPr>
        <w:t>教</w:t>
      </w:r>
      <w:r>
        <w:rPr>
          <w:rFonts w:hint="eastAsia" w:ascii="方正小标宋简体" w:hAnsi="Times New Roman" w:eastAsia="方正小标宋简体" w:cs="Times New Roman"/>
          <w:bCs/>
          <w:snapToGrid w:val="0"/>
          <w:color w:val="000000"/>
          <w:spacing w:val="-24"/>
          <w:kern w:val="0"/>
          <w:sz w:val="44"/>
          <w:szCs w:val="44"/>
          <w:shd w:val="clear" w:color="auto" w:fill="FFFFFF"/>
        </w:rPr>
        <w:t>育事业发展“十四五”规划》</w:t>
      </w:r>
    </w:p>
    <w:p>
      <w:pPr>
        <w:adjustRightInd w:val="0"/>
        <w:snapToGrid w:val="0"/>
        <w:spacing w:line="560" w:lineRule="exact"/>
        <w:jc w:val="center"/>
        <w:rPr>
          <w:rFonts w:ascii="黑体" w:hAnsi="黑体" w:eastAsia="仿宋_GB2312" w:cs="黑体"/>
          <w:sz w:val="32"/>
          <w:szCs w:val="40"/>
        </w:rPr>
      </w:pPr>
      <w:r>
        <w:rPr>
          <w:rFonts w:hint="eastAsia" w:ascii="楷体_GB2312" w:hAnsi="楷体_GB2312" w:eastAsia="楷体_GB2312" w:cs="楷体_GB2312"/>
          <w:spacing w:val="-20"/>
          <w:sz w:val="32"/>
          <w:szCs w:val="32"/>
        </w:rPr>
        <w:t>解读人：区委教育工委常务副书记 区教育和体育局局长 于瑞泳</w:t>
      </w:r>
    </w:p>
    <w:p>
      <w:pPr>
        <w:adjustRightInd w:val="0"/>
        <w:snapToGrid w:val="0"/>
        <w:spacing w:line="560" w:lineRule="exact"/>
        <w:ind w:firstLine="560" w:firstLineChars="200"/>
        <w:rPr>
          <w:rFonts w:ascii="方正小标宋_GBK" w:eastAsia="方正小标宋_GBK"/>
          <w:color w:val="000000" w:themeColor="text1"/>
          <w:sz w:val="28"/>
          <w:szCs w:val="15"/>
        </w:rPr>
      </w:pP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近日，《青岛西海岸新区教育事业发展“十四五”规划》（以下简称《规划》）正式印发，现解读如下：</w:t>
      </w:r>
    </w:p>
    <w:p>
      <w:pPr>
        <w:adjustRightInd w:val="0"/>
        <w:snapToGrid w:val="0"/>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一、起草背景</w:t>
      </w:r>
    </w:p>
    <w:p>
      <w:pPr>
        <w:adjustRightInd w:val="0"/>
        <w:snapToGrid w:val="0"/>
        <w:spacing w:line="560" w:lineRule="exact"/>
        <w:ind w:firstLine="640" w:firstLineChars="200"/>
        <w:rPr>
          <w:rFonts w:ascii="仿宋_GB2312" w:hAnsi="仿宋_GB2312" w:eastAsia="仿宋_GB2312" w:cs="仿宋_GB2312"/>
          <w:color w:val="000000" w:themeColor="text1"/>
          <w:sz w:val="32"/>
          <w:szCs w:val="40"/>
        </w:rPr>
      </w:pPr>
      <w:r>
        <w:rPr>
          <w:rFonts w:hint="eastAsia" w:ascii="仿宋_GB2312" w:hAnsi="仿宋_GB2312" w:eastAsia="仿宋_GB2312" w:cs="仿宋_GB2312"/>
          <w:color w:val="000000" w:themeColor="text1"/>
          <w:kern w:val="0"/>
          <w:sz w:val="32"/>
          <w:szCs w:val="32"/>
        </w:rPr>
        <w:t>教育是国之大计、党之大计。“十四五”时期是青岛西海岸新区深入践行国家战略、率先实现高质量发展的机遇期，是新区教育改革发展的关键期</w:t>
      </w:r>
      <w:r>
        <w:rPr>
          <w:rFonts w:hint="eastAsia" w:ascii="仿宋_GB2312" w:hAnsi="仿宋_GB2312" w:eastAsia="仿宋_GB2312" w:cs="仿宋_GB2312"/>
          <w:bCs/>
          <w:color w:val="000000" w:themeColor="text1"/>
          <w:kern w:val="0"/>
          <w:sz w:val="32"/>
          <w:szCs w:val="32"/>
        </w:rPr>
        <w:t>。</w:t>
      </w:r>
      <w:r>
        <w:rPr>
          <w:rFonts w:hint="eastAsia" w:ascii="仿宋_GB2312" w:hAnsi="仿宋_GB2312" w:eastAsia="仿宋_GB2312" w:cs="仿宋_GB2312"/>
          <w:color w:val="000000" w:themeColor="text1"/>
          <w:kern w:val="0"/>
          <w:sz w:val="32"/>
          <w:szCs w:val="32"/>
        </w:rPr>
        <w:t>《青岛西海岸新区教育事业发展“十四五”规划》依据《青岛市“十四五”教育事业发展规划》《青岛西海岸新区（黄岛区）国民经济和社会发展第十四个五年规划和2035年远景目标纲要》</w:t>
      </w:r>
      <w:r>
        <w:rPr>
          <w:rFonts w:hint="eastAsia" w:ascii="仿宋_GB2312" w:hAnsi="仿宋_GB2312" w:eastAsia="仿宋_GB2312" w:cs="仿宋_GB2312"/>
          <w:bCs/>
          <w:color w:val="000000" w:themeColor="text1"/>
          <w:kern w:val="0"/>
          <w:sz w:val="32"/>
          <w:szCs w:val="32"/>
        </w:rPr>
        <w:t>，结合新区实际进行编制</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sz w:val="32"/>
          <w:szCs w:val="40"/>
        </w:rPr>
        <w:t>深入分析了“十四五”时期新区教育事业发展的基础和面临的形势，对“十四五”时期新区教育事业的发展目标、主要任</w:t>
      </w:r>
      <w:r>
        <w:rPr>
          <w:rFonts w:hint="eastAsia" w:ascii="仿宋_GB2312" w:hAnsi="仿宋_GB2312" w:eastAsia="仿宋_GB2312" w:cs="仿宋_GB2312"/>
          <w:color w:val="000000" w:themeColor="text1"/>
          <w:kern w:val="0"/>
          <w:sz w:val="32"/>
          <w:szCs w:val="32"/>
        </w:rPr>
        <w:t>务、重点工程等进行了总体</w:t>
      </w:r>
      <w:r>
        <w:rPr>
          <w:rFonts w:hint="eastAsia" w:ascii="仿宋_GB2312" w:hAnsi="仿宋_GB2312" w:eastAsia="仿宋_GB2312" w:cs="仿宋_GB2312"/>
          <w:color w:val="000000" w:themeColor="text1"/>
          <w:sz w:val="32"/>
          <w:szCs w:val="40"/>
        </w:rPr>
        <w:t>规划和全面部署。</w:t>
      </w:r>
    </w:p>
    <w:p>
      <w:pPr>
        <w:adjustRightInd w:val="0"/>
        <w:snapToGrid w:val="0"/>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二、起草过程</w:t>
      </w:r>
    </w:p>
    <w:p>
      <w:pPr>
        <w:adjustRightInd w:val="0"/>
        <w:snapToGrid w:val="0"/>
        <w:spacing w:line="560" w:lineRule="exact"/>
        <w:ind w:firstLine="640" w:firstLineChars="200"/>
        <w:rPr>
          <w:rFonts w:ascii="仿宋_GB2312" w:hAnsi="文星仿宋" w:eastAsia="仿宋_GB2312"/>
          <w:color w:val="000000" w:themeColor="text1"/>
          <w:sz w:val="32"/>
          <w:szCs w:val="32"/>
        </w:rPr>
      </w:pPr>
      <w:r>
        <w:rPr>
          <w:rFonts w:ascii="仿宋_GB2312" w:hAnsi="仿宋_GB2312" w:eastAsia="仿宋_GB2312" w:cs="仿宋_GB2312"/>
          <w:color w:val="000000" w:themeColor="text1"/>
          <w:kern w:val="0"/>
          <w:sz w:val="32"/>
          <w:szCs w:val="32"/>
        </w:rPr>
        <w:t>《规划》编制主要经历了</w:t>
      </w:r>
      <w:r>
        <w:rPr>
          <w:rFonts w:hint="eastAsia" w:ascii="仿宋_GB2312" w:hAnsi="仿宋_GB2312" w:eastAsia="仿宋_GB2312" w:cs="仿宋_GB2312"/>
          <w:color w:val="000000" w:themeColor="text1"/>
          <w:kern w:val="0"/>
          <w:sz w:val="32"/>
          <w:szCs w:val="32"/>
        </w:rPr>
        <w:t>四</w:t>
      </w:r>
      <w:r>
        <w:rPr>
          <w:rFonts w:ascii="仿宋_GB2312" w:hAnsi="仿宋_GB2312" w:eastAsia="仿宋_GB2312" w:cs="仿宋_GB2312"/>
          <w:color w:val="000000" w:themeColor="text1"/>
          <w:kern w:val="0"/>
          <w:sz w:val="32"/>
          <w:szCs w:val="32"/>
        </w:rPr>
        <w:t>个阶段：</w:t>
      </w:r>
      <w:r>
        <w:rPr>
          <w:rFonts w:hint="eastAsia" w:ascii="仿宋_GB2312" w:hAnsi="文星仿宋" w:eastAsia="仿宋_GB2312"/>
          <w:color w:val="000000" w:themeColor="text1"/>
          <w:sz w:val="32"/>
          <w:szCs w:val="32"/>
        </w:rPr>
        <w:t xml:space="preserve"> </w:t>
      </w:r>
    </w:p>
    <w:p>
      <w:pPr>
        <w:adjustRightInd w:val="0"/>
        <w:snapToGrid w:val="0"/>
        <w:spacing w:line="560" w:lineRule="exact"/>
        <w:ind w:firstLine="640" w:firstLineChars="200"/>
        <w:rPr>
          <w:rFonts w:ascii="仿宋_GB2312" w:hAnsi="文星仿宋" w:eastAsia="仿宋_GB2312"/>
          <w:color w:val="000000" w:themeColor="text1"/>
          <w:sz w:val="32"/>
          <w:szCs w:val="32"/>
        </w:rPr>
      </w:pPr>
      <w:r>
        <w:rPr>
          <w:rFonts w:hint="eastAsia" w:ascii="楷体" w:hAnsi="楷体" w:eastAsia="楷体" w:cs="仿宋_GB2312"/>
          <w:color w:val="000000" w:themeColor="text1"/>
          <w:kern w:val="0"/>
          <w:sz w:val="32"/>
          <w:szCs w:val="32"/>
        </w:rPr>
        <w:t>第一阶段为组织筹备阶段。</w:t>
      </w:r>
      <w:r>
        <w:rPr>
          <w:rFonts w:hint="eastAsia" w:ascii="仿宋_GB2312" w:hAnsi="仿宋_GB2312" w:eastAsia="仿宋_GB2312" w:cs="仿宋_GB2312"/>
          <w:color w:val="000000" w:themeColor="text1"/>
          <w:sz w:val="32"/>
          <w:szCs w:val="40"/>
        </w:rPr>
        <w:t>2019年10月，新区教体局成立“十四五”规划编制领导小组，组建工作专班，立足新区教育发展现状，提出发展目标、重点任务和需要解决的重大问题，制定具体工作方案，明确工作时间和阶段性任务。</w:t>
      </w:r>
    </w:p>
    <w:p>
      <w:pPr>
        <w:adjustRightInd w:val="0"/>
        <w:snapToGrid w:val="0"/>
        <w:spacing w:line="560" w:lineRule="exact"/>
        <w:ind w:firstLine="640" w:firstLineChars="200"/>
        <w:rPr>
          <w:rFonts w:ascii="仿宋_GB2312" w:eastAsia="仿宋_GB2312" w:cs="仿宋_GB2312"/>
          <w:color w:val="000000" w:themeColor="text1"/>
          <w:sz w:val="32"/>
          <w:szCs w:val="32"/>
        </w:rPr>
      </w:pPr>
      <w:r>
        <w:rPr>
          <w:rFonts w:hint="eastAsia" w:ascii="楷体" w:hAnsi="楷体" w:eastAsia="楷体" w:cs="仿宋_GB2312"/>
          <w:color w:val="000000" w:themeColor="text1"/>
          <w:kern w:val="0"/>
          <w:sz w:val="32"/>
          <w:szCs w:val="32"/>
        </w:rPr>
        <w:t>第二阶段为思路研究阶段。</w:t>
      </w:r>
      <w:r>
        <w:rPr>
          <w:rFonts w:hint="eastAsia" w:ascii="仿宋_GB2312" w:hAnsi="文星仿宋" w:eastAsia="仿宋_GB2312"/>
          <w:color w:val="000000" w:themeColor="text1"/>
          <w:sz w:val="32"/>
          <w:szCs w:val="32"/>
        </w:rPr>
        <w:t>全面总结“十三五”期间新区教育发展取得的成绩，对标上海、深圳等先进地区，聚焦重点任务、重点区域和重要工程，初步</w:t>
      </w:r>
      <w:r>
        <w:rPr>
          <w:rFonts w:ascii="仿宋_GB2312" w:eastAsia="仿宋_GB2312" w:cs="仿宋_GB2312"/>
          <w:color w:val="000000" w:themeColor="text1"/>
          <w:sz w:val="32"/>
          <w:szCs w:val="32"/>
        </w:rPr>
        <w:t>完成规划的基本框架和主要内容</w:t>
      </w:r>
      <w:r>
        <w:rPr>
          <w:rFonts w:hint="eastAsia" w:ascii="仿宋_GB2312" w:hAnsi="文星仿宋" w:eastAsia="仿宋_GB2312"/>
          <w:color w:val="000000" w:themeColor="text1"/>
          <w:sz w:val="32"/>
          <w:szCs w:val="32"/>
        </w:rPr>
        <w:t>，并报新区管委、市教育局“十四五”规划领导小组办公室初审</w:t>
      </w:r>
      <w:r>
        <w:rPr>
          <w:rFonts w:asci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eastAsia="仿宋_GB2312" w:cs="仿宋_GB2312"/>
          <w:color w:val="000000" w:themeColor="text1"/>
          <w:sz w:val="32"/>
          <w:szCs w:val="32"/>
        </w:rPr>
      </w:pPr>
      <w:r>
        <w:rPr>
          <w:rFonts w:hint="eastAsia" w:ascii="楷体" w:hAnsi="楷体" w:eastAsia="楷体" w:cs="仿宋_GB2312"/>
          <w:color w:val="000000" w:themeColor="text1"/>
          <w:kern w:val="0"/>
          <w:sz w:val="32"/>
          <w:szCs w:val="32"/>
        </w:rPr>
        <w:t>第三阶段为规划形成阶段。</w:t>
      </w:r>
      <w:r>
        <w:rPr>
          <w:rFonts w:hint="eastAsia" w:ascii="仿宋_GB2312" w:hAnsi="文星仿宋" w:eastAsia="仿宋_GB2312"/>
          <w:color w:val="000000" w:themeColor="text1"/>
          <w:sz w:val="32"/>
          <w:szCs w:val="32"/>
        </w:rPr>
        <w:t>向</w:t>
      </w:r>
      <w:r>
        <w:rPr>
          <w:rFonts w:ascii="仿宋_GB2312" w:eastAsia="仿宋_GB2312" w:cs="仿宋_GB2312"/>
          <w:color w:val="000000" w:themeColor="text1"/>
          <w:sz w:val="32"/>
          <w:szCs w:val="32"/>
        </w:rPr>
        <w:t>社会各界广泛征求意见，</w:t>
      </w:r>
      <w:r>
        <w:rPr>
          <w:rFonts w:hint="eastAsia" w:ascii="仿宋_GB2312" w:hAnsi="文星仿宋" w:eastAsia="仿宋_GB2312"/>
          <w:color w:val="000000" w:themeColor="text1"/>
          <w:sz w:val="32"/>
          <w:szCs w:val="32"/>
        </w:rPr>
        <w:t>组织专家、教育管理人员及一线教师，进一步</w:t>
      </w:r>
      <w:r>
        <w:rPr>
          <w:rFonts w:hint="eastAsia" w:ascii="仿宋_GB2312" w:eastAsia="仿宋_GB2312" w:cs="仿宋_GB2312"/>
          <w:color w:val="000000" w:themeColor="text1"/>
          <w:sz w:val="32"/>
          <w:szCs w:val="32"/>
        </w:rPr>
        <w:t>论证，反复修改完善。</w:t>
      </w:r>
      <w:r>
        <w:rPr>
          <w:rFonts w:ascii="仿宋_GB2312" w:eastAsia="仿宋_GB2312" w:cs="仿宋_GB2312"/>
          <w:color w:val="000000" w:themeColor="text1"/>
          <w:sz w:val="32"/>
          <w:szCs w:val="32"/>
        </w:rPr>
        <w:t>与</w:t>
      </w:r>
      <w:r>
        <w:rPr>
          <w:rFonts w:hint="eastAsia" w:ascii="仿宋_GB2312" w:eastAsia="仿宋_GB2312" w:cs="仿宋_GB2312"/>
          <w:color w:val="000000" w:themeColor="text1"/>
          <w:sz w:val="32"/>
          <w:szCs w:val="32"/>
        </w:rPr>
        <w:t>上级</w:t>
      </w:r>
      <w:r>
        <w:rPr>
          <w:rFonts w:ascii="仿宋_GB2312" w:eastAsia="仿宋_GB2312" w:cs="仿宋_GB2312"/>
          <w:color w:val="000000" w:themeColor="text1"/>
          <w:sz w:val="32"/>
          <w:szCs w:val="32"/>
        </w:rPr>
        <w:t>教育行政部门汇报衔接，向上级教育行政部门和</w:t>
      </w:r>
      <w:r>
        <w:rPr>
          <w:rFonts w:hint="eastAsia" w:ascii="仿宋_GB2312" w:eastAsia="仿宋_GB2312" w:cs="仿宋_GB2312"/>
          <w:color w:val="000000" w:themeColor="text1"/>
          <w:sz w:val="32"/>
          <w:szCs w:val="32"/>
        </w:rPr>
        <w:t>市“十四五”</w:t>
      </w:r>
      <w:r>
        <w:rPr>
          <w:rFonts w:ascii="仿宋_GB2312" w:eastAsia="仿宋_GB2312" w:cs="仿宋_GB2312"/>
          <w:color w:val="000000" w:themeColor="text1"/>
          <w:sz w:val="32"/>
          <w:szCs w:val="32"/>
        </w:rPr>
        <w:t>规划领导小组办公室报送规划文本</w:t>
      </w:r>
      <w:r>
        <w:rPr>
          <w:rFonts w:hint="eastAsia" w:ascii="仿宋_GB2312" w:hAnsi="文星仿宋" w:eastAsia="仿宋_GB2312"/>
          <w:color w:val="000000" w:themeColor="text1"/>
          <w:sz w:val="32"/>
          <w:szCs w:val="32"/>
        </w:rPr>
        <w:t>，保证《规划》的前瞻性、领先性、可行性。</w:t>
      </w:r>
    </w:p>
    <w:p>
      <w:pPr>
        <w:adjustRightInd w:val="0"/>
        <w:snapToGrid w:val="0"/>
        <w:spacing w:line="560" w:lineRule="exact"/>
        <w:ind w:firstLine="640" w:firstLineChars="200"/>
        <w:rPr>
          <w:rFonts w:ascii="仿宋_GB2312" w:eastAsia="仿宋_GB2312" w:cs="仿宋_GB2312"/>
          <w:color w:val="000000" w:themeColor="text1"/>
          <w:sz w:val="32"/>
          <w:szCs w:val="32"/>
        </w:rPr>
      </w:pPr>
      <w:r>
        <w:rPr>
          <w:rFonts w:hint="eastAsia" w:ascii="楷体" w:hAnsi="楷体" w:eastAsia="楷体" w:cs="仿宋_GB2312"/>
          <w:color w:val="000000" w:themeColor="text1"/>
          <w:kern w:val="0"/>
          <w:sz w:val="32"/>
          <w:szCs w:val="32"/>
        </w:rPr>
        <w:t>第四阶段为规划完成阶段。</w:t>
      </w:r>
      <w:r>
        <w:rPr>
          <w:rFonts w:ascii="仿宋_GB2312" w:eastAsia="仿宋_GB2312" w:cs="仿宋_GB2312"/>
          <w:color w:val="000000" w:themeColor="text1"/>
          <w:sz w:val="32"/>
          <w:szCs w:val="32"/>
        </w:rPr>
        <w:t>按程序报</w:t>
      </w:r>
      <w:r>
        <w:rPr>
          <w:rFonts w:hint="eastAsia" w:ascii="仿宋_GB2312" w:eastAsia="仿宋_GB2312" w:cs="仿宋_GB2312"/>
          <w:color w:val="000000" w:themeColor="text1"/>
          <w:sz w:val="32"/>
          <w:szCs w:val="32"/>
        </w:rPr>
        <w:t>区</w:t>
      </w:r>
      <w:r>
        <w:rPr>
          <w:rFonts w:ascii="仿宋_GB2312" w:eastAsia="仿宋_GB2312" w:cs="仿宋_GB2312"/>
          <w:color w:val="000000" w:themeColor="text1"/>
          <w:sz w:val="32"/>
          <w:szCs w:val="32"/>
        </w:rPr>
        <w:t>政府研究</w:t>
      </w:r>
      <w:r>
        <w:rPr>
          <w:rFonts w:hint="eastAsia" w:ascii="仿宋_GB2312" w:eastAsia="仿宋_GB2312" w:cs="仿宋_GB2312"/>
          <w:color w:val="000000" w:themeColor="text1"/>
          <w:sz w:val="32"/>
          <w:szCs w:val="32"/>
        </w:rPr>
        <w:t>审定</w:t>
      </w:r>
      <w:r>
        <w:rPr>
          <w:rFonts w:ascii="仿宋_GB2312" w:eastAsia="仿宋_GB2312" w:cs="仿宋_GB2312"/>
          <w:color w:val="000000" w:themeColor="text1"/>
          <w:sz w:val="32"/>
          <w:szCs w:val="32"/>
        </w:rPr>
        <w:t>。</w:t>
      </w:r>
    </w:p>
    <w:p>
      <w:pPr>
        <w:adjustRightInd w:val="0"/>
        <w:snapToGrid w:val="0"/>
        <w:spacing w:line="56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w:t>
      </w:r>
      <w:r>
        <w:rPr>
          <w:rFonts w:hint="eastAsia" w:ascii="黑体" w:hAnsi="黑体" w:eastAsia="黑体" w:cs="黑体"/>
          <w:color w:val="000000" w:themeColor="text1"/>
          <w:sz w:val="32"/>
          <w:szCs w:val="40"/>
        </w:rPr>
        <w:t>“十四五”时期，新区教育奋斗目标</w:t>
      </w:r>
    </w:p>
    <w:p>
      <w:pPr>
        <w:adjustRightInd w:val="0"/>
        <w:snapToGrid w:val="0"/>
        <w:spacing w:line="560" w:lineRule="exact"/>
        <w:ind w:firstLine="640" w:firstLineChars="200"/>
        <w:outlineLvl w:val="2"/>
        <w:rPr>
          <w:rFonts w:ascii="仿宋_GB2312" w:hAnsi="仿宋_GB2312" w:eastAsia="仿宋_GB2312" w:cs="仿宋_GB2312"/>
          <w:color w:val="000000" w:themeColor="text1"/>
          <w:kern w:val="0"/>
          <w:sz w:val="32"/>
          <w:szCs w:val="32"/>
        </w:rPr>
      </w:pPr>
      <w:r>
        <w:rPr>
          <w:rFonts w:hint="eastAsia" w:ascii="楷体" w:hAnsi="楷体" w:eastAsia="楷体" w:cs="仿宋_GB2312"/>
          <w:color w:val="000000" w:themeColor="text1"/>
          <w:kern w:val="0"/>
          <w:sz w:val="32"/>
          <w:szCs w:val="32"/>
        </w:rPr>
        <w:t>一是立德树人根本任务有效落实</w:t>
      </w:r>
      <w:r>
        <w:rPr>
          <w:rFonts w:hint="eastAsia" w:ascii="仿宋_GB2312" w:hAnsi="仿宋_GB2312" w:eastAsia="仿宋_GB2312" w:cs="仿宋_GB2312"/>
          <w:color w:val="000000" w:themeColor="text1"/>
          <w:kern w:val="0"/>
          <w:sz w:val="32"/>
          <w:szCs w:val="32"/>
        </w:rPr>
        <w:t>。形成凸显学段特色、相互衔接的德智体美劳“五育融合”育人体系，学生综合素养和关键能力显著增强。课程教学改革不断深化，教育教学方式更加灵活多样，教育评价体系更加科学完善。学校家庭社会协同育人机制进一步健全，形成尊重教育规律、尊重人才成长规律的浓厚氛围。</w:t>
      </w:r>
    </w:p>
    <w:p>
      <w:pPr>
        <w:adjustRightInd w:val="0"/>
        <w:snapToGrid w:val="0"/>
        <w:spacing w:line="560" w:lineRule="exact"/>
        <w:ind w:firstLine="640" w:firstLineChars="200"/>
        <w:outlineLvl w:val="2"/>
        <w:rPr>
          <w:rFonts w:ascii="仿宋_GB2312" w:hAnsi="仿宋_GB2312" w:eastAsia="仿宋_GB2312" w:cs="仿宋_GB2312"/>
          <w:color w:val="000000" w:themeColor="text1"/>
          <w:kern w:val="0"/>
          <w:sz w:val="32"/>
          <w:szCs w:val="32"/>
        </w:rPr>
      </w:pPr>
      <w:r>
        <w:rPr>
          <w:rFonts w:hint="eastAsia" w:ascii="楷体" w:hAnsi="楷体" w:eastAsia="楷体" w:cs="仿宋_GB2312"/>
          <w:color w:val="000000" w:themeColor="text1"/>
          <w:kern w:val="0"/>
          <w:sz w:val="32"/>
          <w:szCs w:val="32"/>
        </w:rPr>
        <w:t>二是基本公共教育优质均衡发展。</w:t>
      </w:r>
      <w:r>
        <w:rPr>
          <w:rFonts w:hint="eastAsia" w:ascii="仿宋_GB2312" w:hAnsi="仿宋_GB2312" w:eastAsia="仿宋_GB2312" w:cs="仿宋_GB2312"/>
          <w:color w:val="000000" w:themeColor="text1"/>
          <w:kern w:val="0"/>
          <w:sz w:val="32"/>
          <w:szCs w:val="32"/>
        </w:rPr>
        <w:t>学前教育实现优质普惠发展，保教质量明显提高。义务教育优质均衡水平持续提升，城乡、校际差异进一步缩小，乡村教育振兴取得新成效。高中阶段教育实现特色、多样发展。特殊教育达到全国领先水平。</w:t>
      </w:r>
    </w:p>
    <w:p>
      <w:pPr>
        <w:adjustRightInd w:val="0"/>
        <w:snapToGrid w:val="0"/>
        <w:spacing w:line="560" w:lineRule="exact"/>
        <w:ind w:firstLine="640" w:firstLineChars="200"/>
        <w:outlineLvl w:val="2"/>
        <w:rPr>
          <w:rFonts w:ascii="仿宋_GB2312" w:hAnsi="仿宋_GB2312" w:eastAsia="仿宋_GB2312" w:cs="仿宋_GB2312"/>
          <w:color w:val="000000" w:themeColor="text1"/>
          <w:kern w:val="0"/>
          <w:sz w:val="32"/>
          <w:szCs w:val="32"/>
        </w:rPr>
      </w:pPr>
      <w:r>
        <w:rPr>
          <w:rFonts w:hint="eastAsia" w:ascii="楷体" w:hAnsi="楷体" w:eastAsia="楷体" w:cs="仿宋_GB2312"/>
          <w:color w:val="000000" w:themeColor="text1"/>
          <w:kern w:val="0"/>
          <w:sz w:val="32"/>
          <w:szCs w:val="32"/>
        </w:rPr>
        <w:t>三是服务社会发展能力显著增强。</w:t>
      </w:r>
      <w:r>
        <w:rPr>
          <w:rFonts w:hint="eastAsia" w:ascii="仿宋_GB2312" w:hAnsi="仿宋_GB2312" w:eastAsia="仿宋_GB2312" w:cs="仿宋_GB2312"/>
          <w:color w:val="000000" w:themeColor="text1"/>
          <w:kern w:val="0"/>
          <w:sz w:val="32"/>
          <w:szCs w:val="32"/>
        </w:rPr>
        <w:t>开放融通、智慧共享的全民终身教育体系不断完善，民办教育健康持续发展，职业教育创新发展高地全面建成，校城教育融合更加深入，海洋教育、智慧教育、教育国际化特色优势进一步彰显，人才培养规模和质量与新区现代产业集群发展需要深度契合。</w:t>
      </w:r>
    </w:p>
    <w:p>
      <w:pPr>
        <w:adjustRightInd w:val="0"/>
        <w:snapToGrid w:val="0"/>
        <w:spacing w:line="560" w:lineRule="exact"/>
        <w:ind w:firstLine="640" w:firstLineChars="200"/>
        <w:outlineLvl w:val="2"/>
        <w:rPr>
          <w:color w:val="000000" w:themeColor="text1"/>
        </w:rPr>
      </w:pPr>
      <w:r>
        <w:rPr>
          <w:rFonts w:hint="eastAsia" w:ascii="楷体" w:hAnsi="楷体" w:eastAsia="楷体" w:cs="仿宋_GB2312"/>
          <w:color w:val="000000" w:themeColor="text1"/>
          <w:kern w:val="0"/>
          <w:sz w:val="32"/>
          <w:szCs w:val="32"/>
        </w:rPr>
        <w:t>四是教育治理现代化水平全面提升。</w:t>
      </w:r>
      <w:r>
        <w:rPr>
          <w:rFonts w:hint="eastAsia" w:ascii="仿宋_GB2312" w:hAnsi="仿宋_GB2312" w:eastAsia="仿宋_GB2312" w:cs="仿宋_GB2312"/>
          <w:color w:val="000000" w:themeColor="text1"/>
          <w:kern w:val="0"/>
          <w:sz w:val="32"/>
          <w:szCs w:val="32"/>
        </w:rPr>
        <w:t>教育治理体系更加完备，“管办评”制度更加科学，“放管服”改革更具成效，教育督导和行政执法机制更加完善，依法治教效能得到新提升。学校发展更加彰显精神品格，内部治理结构更加优化，办学内生活力全面激发。具有影响力的改革模式和平台项目不断形成。</w:t>
      </w:r>
    </w:p>
    <w:p>
      <w:pPr>
        <w:adjustRightInd w:val="0"/>
        <w:snapToGrid w:val="0"/>
        <w:spacing w:line="560" w:lineRule="exact"/>
        <w:ind w:firstLine="640" w:firstLineChars="200"/>
        <w:rPr>
          <w:rFonts w:hint="eastAsia" w:ascii="黑体" w:eastAsia="黑体"/>
          <w:color w:val="000000" w:themeColor="text1"/>
          <w:sz w:val="32"/>
          <w:szCs w:val="32"/>
        </w:rPr>
      </w:pPr>
      <w:r>
        <w:rPr>
          <w:rFonts w:hint="eastAsia" w:ascii="黑体" w:eastAsia="黑体"/>
          <w:color w:val="000000" w:themeColor="text1"/>
          <w:sz w:val="32"/>
          <w:szCs w:val="32"/>
        </w:rPr>
        <w:t>四、主要内容</w:t>
      </w:r>
    </w:p>
    <w:p>
      <w:pPr>
        <w:adjustRightInd w:val="0"/>
        <w:snapToGrid w:val="0"/>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 w:eastAsia="仿宋_GB2312"/>
          <w:color w:val="000000" w:themeColor="text1"/>
          <w:sz w:val="32"/>
          <w:szCs w:val="32"/>
        </w:rPr>
        <w:t>《规划》共三大部分，36个具体任务</w:t>
      </w:r>
      <w:r>
        <w:rPr>
          <w:rFonts w:hint="eastAsia" w:ascii="仿宋_GB2312" w:hAnsi="仿宋_GB2312" w:eastAsia="仿宋_GB2312" w:cs="仿宋_GB2312"/>
          <w:color w:val="000000" w:themeColor="text1"/>
          <w:kern w:val="0"/>
          <w:sz w:val="32"/>
          <w:szCs w:val="32"/>
        </w:rPr>
        <w:t>。</w:t>
      </w:r>
    </w:p>
    <w:p>
      <w:pPr>
        <w:adjustRightInd w:val="0"/>
        <w:snapToGrid w:val="0"/>
        <w:spacing w:line="560" w:lineRule="exact"/>
        <w:ind w:firstLine="640" w:firstLineChars="200"/>
        <w:outlineLvl w:val="2"/>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第一部分，包括发展基础、发展背景和总体要求。</w:t>
      </w:r>
    </w:p>
    <w:p>
      <w:pPr>
        <w:adjustRightInd w:val="0"/>
        <w:snapToGrid w:val="0"/>
        <w:spacing w:line="560" w:lineRule="exact"/>
        <w:ind w:firstLine="643" w:firstLineChars="200"/>
        <w:outlineLvl w:val="2"/>
        <w:rPr>
          <w:rFonts w:ascii="仿宋_GB2312" w:hAnsi="仿宋" w:eastAsia="仿宋_GB2312"/>
          <w:color w:val="000000" w:themeColor="text1"/>
          <w:sz w:val="32"/>
          <w:szCs w:val="32"/>
        </w:rPr>
      </w:pPr>
      <w:r>
        <w:rPr>
          <w:rFonts w:hint="eastAsia" w:ascii="仿宋_GB2312" w:eastAsia="仿宋_GB2312"/>
          <w:b/>
          <w:color w:val="000000" w:themeColor="text1"/>
          <w:sz w:val="32"/>
          <w:szCs w:val="32"/>
        </w:rPr>
        <w:t>发展基础，</w:t>
      </w:r>
      <w:r>
        <w:rPr>
          <w:rFonts w:hint="eastAsia" w:ascii="仿宋_GB2312" w:hAnsi="仿宋" w:eastAsia="仿宋_GB2312"/>
          <w:color w:val="000000" w:themeColor="text1"/>
          <w:sz w:val="32"/>
          <w:szCs w:val="32"/>
        </w:rPr>
        <w:t>“十三五”时期，新区坚持教育优先发展战略，全面深化教育综合改革，在重点领域和关键环节取得重要突破，教育现代化率先走在前列，为实现更高水平、更高质量发展奠定了坚实基础。</w:t>
      </w:r>
    </w:p>
    <w:p>
      <w:pPr>
        <w:adjustRightInd w:val="0"/>
        <w:snapToGrid w:val="0"/>
        <w:spacing w:line="560" w:lineRule="exact"/>
        <w:ind w:firstLine="643" w:firstLineChars="200"/>
        <w:outlineLvl w:val="2"/>
        <w:rPr>
          <w:rFonts w:ascii="仿宋_GB2312" w:hAnsi="仿宋_GB2312" w:eastAsia="仿宋_GB2312" w:cs="仿宋_GB2312"/>
          <w:color w:val="000000" w:themeColor="text1"/>
          <w:kern w:val="0"/>
          <w:sz w:val="32"/>
          <w:szCs w:val="32"/>
        </w:rPr>
      </w:pPr>
      <w:r>
        <w:rPr>
          <w:rFonts w:hint="eastAsia" w:ascii="仿宋_GB2312" w:eastAsia="仿宋_GB2312"/>
          <w:b/>
          <w:color w:val="000000" w:themeColor="text1"/>
          <w:sz w:val="32"/>
          <w:szCs w:val="32"/>
        </w:rPr>
        <w:t>发展背景，</w:t>
      </w:r>
      <w:r>
        <w:rPr>
          <w:rFonts w:hint="eastAsia" w:ascii="仿宋_GB2312" w:hAnsi="仿宋" w:eastAsia="仿宋_GB2312"/>
          <w:color w:val="000000" w:themeColor="text1"/>
          <w:sz w:val="32"/>
          <w:szCs w:val="32"/>
        </w:rPr>
        <w:t>“十四五”时期是新区深入践行国家战略、率先实现高质量发展的机遇期，又是加快</w:t>
      </w:r>
      <w:r>
        <w:rPr>
          <w:rFonts w:ascii="仿宋_GB2312" w:hAnsi="仿宋" w:eastAsia="仿宋_GB2312"/>
          <w:color w:val="000000" w:themeColor="text1"/>
          <w:sz w:val="32"/>
          <w:szCs w:val="32"/>
        </w:rPr>
        <w:t>打造高质量发展引领区、改革开放新高地、城市建设新标杆、宜居幸福新典范</w:t>
      </w:r>
      <w:r>
        <w:rPr>
          <w:rFonts w:hint="eastAsia" w:ascii="仿宋_GB2312" w:hAnsi="仿宋" w:eastAsia="仿宋_GB2312"/>
          <w:color w:val="000000" w:themeColor="text1"/>
          <w:sz w:val="32"/>
          <w:szCs w:val="32"/>
        </w:rPr>
        <w:t>的关键期。新</w:t>
      </w:r>
      <w:r>
        <w:rPr>
          <w:rFonts w:hint="eastAsia" w:ascii="仿宋_GB2312" w:hAnsi="仿宋_GB2312" w:eastAsia="仿宋_GB2312" w:cs="仿宋_GB2312"/>
          <w:color w:val="000000" w:themeColor="text1"/>
          <w:kern w:val="0"/>
          <w:sz w:val="32"/>
          <w:szCs w:val="32"/>
        </w:rPr>
        <w:t>的环境和形势，对增强新区教育服务能力、贡献水平和发挥先行先试作用提出了新要求。</w:t>
      </w:r>
    </w:p>
    <w:p>
      <w:pPr>
        <w:adjustRightInd w:val="0"/>
        <w:snapToGrid w:val="0"/>
        <w:spacing w:line="560" w:lineRule="exact"/>
        <w:ind w:firstLine="643" w:firstLineChars="200"/>
        <w:outlineLvl w:val="2"/>
        <w:rPr>
          <w:rFonts w:ascii="仿宋_GB2312" w:hAnsi="仿宋_GB2312" w:eastAsia="仿宋_GB2312" w:cs="仿宋_GB2312"/>
          <w:color w:val="000000" w:themeColor="text1"/>
          <w:kern w:val="21"/>
          <w:sz w:val="32"/>
          <w:szCs w:val="32"/>
        </w:rPr>
      </w:pPr>
      <w:r>
        <w:rPr>
          <w:rFonts w:hint="eastAsia" w:ascii="仿宋_GB2312" w:eastAsia="仿宋_GB2312"/>
          <w:b/>
          <w:color w:val="000000" w:themeColor="text1"/>
          <w:sz w:val="32"/>
          <w:szCs w:val="32"/>
        </w:rPr>
        <w:t>总体要求，</w:t>
      </w:r>
      <w:r>
        <w:rPr>
          <w:rFonts w:hint="eastAsia" w:ascii="仿宋_GB2312" w:hAnsi="仿宋" w:eastAsia="仿宋_GB2312"/>
          <w:color w:val="000000" w:themeColor="text1"/>
          <w:sz w:val="32"/>
          <w:szCs w:val="32"/>
        </w:rPr>
        <w:t>以习近平新时代中国特色社会主义思想为指导，深入贯彻全国、全省教育大会</w:t>
      </w:r>
      <w:r>
        <w:rPr>
          <w:rFonts w:hint="eastAsia" w:ascii="仿宋_GB2312" w:hAnsi="仿宋_GB2312" w:eastAsia="仿宋_GB2312" w:cs="仿宋_GB2312"/>
          <w:color w:val="000000" w:themeColor="text1"/>
          <w:kern w:val="0"/>
          <w:sz w:val="32"/>
          <w:szCs w:val="32"/>
        </w:rPr>
        <w:t>精神，全面贯彻党的教育方针，为新区加快建设高质量发展引领区、改革开放新高地、城市建设新标杆、宜居幸福新典范提供坚实的人才支撑和智力支持</w:t>
      </w:r>
      <w:r>
        <w:rPr>
          <w:rFonts w:hint="eastAsia" w:ascii="仿宋_GB2312" w:hAnsi="仿宋_GB2312" w:eastAsia="仿宋_GB2312" w:cs="仿宋_GB2312"/>
          <w:color w:val="000000" w:themeColor="text1"/>
          <w:kern w:val="21"/>
          <w:sz w:val="32"/>
          <w:szCs w:val="32"/>
        </w:rPr>
        <w:t>。</w:t>
      </w:r>
      <w:r>
        <w:rPr>
          <w:rFonts w:hint="eastAsia" w:ascii="仿宋_GB2312" w:hAnsi="仿宋_GB2312" w:eastAsia="仿宋_GB2312" w:cs="仿宋_GB2312"/>
          <w:color w:val="000000" w:themeColor="text1"/>
          <w:kern w:val="0"/>
          <w:sz w:val="32"/>
          <w:szCs w:val="32"/>
        </w:rPr>
        <w:t>到2025年，率先建成质量更加优质、结构更加优化、保障更加全面、服务更加高效的高质量教育体系，教育发展水平、创新力和影响力走在国家级新区前列。</w:t>
      </w:r>
    </w:p>
    <w:p>
      <w:pPr>
        <w:adjustRightInd w:val="0"/>
        <w:snapToGrid w:val="0"/>
        <w:spacing w:line="560" w:lineRule="exact"/>
        <w:ind w:firstLine="640" w:firstLineChars="200"/>
        <w:outlineLvl w:val="2"/>
        <w:rPr>
          <w:rFonts w:ascii="仿宋_GB2312" w:hAnsi="仿宋_GB2312" w:eastAsia="仿宋_GB2312" w:cs="仿宋_GB2312"/>
          <w:color w:val="000000" w:themeColor="text1"/>
          <w:kern w:val="0"/>
          <w:sz w:val="32"/>
          <w:szCs w:val="32"/>
        </w:rPr>
      </w:pPr>
      <w:r>
        <w:rPr>
          <w:rFonts w:hint="eastAsia" w:ascii="楷体" w:hAnsi="楷体" w:eastAsia="楷体" w:cs="仿宋_GB2312"/>
          <w:color w:val="000000" w:themeColor="text1"/>
          <w:kern w:val="0"/>
          <w:sz w:val="32"/>
          <w:szCs w:val="32"/>
        </w:rPr>
        <w:t>第二部分，重点工作任务。</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加强党对教育工作全面领导。</w:t>
      </w:r>
      <w:r>
        <w:rPr>
          <w:rFonts w:hint="eastAsia" w:ascii="仿宋_GB2312" w:eastAsia="仿宋_GB2312"/>
          <w:color w:val="000000" w:themeColor="text1"/>
          <w:sz w:val="32"/>
          <w:szCs w:val="32"/>
        </w:rPr>
        <w:t>强化党的领导，</w:t>
      </w:r>
      <w:r>
        <w:rPr>
          <w:rFonts w:hint="eastAsia" w:ascii="仿宋_GB2312" w:hAnsi="仿宋_GB2312" w:eastAsia="仿宋_GB2312" w:cs="仿宋_GB2312"/>
          <w:color w:val="000000" w:themeColor="text1"/>
          <w:kern w:val="0"/>
          <w:sz w:val="32"/>
          <w:szCs w:val="32"/>
        </w:rPr>
        <w:t>完善党委统一领导、党政齐抓共管、部门各负其责的教育领导体制，履行把方向、管大局、作决策、保落实的职责。</w:t>
      </w:r>
      <w:r>
        <w:rPr>
          <w:rFonts w:hint="eastAsia" w:ascii="仿宋_GB2312" w:eastAsia="仿宋_GB2312"/>
          <w:color w:val="000000" w:themeColor="text1"/>
          <w:sz w:val="32"/>
          <w:szCs w:val="32"/>
        </w:rPr>
        <w:t>提升党建质量，</w:t>
      </w:r>
      <w:r>
        <w:rPr>
          <w:rFonts w:hint="eastAsia" w:ascii="仿宋_GB2312" w:hAnsi="仿宋_GB2312" w:eastAsia="仿宋_GB2312" w:cs="仿宋_GB2312"/>
          <w:color w:val="000000" w:themeColor="text1"/>
          <w:kern w:val="0"/>
          <w:sz w:val="32"/>
          <w:szCs w:val="32"/>
        </w:rPr>
        <w:t>深入实施“一校一品”党建品牌创建，落实全面从严治党责任，加强监督执纪问责，营造风清气正的政治生态和育人环境。</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健全完善五育融合育人体系。</w:t>
      </w:r>
      <w:r>
        <w:rPr>
          <w:rFonts w:hint="eastAsia" w:ascii="仿宋_GB2312" w:eastAsia="仿宋_GB2312"/>
          <w:color w:val="000000" w:themeColor="text1"/>
          <w:sz w:val="32"/>
          <w:szCs w:val="32"/>
        </w:rPr>
        <w:t>提高道德素养，</w:t>
      </w:r>
      <w:r>
        <w:rPr>
          <w:rFonts w:hint="eastAsia" w:ascii="仿宋_GB2312" w:hAnsi="仿宋_GB2312" w:eastAsia="仿宋_GB2312" w:cs="仿宋_GB2312"/>
          <w:color w:val="000000" w:themeColor="text1"/>
          <w:kern w:val="0"/>
          <w:sz w:val="32"/>
          <w:szCs w:val="32"/>
        </w:rPr>
        <w:t>打造具有西海岸特色的全员全过程全方位“三全育人”体系。</w:t>
      </w:r>
      <w:r>
        <w:rPr>
          <w:rFonts w:hint="eastAsia" w:ascii="仿宋_GB2312" w:eastAsia="仿宋_GB2312"/>
          <w:color w:val="000000" w:themeColor="text1"/>
          <w:sz w:val="32"/>
          <w:szCs w:val="32"/>
        </w:rPr>
        <w:t>提升智育水平，</w:t>
      </w:r>
      <w:r>
        <w:rPr>
          <w:rFonts w:hint="eastAsia" w:ascii="仿宋_GB2312" w:hAnsi="仿宋_GB2312" w:eastAsia="仿宋_GB2312" w:cs="仿宋_GB2312"/>
          <w:color w:val="000000" w:themeColor="text1"/>
          <w:kern w:val="0"/>
          <w:sz w:val="32"/>
          <w:szCs w:val="32"/>
        </w:rPr>
        <w:t>着力培养学生的认知、合作、创新等关键能力。</w:t>
      </w:r>
      <w:r>
        <w:rPr>
          <w:rFonts w:hint="eastAsia" w:ascii="仿宋_GB2312" w:eastAsia="仿宋_GB2312"/>
          <w:color w:val="000000" w:themeColor="text1"/>
          <w:sz w:val="32"/>
          <w:szCs w:val="32"/>
        </w:rPr>
        <w:t>强化身心健康，</w:t>
      </w:r>
      <w:r>
        <w:rPr>
          <w:rFonts w:hint="eastAsia" w:ascii="仿宋_GB2312" w:hAnsi="仿宋_GB2312" w:eastAsia="仿宋_GB2312" w:cs="仿宋_GB2312"/>
          <w:color w:val="000000" w:themeColor="text1"/>
          <w:kern w:val="0"/>
          <w:sz w:val="32"/>
          <w:szCs w:val="32"/>
        </w:rPr>
        <w:t>健全学校健康教育工作体系。</w:t>
      </w:r>
      <w:r>
        <w:rPr>
          <w:rFonts w:hint="eastAsia" w:ascii="仿宋_GB2312" w:eastAsia="仿宋_GB2312"/>
          <w:color w:val="000000" w:themeColor="text1"/>
          <w:sz w:val="32"/>
          <w:szCs w:val="32"/>
        </w:rPr>
        <w:t>增强美育熏陶，</w:t>
      </w:r>
      <w:r>
        <w:rPr>
          <w:rFonts w:hint="eastAsia" w:ascii="仿宋_GB2312" w:hAnsi="仿宋_GB2312" w:eastAsia="仿宋_GB2312" w:cs="仿宋_GB2312"/>
          <w:color w:val="000000" w:themeColor="text1"/>
          <w:kern w:val="0"/>
          <w:sz w:val="32"/>
          <w:szCs w:val="32"/>
        </w:rPr>
        <w:t>健全面向人人的学校美育育人机制。</w:t>
      </w:r>
      <w:r>
        <w:rPr>
          <w:rFonts w:hint="eastAsia" w:ascii="仿宋_GB2312" w:eastAsia="仿宋_GB2312"/>
          <w:color w:val="000000" w:themeColor="text1"/>
          <w:sz w:val="32"/>
          <w:szCs w:val="32"/>
        </w:rPr>
        <w:t>加强劳动教育，</w:t>
      </w:r>
      <w:r>
        <w:rPr>
          <w:rFonts w:hint="eastAsia" w:ascii="仿宋_GB2312" w:hAnsi="仿宋_GB2312" w:eastAsia="仿宋_GB2312" w:cs="仿宋_GB2312"/>
          <w:color w:val="000000" w:themeColor="text1"/>
          <w:kern w:val="0"/>
          <w:sz w:val="32"/>
          <w:szCs w:val="32"/>
        </w:rPr>
        <w:t>构建家庭为基础、学校为主导、社会为支持的劳动教育体系</w:t>
      </w:r>
      <w:r>
        <w:rPr>
          <w:rFonts w:hint="eastAsia" w:ascii="仿宋_GB2312" w:eastAsia="仿宋_GB2312"/>
          <w:color w:val="000000" w:themeColor="text1"/>
          <w:sz w:val="32"/>
          <w:szCs w:val="32"/>
        </w:rPr>
        <w:t>。</w:t>
      </w:r>
    </w:p>
    <w:p>
      <w:pPr>
        <w:adjustRightInd w:val="0"/>
        <w:snapToGrid w:val="0"/>
        <w:spacing w:line="560" w:lineRule="exact"/>
        <w:ind w:firstLine="643" w:firstLineChars="200"/>
        <w:outlineLvl w:val="2"/>
        <w:rPr>
          <w:rFonts w:ascii="仿宋_GB2312" w:hAnsi="仿宋_GB2312" w:eastAsia="仿宋_GB2312" w:cs="仿宋_GB2312"/>
          <w:color w:val="000000" w:themeColor="text1"/>
          <w:kern w:val="0"/>
          <w:sz w:val="32"/>
          <w:szCs w:val="32"/>
        </w:rPr>
      </w:pPr>
      <w:r>
        <w:rPr>
          <w:rFonts w:hint="eastAsia" w:ascii="仿宋_GB2312" w:eastAsia="仿宋_GB2312"/>
          <w:b/>
          <w:color w:val="000000" w:themeColor="text1"/>
          <w:sz w:val="32"/>
          <w:szCs w:val="32"/>
        </w:rPr>
        <w:t>加快学前教育普及普惠发展</w:t>
      </w:r>
      <w:r>
        <w:rPr>
          <w:rFonts w:hint="eastAsia" w:ascii="仿宋_GB2312" w:eastAsia="仿宋_GB2312"/>
          <w:color w:val="000000" w:themeColor="text1"/>
          <w:sz w:val="32"/>
          <w:szCs w:val="32"/>
        </w:rPr>
        <w:t>。扩大普惠学位供给，</w:t>
      </w:r>
      <w:r>
        <w:rPr>
          <w:rFonts w:hint="eastAsia" w:ascii="仿宋_GB2312" w:hAnsi="仿宋_GB2312" w:eastAsia="仿宋_GB2312" w:cs="仿宋_GB2312"/>
          <w:color w:val="000000" w:themeColor="text1"/>
          <w:kern w:val="0"/>
          <w:sz w:val="32"/>
          <w:szCs w:val="32"/>
        </w:rPr>
        <w:t>到2025年，公办园在园幼儿占比达到60%，普惠性幼儿园在园幼儿占比达到90%以上。</w:t>
      </w:r>
      <w:r>
        <w:rPr>
          <w:rFonts w:hint="eastAsia" w:ascii="仿宋_GB2312" w:eastAsia="仿宋_GB2312"/>
          <w:color w:val="000000" w:themeColor="text1"/>
          <w:sz w:val="32"/>
          <w:szCs w:val="32"/>
        </w:rPr>
        <w:t>深化办园模式改革，</w:t>
      </w:r>
      <w:r>
        <w:rPr>
          <w:rFonts w:hint="eastAsia" w:ascii="仿宋_GB2312" w:hAnsi="仿宋_GB2312" w:eastAsia="仿宋_GB2312" w:cs="仿宋_GB2312"/>
          <w:color w:val="000000" w:themeColor="text1"/>
          <w:kern w:val="0"/>
          <w:sz w:val="32"/>
          <w:szCs w:val="32"/>
        </w:rPr>
        <w:t>到2025年，形成“优质带动薄弱、城区带动农村、公办带动民办”学前教育共同发展格局。</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促进义务教育优质均衡发展。</w:t>
      </w:r>
      <w:r>
        <w:rPr>
          <w:rFonts w:hint="eastAsia" w:ascii="仿宋_GB2312" w:eastAsia="仿宋_GB2312"/>
          <w:color w:val="000000" w:themeColor="text1"/>
          <w:sz w:val="32"/>
          <w:szCs w:val="32"/>
        </w:rPr>
        <w:t>优化教育资源配置，</w:t>
      </w:r>
      <w:r>
        <w:rPr>
          <w:rFonts w:hint="eastAsia" w:ascii="仿宋_GB2312" w:hAnsi="仿宋_GB2312" w:eastAsia="仿宋_GB2312" w:cs="仿宋_GB2312"/>
          <w:color w:val="000000" w:themeColor="text1"/>
          <w:kern w:val="0"/>
          <w:sz w:val="32"/>
          <w:szCs w:val="32"/>
        </w:rPr>
        <w:t>健全城乡教育资源配置机制，不断提高义务教育生均公用经费拨付标准。</w:t>
      </w:r>
      <w:r>
        <w:rPr>
          <w:rFonts w:hint="eastAsia" w:ascii="仿宋_GB2312" w:eastAsia="仿宋_GB2312"/>
          <w:color w:val="000000" w:themeColor="text1"/>
          <w:sz w:val="32"/>
          <w:szCs w:val="32"/>
        </w:rPr>
        <w:t>深化课程教学改革，</w:t>
      </w:r>
      <w:r>
        <w:rPr>
          <w:rFonts w:hint="eastAsia" w:ascii="仿宋_GB2312" w:hAnsi="仿宋_GB2312" w:eastAsia="仿宋_GB2312" w:cs="仿宋_GB2312"/>
          <w:color w:val="000000" w:themeColor="text1"/>
          <w:kern w:val="0"/>
          <w:sz w:val="32"/>
          <w:szCs w:val="32"/>
        </w:rPr>
        <w:t>改革课堂教学方式，提高课堂教学实效。</w:t>
      </w:r>
      <w:r>
        <w:rPr>
          <w:rFonts w:hint="eastAsia" w:ascii="仿宋_GB2312" w:eastAsia="仿宋_GB2312"/>
          <w:color w:val="000000" w:themeColor="text1"/>
          <w:sz w:val="32"/>
          <w:szCs w:val="32"/>
        </w:rPr>
        <w:t>提升农村教育质量，</w:t>
      </w:r>
      <w:r>
        <w:rPr>
          <w:rFonts w:hint="eastAsia" w:ascii="仿宋_GB2312" w:hAnsi="仿宋_GB2312" w:eastAsia="仿宋_GB2312" w:cs="仿宋_GB2312"/>
          <w:color w:val="000000" w:themeColor="text1"/>
          <w:kern w:val="0"/>
          <w:sz w:val="32"/>
          <w:szCs w:val="32"/>
        </w:rPr>
        <w:t>深入实施教育“强镇筑基”，建设一批质量一流的乡村学校。</w:t>
      </w:r>
      <w:r>
        <w:rPr>
          <w:rFonts w:hint="eastAsia" w:ascii="仿宋_GB2312" w:eastAsia="仿宋_GB2312"/>
          <w:color w:val="000000" w:themeColor="text1"/>
          <w:sz w:val="32"/>
          <w:szCs w:val="32"/>
        </w:rPr>
        <w:t>强化特教综合育人，</w:t>
      </w:r>
      <w:r>
        <w:rPr>
          <w:rFonts w:hint="eastAsia" w:ascii="仿宋_GB2312" w:hAnsi="仿宋_GB2312" w:eastAsia="仿宋_GB2312" w:cs="仿宋_GB2312"/>
          <w:color w:val="000000" w:themeColor="text1"/>
          <w:kern w:val="0"/>
          <w:sz w:val="32"/>
          <w:szCs w:val="32"/>
        </w:rPr>
        <w:t>完善随班就读、送教上门保障机制，全面推进融合教育</w:t>
      </w:r>
      <w:r>
        <w:rPr>
          <w:rFonts w:hint="eastAsia" w:ascii="仿宋_GB2312" w:eastAsia="仿宋_GB2312"/>
          <w:color w:val="000000" w:themeColor="text1"/>
          <w:sz w:val="32"/>
          <w:szCs w:val="32"/>
        </w:rPr>
        <w:t>。</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推进普通高中多元特色发展。</w:t>
      </w:r>
      <w:r>
        <w:rPr>
          <w:rFonts w:hint="eastAsia" w:ascii="仿宋_GB2312" w:eastAsia="仿宋_GB2312"/>
          <w:color w:val="000000" w:themeColor="text1"/>
          <w:sz w:val="32"/>
          <w:szCs w:val="32"/>
        </w:rPr>
        <w:t>推动高中特色发展，</w:t>
      </w:r>
      <w:r>
        <w:rPr>
          <w:rFonts w:hint="eastAsia" w:ascii="仿宋_GB2312" w:hAnsi="仿宋_GB2312" w:eastAsia="仿宋_GB2312" w:cs="仿宋_GB2312"/>
          <w:color w:val="000000" w:themeColor="text1"/>
          <w:kern w:val="0"/>
          <w:sz w:val="32"/>
          <w:szCs w:val="32"/>
        </w:rPr>
        <w:t>推进普通高中管理机制和办学机制改革。</w:t>
      </w:r>
      <w:r>
        <w:rPr>
          <w:rFonts w:hint="eastAsia" w:ascii="仿宋_GB2312" w:eastAsia="仿宋_GB2312"/>
          <w:color w:val="000000" w:themeColor="text1"/>
          <w:sz w:val="32"/>
          <w:szCs w:val="32"/>
        </w:rPr>
        <w:t>创新人才培养模式，</w:t>
      </w:r>
      <w:r>
        <w:rPr>
          <w:rFonts w:hint="eastAsia" w:ascii="仿宋_GB2312" w:hAnsi="仿宋_GB2312" w:eastAsia="仿宋_GB2312" w:cs="仿宋_GB2312"/>
          <w:color w:val="000000" w:themeColor="text1"/>
          <w:kern w:val="0"/>
          <w:sz w:val="32"/>
          <w:szCs w:val="32"/>
        </w:rPr>
        <w:t>实施创新人才三年一贯制培养，探索个性化教育和人才培养途径</w:t>
      </w:r>
      <w:r>
        <w:rPr>
          <w:rFonts w:hint="eastAsia" w:ascii="仿宋_GB2312" w:eastAsia="仿宋_GB2312"/>
          <w:color w:val="000000" w:themeColor="text1"/>
          <w:sz w:val="32"/>
          <w:szCs w:val="32"/>
        </w:rPr>
        <w:t>。</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加快职业教育创新融合发展。</w:t>
      </w:r>
      <w:r>
        <w:rPr>
          <w:rFonts w:hint="eastAsia" w:ascii="仿宋_GB2312" w:eastAsia="仿宋_GB2312"/>
          <w:color w:val="000000" w:themeColor="text1"/>
          <w:sz w:val="32"/>
          <w:szCs w:val="32"/>
        </w:rPr>
        <w:t>推进教育教学改革，</w:t>
      </w:r>
      <w:r>
        <w:rPr>
          <w:rFonts w:hint="eastAsia" w:ascii="仿宋_GB2312" w:hAnsi="仿宋_GB2312" w:eastAsia="仿宋_GB2312" w:cs="仿宋_GB2312"/>
          <w:color w:val="000000" w:themeColor="text1"/>
          <w:kern w:val="0"/>
          <w:sz w:val="32"/>
          <w:szCs w:val="32"/>
        </w:rPr>
        <w:t>实施教师、教材、教法“三教”改革。</w:t>
      </w:r>
      <w:r>
        <w:rPr>
          <w:rFonts w:hint="eastAsia" w:ascii="仿宋_GB2312" w:eastAsia="仿宋_GB2312"/>
          <w:color w:val="000000" w:themeColor="text1"/>
          <w:sz w:val="32"/>
          <w:szCs w:val="32"/>
        </w:rPr>
        <w:t>构建立体人才培养体系，</w:t>
      </w:r>
      <w:r>
        <w:rPr>
          <w:rFonts w:hint="eastAsia" w:ascii="仿宋_GB2312" w:hAnsi="仿宋_GB2312" w:eastAsia="仿宋_GB2312" w:cs="仿宋_GB2312"/>
          <w:color w:val="000000" w:themeColor="text1"/>
          <w:kern w:val="0"/>
          <w:sz w:val="32"/>
          <w:szCs w:val="32"/>
        </w:rPr>
        <w:t>深化现代学徒制试点，构建校企招生、培养、就业一体化育人的长效机制。</w:t>
      </w:r>
      <w:r>
        <w:rPr>
          <w:rFonts w:hint="eastAsia" w:ascii="仿宋_GB2312" w:eastAsia="仿宋_GB2312"/>
          <w:color w:val="000000" w:themeColor="text1"/>
          <w:sz w:val="32"/>
          <w:szCs w:val="32"/>
        </w:rPr>
        <w:t>提升服务经济社会能力，</w:t>
      </w:r>
      <w:r>
        <w:rPr>
          <w:rFonts w:hint="eastAsia" w:ascii="仿宋_GB2312" w:hAnsi="仿宋_GB2312" w:eastAsia="仿宋_GB2312" w:cs="仿宋_GB2312"/>
          <w:color w:val="000000" w:themeColor="text1"/>
          <w:kern w:val="0"/>
          <w:sz w:val="32"/>
          <w:szCs w:val="32"/>
        </w:rPr>
        <w:t>支持建设高水平、专业化产教融合型企业和实训基地</w:t>
      </w:r>
      <w:r>
        <w:rPr>
          <w:rFonts w:hint="eastAsia" w:ascii="仿宋_GB2312" w:eastAsia="仿宋_GB2312"/>
          <w:color w:val="000000" w:themeColor="text1"/>
          <w:sz w:val="32"/>
          <w:szCs w:val="32"/>
        </w:rPr>
        <w:t>。</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推进校城产教融合创新发展。</w:t>
      </w:r>
      <w:r>
        <w:rPr>
          <w:rFonts w:hint="eastAsia" w:ascii="仿宋_GB2312" w:eastAsia="仿宋_GB2312"/>
          <w:color w:val="000000" w:themeColor="text1"/>
          <w:sz w:val="32"/>
          <w:szCs w:val="32"/>
        </w:rPr>
        <w:t>扩增高等教育资源，</w:t>
      </w:r>
      <w:r>
        <w:rPr>
          <w:rFonts w:hint="eastAsia" w:ascii="仿宋_GB2312" w:hAnsi="仿宋_GB2312" w:eastAsia="仿宋_GB2312" w:cs="仿宋_GB2312"/>
          <w:color w:val="000000" w:themeColor="text1"/>
          <w:kern w:val="0"/>
          <w:sz w:val="32"/>
          <w:szCs w:val="32"/>
        </w:rPr>
        <w:t>完善高等教育机构服务保障机制，统筹抓好高校安全稳定工作。</w:t>
      </w:r>
      <w:r>
        <w:rPr>
          <w:rFonts w:hint="eastAsia" w:ascii="仿宋_GB2312" w:eastAsia="仿宋_GB2312"/>
          <w:color w:val="000000" w:themeColor="text1"/>
          <w:sz w:val="32"/>
          <w:szCs w:val="32"/>
        </w:rPr>
        <w:t>推进校城深度融合，</w:t>
      </w:r>
      <w:r>
        <w:rPr>
          <w:rFonts w:hint="eastAsia" w:ascii="仿宋_GB2312" w:hAnsi="仿宋_GB2312" w:eastAsia="仿宋_GB2312" w:cs="仿宋_GB2312"/>
          <w:color w:val="000000" w:themeColor="text1"/>
          <w:kern w:val="0"/>
          <w:sz w:val="32"/>
          <w:szCs w:val="32"/>
        </w:rPr>
        <w:t>实施高校产教融合示范专业建设，促进专业建设与产业发展深度融合。</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打造服务全民终身教育体系。</w:t>
      </w:r>
      <w:r>
        <w:rPr>
          <w:rFonts w:hint="eastAsia" w:ascii="仿宋_GB2312" w:eastAsia="仿宋_GB2312"/>
          <w:color w:val="000000" w:themeColor="text1"/>
          <w:sz w:val="32"/>
          <w:szCs w:val="32"/>
        </w:rPr>
        <w:t>完善终身教育服务网络，</w:t>
      </w:r>
      <w:r>
        <w:rPr>
          <w:rFonts w:hint="eastAsia" w:ascii="仿宋_GB2312" w:hAnsi="仿宋_GB2312" w:eastAsia="仿宋_GB2312" w:cs="仿宋_GB2312"/>
          <w:color w:val="000000" w:themeColor="text1"/>
          <w:kern w:val="0"/>
          <w:sz w:val="32"/>
          <w:szCs w:val="32"/>
        </w:rPr>
        <w:t>加强继续教育与普通教育、职业教育的统筹协调和融合发展。</w:t>
      </w:r>
      <w:r>
        <w:rPr>
          <w:rFonts w:hint="eastAsia" w:ascii="仿宋_GB2312" w:eastAsia="仿宋_GB2312"/>
          <w:color w:val="000000" w:themeColor="text1"/>
          <w:sz w:val="32"/>
          <w:szCs w:val="32"/>
        </w:rPr>
        <w:t>打造社区教育特色品牌，</w:t>
      </w:r>
      <w:r>
        <w:rPr>
          <w:rFonts w:hint="eastAsia" w:ascii="仿宋_GB2312" w:hAnsi="仿宋_GB2312" w:eastAsia="仿宋_GB2312" w:cs="仿宋_GB2312"/>
          <w:color w:val="000000" w:themeColor="text1"/>
          <w:kern w:val="0"/>
          <w:sz w:val="32"/>
          <w:szCs w:val="32"/>
        </w:rPr>
        <w:t>到2025年创建30个市级以上社区教育品牌。</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建设新时代高水平教师队伍。</w:t>
      </w:r>
      <w:r>
        <w:rPr>
          <w:rFonts w:hint="eastAsia" w:ascii="仿宋_GB2312" w:eastAsia="仿宋_GB2312"/>
          <w:color w:val="000000" w:themeColor="text1"/>
          <w:sz w:val="32"/>
          <w:szCs w:val="32"/>
        </w:rPr>
        <w:t>强化师德师风建设，</w:t>
      </w:r>
      <w:r>
        <w:rPr>
          <w:rFonts w:hint="eastAsia" w:ascii="仿宋_GB2312" w:hAnsi="仿宋_GB2312" w:eastAsia="仿宋_GB2312" w:cs="仿宋_GB2312"/>
          <w:color w:val="000000" w:themeColor="text1"/>
          <w:kern w:val="0"/>
          <w:sz w:val="32"/>
          <w:szCs w:val="32"/>
        </w:rPr>
        <w:t>健全考核激励、监督举报、诚信承诺和失信惩戒机制。</w:t>
      </w:r>
      <w:r>
        <w:rPr>
          <w:rFonts w:hint="eastAsia" w:ascii="仿宋_GB2312" w:eastAsia="仿宋_GB2312"/>
          <w:color w:val="000000" w:themeColor="text1"/>
          <w:sz w:val="32"/>
          <w:szCs w:val="32"/>
        </w:rPr>
        <w:t>优化师资队伍结构，</w:t>
      </w:r>
      <w:r>
        <w:rPr>
          <w:rFonts w:hint="eastAsia" w:ascii="仿宋_GB2312" w:hAnsi="仿宋_GB2312" w:eastAsia="仿宋_GB2312" w:cs="仿宋_GB2312"/>
          <w:color w:val="000000" w:themeColor="text1"/>
          <w:kern w:val="0"/>
          <w:sz w:val="32"/>
          <w:szCs w:val="32"/>
        </w:rPr>
        <w:t>逐步解决教师结构性、阶段性、区域性短缺问题。</w:t>
      </w:r>
      <w:r>
        <w:rPr>
          <w:rFonts w:hint="eastAsia" w:ascii="仿宋_GB2312" w:eastAsia="仿宋_GB2312"/>
          <w:color w:val="000000" w:themeColor="text1"/>
          <w:sz w:val="32"/>
          <w:szCs w:val="32"/>
        </w:rPr>
        <w:t>提升教师专业素养，</w:t>
      </w:r>
      <w:r>
        <w:rPr>
          <w:rFonts w:hint="eastAsia" w:ascii="仿宋_GB2312" w:hAnsi="仿宋_GB2312" w:eastAsia="仿宋_GB2312" w:cs="仿宋_GB2312"/>
          <w:color w:val="000000" w:themeColor="text1"/>
          <w:kern w:val="0"/>
          <w:sz w:val="32"/>
          <w:szCs w:val="32"/>
        </w:rPr>
        <w:t>强化教师队伍分层分类全员培训。</w:t>
      </w:r>
      <w:r>
        <w:rPr>
          <w:rFonts w:hint="eastAsia" w:ascii="仿宋_GB2312" w:eastAsia="仿宋_GB2312"/>
          <w:color w:val="000000" w:themeColor="text1"/>
          <w:sz w:val="32"/>
          <w:szCs w:val="32"/>
        </w:rPr>
        <w:t>完善教师保障机制，</w:t>
      </w:r>
      <w:r>
        <w:rPr>
          <w:rFonts w:hint="eastAsia" w:ascii="仿宋_GB2312" w:hAnsi="仿宋_GB2312" w:eastAsia="仿宋_GB2312" w:cs="仿宋_GB2312"/>
          <w:color w:val="000000" w:themeColor="text1"/>
          <w:kern w:val="0"/>
          <w:sz w:val="32"/>
          <w:szCs w:val="32"/>
        </w:rPr>
        <w:t>建立符合经济社会发展水平和新区教育特点的教师工资稳定增长机制。</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全面推动教育信息化新应用。</w:t>
      </w:r>
      <w:r>
        <w:rPr>
          <w:rFonts w:hint="eastAsia" w:ascii="仿宋_GB2312" w:eastAsia="仿宋_GB2312"/>
          <w:color w:val="000000" w:themeColor="text1"/>
          <w:sz w:val="32"/>
          <w:szCs w:val="32"/>
        </w:rPr>
        <w:t>优化智慧教育环境，</w:t>
      </w:r>
      <w:r>
        <w:rPr>
          <w:rFonts w:hint="eastAsia" w:ascii="仿宋_GB2312" w:hAnsi="仿宋_GB2312" w:eastAsia="仿宋_GB2312" w:cs="仿宋_GB2312"/>
          <w:color w:val="000000" w:themeColor="text1"/>
          <w:kern w:val="0"/>
          <w:sz w:val="32"/>
          <w:szCs w:val="32"/>
        </w:rPr>
        <w:t>高水平建设山东省智慧教育示范区。</w:t>
      </w:r>
      <w:r>
        <w:rPr>
          <w:rFonts w:hint="eastAsia" w:ascii="仿宋_GB2312" w:eastAsia="仿宋_GB2312"/>
          <w:color w:val="000000" w:themeColor="text1"/>
          <w:sz w:val="32"/>
          <w:szCs w:val="32"/>
        </w:rPr>
        <w:t>扩大优质资源共享，</w:t>
      </w:r>
      <w:r>
        <w:rPr>
          <w:rFonts w:ascii="仿宋_GB2312" w:hAnsi="仿宋_GB2312" w:eastAsia="仿宋_GB2312" w:cs="仿宋_GB2312"/>
          <w:color w:val="000000" w:themeColor="text1"/>
          <w:sz w:val="32"/>
          <w:szCs w:val="32"/>
        </w:rPr>
        <w:t>建立优质资源供给新模式和共建共享新机制</w:t>
      </w:r>
      <w:r>
        <w:rPr>
          <w:rFonts w:hint="eastAsia" w:ascii="仿宋_GB2312" w:hAnsi="仿宋_GB2312" w:eastAsia="仿宋_GB2312" w:cs="仿宋_GB2312"/>
          <w:color w:val="000000" w:themeColor="text1"/>
          <w:sz w:val="32"/>
          <w:szCs w:val="32"/>
        </w:rPr>
        <w:t>。</w:t>
      </w:r>
      <w:r>
        <w:rPr>
          <w:rFonts w:hint="eastAsia" w:ascii="仿宋_GB2312" w:eastAsia="仿宋_GB2312"/>
          <w:color w:val="000000" w:themeColor="text1"/>
          <w:sz w:val="32"/>
          <w:szCs w:val="32"/>
        </w:rPr>
        <w:t>加强信息素养培育，</w:t>
      </w:r>
      <w:r>
        <w:rPr>
          <w:rFonts w:hint="eastAsia" w:ascii="仿宋_GB2312" w:hAnsi="仿宋_GB2312" w:eastAsia="仿宋_GB2312" w:cs="仿宋_GB2312"/>
          <w:color w:val="000000" w:themeColor="text1"/>
          <w:kern w:val="0"/>
          <w:sz w:val="32"/>
          <w:szCs w:val="32"/>
        </w:rPr>
        <w:t>推进中小学信息科技课程建设，构建教师信息化素养发展机制。</w:t>
      </w:r>
      <w:r>
        <w:rPr>
          <w:rFonts w:hint="eastAsia" w:ascii="仿宋_GB2312" w:eastAsia="仿宋_GB2312"/>
          <w:color w:val="000000" w:themeColor="text1"/>
          <w:sz w:val="32"/>
          <w:szCs w:val="32"/>
        </w:rPr>
        <w:t>创新智慧教育应用，</w:t>
      </w:r>
      <w:r>
        <w:rPr>
          <w:rFonts w:hint="eastAsia" w:ascii="仿宋_GB2312" w:hAnsi="仿宋_GB2312" w:eastAsia="仿宋_GB2312" w:cs="仿宋_GB2312"/>
          <w:color w:val="000000" w:themeColor="text1"/>
          <w:kern w:val="0"/>
          <w:sz w:val="32"/>
          <w:szCs w:val="32"/>
        </w:rPr>
        <w:t>推动新技术与教育教学深度融合</w:t>
      </w:r>
      <w:r>
        <w:rPr>
          <w:rFonts w:hint="eastAsia" w:ascii="仿宋_GB2312" w:eastAsia="仿宋_GB2312"/>
          <w:color w:val="000000" w:themeColor="text1"/>
          <w:sz w:val="32"/>
          <w:szCs w:val="32"/>
        </w:rPr>
        <w:t>。</w:t>
      </w:r>
    </w:p>
    <w:p>
      <w:pPr>
        <w:adjustRightInd w:val="0"/>
        <w:snapToGrid w:val="0"/>
        <w:spacing w:line="560" w:lineRule="exact"/>
        <w:ind w:firstLine="643" w:firstLineChars="200"/>
        <w:outlineLvl w:val="2"/>
        <w:rPr>
          <w:rFonts w:ascii="仿宋_GB2312" w:eastAsia="仿宋_GB2312"/>
          <w:color w:val="000000" w:themeColor="text1"/>
          <w:sz w:val="32"/>
          <w:szCs w:val="32"/>
        </w:rPr>
      </w:pPr>
      <w:r>
        <w:rPr>
          <w:rFonts w:hint="eastAsia" w:ascii="仿宋_GB2312" w:eastAsia="仿宋_GB2312"/>
          <w:b/>
          <w:color w:val="000000" w:themeColor="text1"/>
          <w:sz w:val="32"/>
          <w:szCs w:val="32"/>
        </w:rPr>
        <w:t>加快推进教育国际化新发展。</w:t>
      </w:r>
      <w:r>
        <w:rPr>
          <w:rFonts w:hint="eastAsia" w:ascii="仿宋_GB2312" w:eastAsia="仿宋_GB2312"/>
          <w:color w:val="000000" w:themeColor="text1"/>
          <w:sz w:val="32"/>
          <w:szCs w:val="32"/>
        </w:rPr>
        <w:t>培养高素质国际化人才，</w:t>
      </w:r>
      <w:r>
        <w:rPr>
          <w:rFonts w:hint="eastAsia" w:ascii="仿宋_GB2312" w:hAnsi="仿宋_GB2312" w:eastAsia="仿宋_GB2312" w:cs="仿宋_GB2312"/>
          <w:color w:val="000000" w:themeColor="text1"/>
          <w:kern w:val="0"/>
          <w:sz w:val="32"/>
          <w:szCs w:val="32"/>
        </w:rPr>
        <w:t>探索建立学段对口贯通的国际化人才培养体系，加快推进教育部中外人文交流特色学校创建。</w:t>
      </w:r>
      <w:r>
        <w:rPr>
          <w:rFonts w:hint="eastAsia" w:ascii="仿宋_GB2312" w:eastAsia="仿宋_GB2312"/>
          <w:color w:val="000000" w:themeColor="text1"/>
          <w:sz w:val="32"/>
          <w:szCs w:val="32"/>
        </w:rPr>
        <w:t>促进教育国际合作，</w:t>
      </w:r>
      <w:r>
        <w:rPr>
          <w:rFonts w:hint="eastAsia" w:ascii="仿宋_GB2312" w:hAnsi="仿宋_GB2312" w:eastAsia="仿宋_GB2312" w:cs="仿宋_GB2312"/>
          <w:color w:val="000000" w:themeColor="text1"/>
          <w:kern w:val="0"/>
          <w:sz w:val="32"/>
          <w:szCs w:val="32"/>
        </w:rPr>
        <w:t>支持中外高水平合作办学项目，加强职业院校与国外院校合作</w:t>
      </w:r>
      <w:r>
        <w:rPr>
          <w:rFonts w:hint="eastAsia" w:ascii="仿宋_GB2312" w:eastAsia="仿宋_GB2312"/>
          <w:color w:val="000000" w:themeColor="text1"/>
          <w:sz w:val="32"/>
          <w:szCs w:val="32"/>
        </w:rPr>
        <w:t>。</w:t>
      </w:r>
    </w:p>
    <w:p>
      <w:pPr>
        <w:adjustRightInd w:val="0"/>
        <w:snapToGrid w:val="0"/>
        <w:spacing w:line="560" w:lineRule="exact"/>
        <w:ind w:firstLine="643" w:firstLineChars="200"/>
        <w:outlineLvl w:val="2"/>
        <w:rPr>
          <w:rFonts w:ascii="仿宋_GB2312" w:hAnsi="仿宋_GB2312" w:eastAsia="仿宋_GB2312" w:cs="仿宋_GB2312"/>
          <w:b/>
          <w:bCs/>
          <w:color w:val="000000" w:themeColor="text1"/>
          <w:kern w:val="21"/>
          <w:sz w:val="32"/>
          <w:szCs w:val="32"/>
        </w:rPr>
      </w:pPr>
      <w:r>
        <w:rPr>
          <w:rFonts w:hint="eastAsia" w:ascii="仿宋_GB2312" w:eastAsia="仿宋_GB2312"/>
          <w:b/>
          <w:color w:val="000000" w:themeColor="text1"/>
          <w:sz w:val="32"/>
          <w:szCs w:val="32"/>
        </w:rPr>
        <w:t>全面提升教育治理能力水平。</w:t>
      </w:r>
      <w:r>
        <w:rPr>
          <w:rFonts w:hint="eastAsia" w:ascii="仿宋_GB2312" w:eastAsia="仿宋_GB2312"/>
          <w:color w:val="000000" w:themeColor="text1"/>
          <w:sz w:val="32"/>
          <w:szCs w:val="32"/>
        </w:rPr>
        <w:t>建立多元参与教育治理机制，</w:t>
      </w:r>
      <w:r>
        <w:rPr>
          <w:rFonts w:hint="eastAsia" w:ascii="仿宋_GB2312" w:hAnsi="仿宋_GB2312" w:eastAsia="仿宋_GB2312" w:cs="仿宋_GB2312"/>
          <w:color w:val="000000" w:themeColor="text1"/>
          <w:kern w:val="0"/>
          <w:sz w:val="32"/>
          <w:szCs w:val="32"/>
        </w:rPr>
        <w:t>完善多部门合作联动的教育治理常态机制。</w:t>
      </w:r>
      <w:r>
        <w:rPr>
          <w:rFonts w:hint="eastAsia" w:ascii="仿宋_GB2312" w:eastAsia="仿宋_GB2312"/>
          <w:color w:val="000000" w:themeColor="text1"/>
          <w:sz w:val="32"/>
          <w:szCs w:val="32"/>
        </w:rPr>
        <w:t>强化教育督导机制建设，</w:t>
      </w:r>
      <w:r>
        <w:rPr>
          <w:rFonts w:hint="eastAsia" w:ascii="仿宋_GB2312" w:hAnsi="仿宋_GB2312" w:eastAsia="仿宋_GB2312" w:cs="仿宋_GB2312"/>
          <w:color w:val="000000" w:themeColor="text1"/>
          <w:kern w:val="0"/>
          <w:sz w:val="32"/>
          <w:szCs w:val="32"/>
        </w:rPr>
        <w:t>健全各类学校幼儿园办学质量常态化督导评估机制。</w:t>
      </w:r>
      <w:r>
        <w:rPr>
          <w:rFonts w:hint="eastAsia" w:ascii="仿宋_GB2312" w:eastAsia="仿宋_GB2312"/>
          <w:color w:val="000000" w:themeColor="text1"/>
          <w:sz w:val="32"/>
          <w:szCs w:val="32"/>
        </w:rPr>
        <w:t>促进民办教育规范发展，</w:t>
      </w:r>
      <w:r>
        <w:rPr>
          <w:rFonts w:hint="eastAsia" w:ascii="仿宋_GB2312" w:hAnsi="仿宋_GB2312" w:eastAsia="仿宋_GB2312" w:cs="仿宋_GB2312"/>
          <w:color w:val="000000" w:themeColor="text1"/>
          <w:kern w:val="0"/>
          <w:sz w:val="32"/>
          <w:szCs w:val="32"/>
        </w:rPr>
        <w:t>建立教学常态化指导、评估机制</w:t>
      </w:r>
      <w:r>
        <w:rPr>
          <w:rFonts w:hint="eastAsia" w:ascii="仿宋_GB2312" w:eastAsia="仿宋_GB2312"/>
          <w:color w:val="000000" w:themeColor="text1"/>
          <w:sz w:val="32"/>
          <w:szCs w:val="32"/>
        </w:rPr>
        <w:t>。</w:t>
      </w:r>
    </w:p>
    <w:p>
      <w:pPr>
        <w:adjustRightInd w:val="0"/>
        <w:snapToGrid w:val="0"/>
        <w:spacing w:line="560" w:lineRule="exact"/>
        <w:ind w:firstLine="640" w:firstLineChars="200"/>
        <w:outlineLvl w:val="2"/>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第三部分，十二大重点工程。</w:t>
      </w:r>
    </w:p>
    <w:p>
      <w:pPr>
        <w:adjustRightInd w:val="0"/>
        <w:snapToGrid w:val="0"/>
        <w:spacing w:line="560" w:lineRule="exact"/>
        <w:ind w:firstLine="640" w:firstLineChars="200"/>
        <w:outlineLvl w:val="2"/>
        <w:rPr>
          <w:rFonts w:ascii="仿宋_GB2312" w:hAnsi="仿宋_GB2312" w:eastAsia="仿宋_GB2312" w:cs="仿宋_GB2312"/>
          <w:color w:val="000000" w:themeColor="text1"/>
          <w:kern w:val="0"/>
          <w:sz w:val="32"/>
          <w:szCs w:val="32"/>
        </w:rPr>
      </w:pPr>
      <w:r>
        <w:rPr>
          <w:rFonts w:hint="eastAsia" w:ascii="仿宋_GB2312" w:eastAsia="仿宋_GB2312"/>
          <w:color w:val="000000" w:themeColor="text1"/>
          <w:sz w:val="32"/>
          <w:szCs w:val="32"/>
        </w:rPr>
        <w:t>包括</w:t>
      </w:r>
      <w:r>
        <w:rPr>
          <w:rFonts w:hint="eastAsia" w:ascii="仿宋_GB2312" w:hAnsi="仿宋_GB2312" w:eastAsia="仿宋_GB2312" w:cs="仿宋_GB2312"/>
          <w:color w:val="000000" w:themeColor="text1"/>
          <w:kern w:val="0"/>
          <w:sz w:val="32"/>
          <w:szCs w:val="32"/>
        </w:rPr>
        <w:t>立德树人支点工程、教学质量提升工程、集团化办学内涵建设工程、高中优质多样发展工程、名师名校长雁阵工程、家校合作攻关工程、教育生态雨林工程、现代学校制度赋能建设工程、学区管理建设工程、智慧教育2.0工程、高校基础教育联合育人工程、教育设施建设工程。</w:t>
      </w:r>
    </w:p>
    <w:p>
      <w:pPr>
        <w:adjustRightInd w:val="0"/>
        <w:snapToGrid w:val="0"/>
        <w:spacing w:line="560" w:lineRule="exact"/>
        <w:ind w:firstLine="640" w:firstLineChars="200"/>
        <w:rPr>
          <w:rFonts w:eastAsia="黑体"/>
          <w:color w:val="000000" w:themeColor="text1"/>
        </w:rPr>
      </w:pPr>
      <w:r>
        <w:rPr>
          <w:rFonts w:hint="eastAsia" w:ascii="黑体" w:eastAsia="黑体"/>
          <w:color w:val="000000" w:themeColor="text1"/>
          <w:sz w:val="32"/>
          <w:szCs w:val="32"/>
        </w:rPr>
        <w:t>五、保障措施</w:t>
      </w:r>
    </w:p>
    <w:p>
      <w:pPr>
        <w:adjustRightInd w:val="0"/>
        <w:snapToGrid w:val="0"/>
        <w:spacing w:line="560" w:lineRule="exact"/>
        <w:ind w:firstLine="640" w:firstLineChars="200"/>
        <w:outlineLvl w:val="1"/>
        <w:rPr>
          <w:rFonts w:ascii="仿宋_GB2312" w:hAnsi="仿宋_GB2312" w:eastAsia="仿宋_GB2312" w:cs="仿宋_GB2312"/>
          <w:color w:val="000000" w:themeColor="text1"/>
          <w:kern w:val="0"/>
          <w:sz w:val="32"/>
          <w:szCs w:val="32"/>
        </w:rPr>
      </w:pPr>
      <w:bookmarkStart w:id="0" w:name="_Toc14783_WPSOffice_Level2"/>
      <w:bookmarkStart w:id="1" w:name="_Toc20719"/>
      <w:bookmarkStart w:id="2" w:name="_Toc22056"/>
      <w:bookmarkStart w:id="3" w:name="_Toc8444"/>
      <w:bookmarkStart w:id="4" w:name="_Toc28124"/>
      <w:bookmarkStart w:id="5" w:name="_Toc9665"/>
      <w:bookmarkStart w:id="6" w:name="_Toc16815"/>
      <w:r>
        <w:rPr>
          <w:rFonts w:hint="eastAsia" w:ascii="楷体_GB2312" w:hAnsi="楷体_GB2312" w:eastAsia="楷体_GB2312" w:cs="楷体_GB2312"/>
          <w:color w:val="000000" w:themeColor="text1"/>
          <w:kern w:val="0"/>
          <w:sz w:val="32"/>
          <w:szCs w:val="32"/>
        </w:rPr>
        <w:t>加强组织领导</w:t>
      </w:r>
      <w:bookmarkEnd w:id="0"/>
      <w:bookmarkEnd w:id="1"/>
      <w:bookmarkEnd w:id="2"/>
      <w:bookmarkEnd w:id="3"/>
      <w:bookmarkEnd w:id="4"/>
      <w:bookmarkEnd w:id="5"/>
      <w:bookmarkEnd w:id="6"/>
      <w:r>
        <w:rPr>
          <w:rFonts w:hint="eastAsia" w:ascii="楷体_GB2312" w:hAnsi="楷体_GB2312" w:eastAsia="楷体_GB2312" w:cs="楷体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实行区政府统一领导、多部门协同推进的规划实施机制。优化区委教育工作领导小组运行机制，建立规划实施情况定期发布制度，推动规划落地。健全教育战略咨询机制，加强教育高质量发展重大前瞻性、战略性问题研究咨询。</w:t>
      </w:r>
      <w:bookmarkStart w:id="7" w:name="_Toc15936_WPSOffice_Level2"/>
      <w:bookmarkStart w:id="8" w:name="_Toc9619"/>
      <w:bookmarkStart w:id="9" w:name="_Toc27878"/>
      <w:bookmarkStart w:id="10" w:name="_Toc28225"/>
      <w:bookmarkStart w:id="11" w:name="_Toc31962"/>
      <w:bookmarkStart w:id="12" w:name="_Toc4848"/>
      <w:bookmarkStart w:id="13" w:name="_Toc24437"/>
      <w:r>
        <w:rPr>
          <w:rFonts w:hint="eastAsia" w:ascii="仿宋_GB2312" w:hAnsi="仿宋_GB2312" w:eastAsia="仿宋_GB2312" w:cs="仿宋_GB2312"/>
          <w:color w:val="000000" w:themeColor="text1"/>
          <w:kern w:val="0"/>
          <w:sz w:val="32"/>
          <w:szCs w:val="32"/>
        </w:rPr>
        <w:t>做好教育规划与人才、科技、产业等专项规划的衔接。</w:t>
      </w:r>
    </w:p>
    <w:bookmarkEnd w:id="7"/>
    <w:p>
      <w:pPr>
        <w:adjustRightInd w:val="0"/>
        <w:snapToGrid w:val="0"/>
        <w:spacing w:line="560" w:lineRule="exact"/>
        <w:ind w:firstLine="640" w:firstLineChars="200"/>
        <w:outlineLvl w:val="1"/>
        <w:rPr>
          <w:rFonts w:ascii="仿宋_GB2312" w:hAnsi="仿宋_GB2312" w:eastAsia="仿宋_GB2312" w:cs="仿宋_GB2312"/>
          <w:color w:val="000000" w:themeColor="text1"/>
          <w:kern w:val="0"/>
          <w:sz w:val="32"/>
          <w:szCs w:val="32"/>
        </w:rPr>
      </w:pPr>
      <w:r>
        <w:rPr>
          <w:rFonts w:hint="eastAsia" w:ascii="楷体_GB2312" w:hAnsi="楷体_GB2312" w:eastAsia="楷体_GB2312" w:cs="楷体_GB2312"/>
          <w:color w:val="000000" w:themeColor="text1"/>
          <w:kern w:val="0"/>
          <w:sz w:val="32"/>
          <w:szCs w:val="32"/>
        </w:rPr>
        <w:t>落实发展责任</w:t>
      </w:r>
      <w:bookmarkEnd w:id="8"/>
      <w:bookmarkEnd w:id="9"/>
      <w:bookmarkEnd w:id="10"/>
      <w:bookmarkEnd w:id="11"/>
      <w:bookmarkEnd w:id="12"/>
      <w:bookmarkEnd w:id="13"/>
      <w:r>
        <w:rPr>
          <w:rFonts w:hint="eastAsia" w:ascii="楷体_GB2312" w:hAnsi="楷体_GB2312" w:eastAsia="楷体_GB2312" w:cs="楷体_GB2312"/>
          <w:color w:val="000000" w:themeColor="text1"/>
          <w:kern w:val="0"/>
          <w:sz w:val="32"/>
          <w:szCs w:val="32"/>
        </w:rPr>
        <w:t>。</w:t>
      </w:r>
      <w:bookmarkStart w:id="14" w:name="_Toc30978"/>
      <w:r>
        <w:rPr>
          <w:rFonts w:hint="eastAsia" w:ascii="仿宋_GB2312" w:hAnsi="仿宋_GB2312" w:eastAsia="仿宋_GB2312" w:cs="仿宋_GB2312"/>
          <w:color w:val="000000" w:themeColor="text1"/>
          <w:kern w:val="0"/>
          <w:sz w:val="32"/>
          <w:szCs w:val="32"/>
        </w:rPr>
        <w:t>科学制定配套政策，确保</w:t>
      </w:r>
      <w:bookmarkStart w:id="23" w:name="_GoBack"/>
      <w:r>
        <w:rPr>
          <w:rFonts w:hint="eastAsia" w:ascii="仿宋_GB2312" w:hAnsi="仿宋_GB2312" w:eastAsia="仿宋_GB2312" w:cs="仿宋_GB2312"/>
          <w:color w:val="000000" w:themeColor="text1"/>
          <w:kern w:val="0"/>
          <w:sz w:val="32"/>
          <w:szCs w:val="32"/>
        </w:rPr>
        <w:t>“十四五”</w:t>
      </w:r>
      <w:bookmarkEnd w:id="23"/>
      <w:r>
        <w:rPr>
          <w:rFonts w:hint="eastAsia" w:ascii="仿宋_GB2312" w:hAnsi="仿宋_GB2312" w:eastAsia="仿宋_GB2312" w:cs="仿宋_GB2312"/>
          <w:color w:val="000000" w:themeColor="text1"/>
          <w:kern w:val="0"/>
          <w:sz w:val="32"/>
          <w:szCs w:val="32"/>
        </w:rPr>
        <w:t>教育事业发展规划目标、任务完成。健全财政教育投入稳定增长机制，严格落实“两个只增不减”要求。实行生均公用经费拨款标准动态调整，健全学生资助政策体系。</w:t>
      </w:r>
      <w:bookmarkEnd w:id="14"/>
      <w:bookmarkStart w:id="15" w:name="_Toc8325_WPSOffice_Level2"/>
      <w:r>
        <w:rPr>
          <w:rFonts w:hint="eastAsia" w:ascii="仿宋_GB2312" w:hAnsi="仿宋_GB2312" w:eastAsia="仿宋_GB2312" w:cs="仿宋_GB2312"/>
          <w:color w:val="000000" w:themeColor="text1"/>
          <w:kern w:val="0"/>
          <w:sz w:val="32"/>
          <w:szCs w:val="32"/>
        </w:rPr>
        <w:t>统筹做好土地供给和学校建设工作，规划新建、改扩建学校的教育用地。</w:t>
      </w:r>
      <w:bookmarkStart w:id="16" w:name="_Toc8155"/>
      <w:bookmarkStart w:id="17" w:name="_Toc6875"/>
      <w:bookmarkStart w:id="18" w:name="_Toc26689"/>
      <w:bookmarkStart w:id="19" w:name="_Toc3175"/>
      <w:bookmarkStart w:id="20" w:name="_Toc10682"/>
      <w:bookmarkStart w:id="21" w:name="_Toc7708"/>
    </w:p>
    <w:p>
      <w:pPr>
        <w:adjustRightInd w:val="0"/>
        <w:snapToGrid w:val="0"/>
        <w:spacing w:line="560" w:lineRule="exact"/>
        <w:ind w:firstLine="640" w:firstLineChars="200"/>
        <w:outlineLvl w:val="1"/>
        <w:rPr>
          <w:rFonts w:ascii="仿宋_GB2312" w:hAnsi="仿宋_GB2312" w:eastAsia="仿宋_GB2312" w:cs="仿宋_GB2312"/>
          <w:color w:val="000000" w:themeColor="text1"/>
          <w:kern w:val="0"/>
          <w:sz w:val="32"/>
          <w:szCs w:val="32"/>
        </w:rPr>
      </w:pPr>
      <w:r>
        <w:rPr>
          <w:rFonts w:hint="eastAsia" w:ascii="楷体_GB2312" w:hAnsi="楷体_GB2312" w:eastAsia="楷体_GB2312" w:cs="楷体_GB2312"/>
          <w:color w:val="000000" w:themeColor="text1"/>
          <w:kern w:val="0"/>
          <w:sz w:val="32"/>
          <w:szCs w:val="32"/>
        </w:rPr>
        <w:t>推动任务落实</w:t>
      </w:r>
      <w:bookmarkEnd w:id="16"/>
      <w:r>
        <w:rPr>
          <w:rFonts w:hint="eastAsia" w:ascii="楷体_GB2312" w:hAnsi="楷体_GB2312" w:eastAsia="楷体_GB2312" w:cs="楷体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各镇街、各部门及各学校要结合实际，根据各自职责，落实教育发展任务。建立规划实施评估监督机制，健全科学有效考核体系和奖惩制度，根据存在问题及时调整政策和工作安排。建立督导督查制度，及时公布落实情况。</w:t>
      </w:r>
    </w:p>
    <w:p>
      <w:pPr>
        <w:widowControl/>
        <w:adjustRightInd w:val="0"/>
        <w:snapToGrid w:val="0"/>
        <w:spacing w:line="560" w:lineRule="exact"/>
        <w:ind w:firstLine="640" w:firstLineChars="200"/>
        <w:outlineLvl w:val="1"/>
        <w:rPr>
          <w:rFonts w:hint="eastAsia" w:ascii="仿宋_GB2312" w:hAnsi="仿宋_GB2312" w:eastAsia="仿宋_GB2312" w:cs="仿宋_GB2312"/>
          <w:color w:val="000000" w:themeColor="text1"/>
          <w:kern w:val="0"/>
          <w:sz w:val="32"/>
          <w:szCs w:val="32"/>
        </w:rPr>
      </w:pPr>
      <w:bookmarkStart w:id="22" w:name="_Toc18488"/>
      <w:r>
        <w:rPr>
          <w:rFonts w:hint="eastAsia" w:ascii="楷体_GB2312" w:hAnsi="楷体_GB2312" w:eastAsia="楷体_GB2312" w:cs="楷体_GB2312"/>
          <w:color w:val="000000" w:themeColor="text1"/>
          <w:kern w:val="0"/>
          <w:sz w:val="32"/>
          <w:szCs w:val="32"/>
        </w:rPr>
        <w:t>凝聚工作合力</w:t>
      </w:r>
      <w:bookmarkEnd w:id="15"/>
      <w:bookmarkEnd w:id="17"/>
      <w:bookmarkEnd w:id="18"/>
      <w:bookmarkEnd w:id="19"/>
      <w:bookmarkEnd w:id="20"/>
      <w:bookmarkEnd w:id="21"/>
      <w:bookmarkEnd w:id="22"/>
      <w:r>
        <w:rPr>
          <w:rFonts w:hint="eastAsia" w:ascii="楷体_GB2312" w:hAnsi="楷体_GB2312" w:eastAsia="楷体_GB2312" w:cs="楷体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建立健全公众参与机制，鼓励引导公众参与教育问题的讨论和协商，充分发挥社会机构、社会团体的积极作用，引导鼓励企事业单位、社区、家庭多形式多途径参与、支持教育事业发展，营造全社会支持推动教育发展的良好环境。</w:t>
      </w:r>
    </w:p>
    <w:p>
      <w:pPr>
        <w:adjustRightInd w:val="0"/>
        <w:snapToGrid w:val="0"/>
        <w:spacing w:line="560" w:lineRule="exact"/>
        <w:ind w:firstLine="640" w:firstLineChars="200"/>
        <w:rPr>
          <w:rFonts w:ascii="黑体" w:hAnsi="黑体" w:eastAsia="黑体" w:cs="黑体"/>
          <w:sz w:val="32"/>
          <w:szCs w:val="40"/>
        </w:rPr>
      </w:pPr>
      <w:r>
        <w:rPr>
          <w:rFonts w:hint="eastAsia" w:ascii="黑体" w:hAnsi="黑体" w:eastAsia="黑体" w:cs="黑体"/>
          <w:sz w:val="32"/>
          <w:szCs w:val="40"/>
          <w:lang w:val="en-US" w:eastAsia="zh-CN"/>
        </w:rPr>
        <w:t>六</w:t>
      </w:r>
      <w:r>
        <w:rPr>
          <w:rFonts w:hint="eastAsia" w:ascii="黑体" w:hAnsi="黑体" w:eastAsia="黑体" w:cs="黑体"/>
          <w:sz w:val="32"/>
          <w:szCs w:val="40"/>
        </w:rPr>
        <w:t>、执行范围和有关期限</w:t>
      </w:r>
    </w:p>
    <w:p>
      <w:pPr>
        <w:adjustRightInd w:val="0"/>
        <w:snapToGrid w:val="0"/>
        <w:spacing w:line="560" w:lineRule="exact"/>
        <w:ind w:firstLine="640" w:firstLineChars="200"/>
      </w:pPr>
      <w:r>
        <w:rPr>
          <w:rFonts w:hint="eastAsia" w:ascii="仿宋_GB2312" w:hAnsi="仿宋" w:eastAsia="仿宋_GB2312"/>
          <w:sz w:val="32"/>
          <w:szCs w:val="32"/>
        </w:rPr>
        <w:t>《规划》执行范围为青岛西海岸新区全域，规划期限为“十四五”期间，即2021—2025年。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11765825"/>
                </w:sdtPr>
                <w:sdtContent>
                  <w:p>
                    <w:pPr>
                      <w:pStyle w:val="4"/>
                      <w:jc w:val="cente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2"/>
                </w:pP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13009"/>
    <w:rsid w:val="00136116"/>
    <w:rsid w:val="0013735D"/>
    <w:rsid w:val="00151F97"/>
    <w:rsid w:val="001D15B5"/>
    <w:rsid w:val="001D2090"/>
    <w:rsid w:val="00233C20"/>
    <w:rsid w:val="002630BB"/>
    <w:rsid w:val="00295D9E"/>
    <w:rsid w:val="002D46B3"/>
    <w:rsid w:val="002E7420"/>
    <w:rsid w:val="00317D9F"/>
    <w:rsid w:val="00320CAE"/>
    <w:rsid w:val="00330E8B"/>
    <w:rsid w:val="003D0404"/>
    <w:rsid w:val="0047079B"/>
    <w:rsid w:val="004E43BF"/>
    <w:rsid w:val="00501EE6"/>
    <w:rsid w:val="00506263"/>
    <w:rsid w:val="00514D3A"/>
    <w:rsid w:val="00576582"/>
    <w:rsid w:val="005C7E64"/>
    <w:rsid w:val="0066525B"/>
    <w:rsid w:val="006B2435"/>
    <w:rsid w:val="006C7F23"/>
    <w:rsid w:val="006E4A62"/>
    <w:rsid w:val="006F7F04"/>
    <w:rsid w:val="00776936"/>
    <w:rsid w:val="007C7285"/>
    <w:rsid w:val="0086281B"/>
    <w:rsid w:val="009A0D7C"/>
    <w:rsid w:val="009E3D4C"/>
    <w:rsid w:val="009F66B1"/>
    <w:rsid w:val="00A35E4A"/>
    <w:rsid w:val="00AC6E91"/>
    <w:rsid w:val="00AF0FFC"/>
    <w:rsid w:val="00BE6236"/>
    <w:rsid w:val="00C03292"/>
    <w:rsid w:val="00C30543"/>
    <w:rsid w:val="00D3538C"/>
    <w:rsid w:val="00D5688F"/>
    <w:rsid w:val="00D671D7"/>
    <w:rsid w:val="00DC0387"/>
    <w:rsid w:val="00E13009"/>
    <w:rsid w:val="00E90AF3"/>
    <w:rsid w:val="00F214D4"/>
    <w:rsid w:val="00F74806"/>
    <w:rsid w:val="00F90534"/>
    <w:rsid w:val="017E418B"/>
    <w:rsid w:val="01D9415D"/>
    <w:rsid w:val="01FD42EF"/>
    <w:rsid w:val="01FF3BC3"/>
    <w:rsid w:val="02021905"/>
    <w:rsid w:val="02355837"/>
    <w:rsid w:val="02447828"/>
    <w:rsid w:val="02616D91"/>
    <w:rsid w:val="026954E1"/>
    <w:rsid w:val="026E6F9B"/>
    <w:rsid w:val="029C7664"/>
    <w:rsid w:val="02E80AFB"/>
    <w:rsid w:val="030671D3"/>
    <w:rsid w:val="03773C2D"/>
    <w:rsid w:val="039C3694"/>
    <w:rsid w:val="03C230FA"/>
    <w:rsid w:val="03C76963"/>
    <w:rsid w:val="03CE7CF1"/>
    <w:rsid w:val="04074FB1"/>
    <w:rsid w:val="040C6A6B"/>
    <w:rsid w:val="04180F6C"/>
    <w:rsid w:val="042F62B6"/>
    <w:rsid w:val="04870847"/>
    <w:rsid w:val="04B10524"/>
    <w:rsid w:val="04E2157A"/>
    <w:rsid w:val="04FF212C"/>
    <w:rsid w:val="050D4849"/>
    <w:rsid w:val="05557F9E"/>
    <w:rsid w:val="056F72B2"/>
    <w:rsid w:val="057A1C4F"/>
    <w:rsid w:val="057E74F5"/>
    <w:rsid w:val="05FE23E4"/>
    <w:rsid w:val="0600615C"/>
    <w:rsid w:val="063B7194"/>
    <w:rsid w:val="06473D8B"/>
    <w:rsid w:val="065B5AC8"/>
    <w:rsid w:val="06693D01"/>
    <w:rsid w:val="0687062B"/>
    <w:rsid w:val="06EA2F15"/>
    <w:rsid w:val="06F22A23"/>
    <w:rsid w:val="072365A6"/>
    <w:rsid w:val="075D7207"/>
    <w:rsid w:val="078E1545"/>
    <w:rsid w:val="07A86AAB"/>
    <w:rsid w:val="07B54D24"/>
    <w:rsid w:val="08065580"/>
    <w:rsid w:val="08397703"/>
    <w:rsid w:val="089963F4"/>
    <w:rsid w:val="08BA6A96"/>
    <w:rsid w:val="08E6788B"/>
    <w:rsid w:val="08EB30F3"/>
    <w:rsid w:val="09061CDB"/>
    <w:rsid w:val="091D7025"/>
    <w:rsid w:val="092A0D9E"/>
    <w:rsid w:val="09344258"/>
    <w:rsid w:val="09410F65"/>
    <w:rsid w:val="094E5430"/>
    <w:rsid w:val="095E38C5"/>
    <w:rsid w:val="09B01C47"/>
    <w:rsid w:val="09C33728"/>
    <w:rsid w:val="09C6146A"/>
    <w:rsid w:val="09CA2D09"/>
    <w:rsid w:val="09D973F0"/>
    <w:rsid w:val="09F45FD8"/>
    <w:rsid w:val="09F61D50"/>
    <w:rsid w:val="09FC4E8C"/>
    <w:rsid w:val="0A0D7099"/>
    <w:rsid w:val="0A397E8E"/>
    <w:rsid w:val="0A656ED5"/>
    <w:rsid w:val="0A6D7B38"/>
    <w:rsid w:val="0A8A41C5"/>
    <w:rsid w:val="0A8D3D36"/>
    <w:rsid w:val="0AA25A34"/>
    <w:rsid w:val="0AB13EC9"/>
    <w:rsid w:val="0ADD4CBE"/>
    <w:rsid w:val="0B116715"/>
    <w:rsid w:val="0B1175D6"/>
    <w:rsid w:val="0B7D1FFD"/>
    <w:rsid w:val="0BBC2B25"/>
    <w:rsid w:val="0BF00A21"/>
    <w:rsid w:val="0C0A1AE2"/>
    <w:rsid w:val="0C436DA2"/>
    <w:rsid w:val="0C6F5DE9"/>
    <w:rsid w:val="0C7D22B4"/>
    <w:rsid w:val="0CA041F5"/>
    <w:rsid w:val="0CDB6FDB"/>
    <w:rsid w:val="0CE560AB"/>
    <w:rsid w:val="0CEE4F60"/>
    <w:rsid w:val="0CFB11EA"/>
    <w:rsid w:val="0D0F1A53"/>
    <w:rsid w:val="0D1B1ACD"/>
    <w:rsid w:val="0D4E3C51"/>
    <w:rsid w:val="0D8B0A01"/>
    <w:rsid w:val="0D8D4779"/>
    <w:rsid w:val="0DA25D4B"/>
    <w:rsid w:val="0DC91529"/>
    <w:rsid w:val="0DD04666"/>
    <w:rsid w:val="0DD26630"/>
    <w:rsid w:val="0DF90060"/>
    <w:rsid w:val="0E0662D9"/>
    <w:rsid w:val="0E2D1AB8"/>
    <w:rsid w:val="0EC57542"/>
    <w:rsid w:val="0EF83E74"/>
    <w:rsid w:val="0F061152"/>
    <w:rsid w:val="0F2C5141"/>
    <w:rsid w:val="0F8751F8"/>
    <w:rsid w:val="0FD0094D"/>
    <w:rsid w:val="10014FAA"/>
    <w:rsid w:val="100B7BD7"/>
    <w:rsid w:val="10101691"/>
    <w:rsid w:val="1010185D"/>
    <w:rsid w:val="104F21BA"/>
    <w:rsid w:val="10593038"/>
    <w:rsid w:val="107C2883"/>
    <w:rsid w:val="10831E63"/>
    <w:rsid w:val="10B1077E"/>
    <w:rsid w:val="10CF50A9"/>
    <w:rsid w:val="10F90377"/>
    <w:rsid w:val="11082369"/>
    <w:rsid w:val="110C3C07"/>
    <w:rsid w:val="11681852"/>
    <w:rsid w:val="116C0B49"/>
    <w:rsid w:val="119360D6"/>
    <w:rsid w:val="11B04EDA"/>
    <w:rsid w:val="122562A6"/>
    <w:rsid w:val="12582E7C"/>
    <w:rsid w:val="125A3098"/>
    <w:rsid w:val="12753A2E"/>
    <w:rsid w:val="127F48AC"/>
    <w:rsid w:val="12A165D1"/>
    <w:rsid w:val="12BB58E4"/>
    <w:rsid w:val="12C56763"/>
    <w:rsid w:val="12CC7AF2"/>
    <w:rsid w:val="12E27315"/>
    <w:rsid w:val="1319260B"/>
    <w:rsid w:val="13250FB0"/>
    <w:rsid w:val="133F0674"/>
    <w:rsid w:val="136E6DFB"/>
    <w:rsid w:val="1424570B"/>
    <w:rsid w:val="14A33AB5"/>
    <w:rsid w:val="14C33176"/>
    <w:rsid w:val="14EF5D19"/>
    <w:rsid w:val="15001CD4"/>
    <w:rsid w:val="152C0D1B"/>
    <w:rsid w:val="15323E58"/>
    <w:rsid w:val="1546345F"/>
    <w:rsid w:val="15785D0F"/>
    <w:rsid w:val="15B17473"/>
    <w:rsid w:val="15C01464"/>
    <w:rsid w:val="15C54CCC"/>
    <w:rsid w:val="15FA4976"/>
    <w:rsid w:val="15FD7FC2"/>
    <w:rsid w:val="162E6BAE"/>
    <w:rsid w:val="16377978"/>
    <w:rsid w:val="16AD3796"/>
    <w:rsid w:val="16C531D6"/>
    <w:rsid w:val="16D52CED"/>
    <w:rsid w:val="16F71C06"/>
    <w:rsid w:val="1752258F"/>
    <w:rsid w:val="175400B6"/>
    <w:rsid w:val="1787048B"/>
    <w:rsid w:val="178F7340"/>
    <w:rsid w:val="17982698"/>
    <w:rsid w:val="17B40B54"/>
    <w:rsid w:val="181D2B9D"/>
    <w:rsid w:val="187D363C"/>
    <w:rsid w:val="189310B2"/>
    <w:rsid w:val="18A84B5D"/>
    <w:rsid w:val="18E86D07"/>
    <w:rsid w:val="192B45D4"/>
    <w:rsid w:val="192B4E46"/>
    <w:rsid w:val="192F2B88"/>
    <w:rsid w:val="19434886"/>
    <w:rsid w:val="19566367"/>
    <w:rsid w:val="19B7492C"/>
    <w:rsid w:val="19D13DED"/>
    <w:rsid w:val="19DD25E4"/>
    <w:rsid w:val="19E41BC5"/>
    <w:rsid w:val="1AB1581F"/>
    <w:rsid w:val="1AB86BAD"/>
    <w:rsid w:val="1BB13D28"/>
    <w:rsid w:val="1BC3580A"/>
    <w:rsid w:val="1BF27E9D"/>
    <w:rsid w:val="1BF63146"/>
    <w:rsid w:val="1C0876C1"/>
    <w:rsid w:val="1C166281"/>
    <w:rsid w:val="1C3404B6"/>
    <w:rsid w:val="1C4A5F2B"/>
    <w:rsid w:val="1C56667E"/>
    <w:rsid w:val="1C67088B"/>
    <w:rsid w:val="1C6F7740"/>
    <w:rsid w:val="1C730FDE"/>
    <w:rsid w:val="1C8C02F2"/>
    <w:rsid w:val="1CD221A8"/>
    <w:rsid w:val="1CD777BF"/>
    <w:rsid w:val="1CE26164"/>
    <w:rsid w:val="1CF3211F"/>
    <w:rsid w:val="1D0C4F8F"/>
    <w:rsid w:val="1D13631D"/>
    <w:rsid w:val="1D484219"/>
    <w:rsid w:val="1D5A219E"/>
    <w:rsid w:val="1D886D0B"/>
    <w:rsid w:val="1D943902"/>
    <w:rsid w:val="1DA8115B"/>
    <w:rsid w:val="1DAF4298"/>
    <w:rsid w:val="1DC67833"/>
    <w:rsid w:val="1E94348E"/>
    <w:rsid w:val="1E984D2C"/>
    <w:rsid w:val="1EA5569B"/>
    <w:rsid w:val="1EC2624D"/>
    <w:rsid w:val="1ECA6EAF"/>
    <w:rsid w:val="1EDB2E6A"/>
    <w:rsid w:val="1F3B2714"/>
    <w:rsid w:val="1F4B7FF0"/>
    <w:rsid w:val="1F6C3E55"/>
    <w:rsid w:val="1F994509"/>
    <w:rsid w:val="1FB738D7"/>
    <w:rsid w:val="1FC102B2"/>
    <w:rsid w:val="1FCF6E73"/>
    <w:rsid w:val="1FD2426D"/>
    <w:rsid w:val="2000702C"/>
    <w:rsid w:val="203E7B55"/>
    <w:rsid w:val="20474C5B"/>
    <w:rsid w:val="20476A09"/>
    <w:rsid w:val="204C4020"/>
    <w:rsid w:val="205D622D"/>
    <w:rsid w:val="206375BB"/>
    <w:rsid w:val="208714FC"/>
    <w:rsid w:val="20BA367F"/>
    <w:rsid w:val="20E26732"/>
    <w:rsid w:val="21262AC3"/>
    <w:rsid w:val="214E5B76"/>
    <w:rsid w:val="21863561"/>
    <w:rsid w:val="218912A4"/>
    <w:rsid w:val="219D08AB"/>
    <w:rsid w:val="219E4D4F"/>
    <w:rsid w:val="21CD73E2"/>
    <w:rsid w:val="21DC7625"/>
    <w:rsid w:val="22266A65"/>
    <w:rsid w:val="2228286B"/>
    <w:rsid w:val="22317971"/>
    <w:rsid w:val="2245341D"/>
    <w:rsid w:val="225E003A"/>
    <w:rsid w:val="23056708"/>
    <w:rsid w:val="2342170A"/>
    <w:rsid w:val="23CE48C5"/>
    <w:rsid w:val="23FF75FB"/>
    <w:rsid w:val="24262DDA"/>
    <w:rsid w:val="245636BF"/>
    <w:rsid w:val="246F652F"/>
    <w:rsid w:val="24A3267C"/>
    <w:rsid w:val="24BC54EC"/>
    <w:rsid w:val="253D03DB"/>
    <w:rsid w:val="25D074A1"/>
    <w:rsid w:val="25E1520A"/>
    <w:rsid w:val="25EC3BAF"/>
    <w:rsid w:val="261C6242"/>
    <w:rsid w:val="263317DE"/>
    <w:rsid w:val="26775B6F"/>
    <w:rsid w:val="26A06E73"/>
    <w:rsid w:val="26A821CC"/>
    <w:rsid w:val="26B446CD"/>
    <w:rsid w:val="26B45625"/>
    <w:rsid w:val="26D1527F"/>
    <w:rsid w:val="26D20FF7"/>
    <w:rsid w:val="273D0B66"/>
    <w:rsid w:val="277B168E"/>
    <w:rsid w:val="2786250D"/>
    <w:rsid w:val="27870033"/>
    <w:rsid w:val="278E4F1E"/>
    <w:rsid w:val="27C546B8"/>
    <w:rsid w:val="27DF1C1D"/>
    <w:rsid w:val="27E234BC"/>
    <w:rsid w:val="27F60D15"/>
    <w:rsid w:val="27FA25B3"/>
    <w:rsid w:val="281178FD"/>
    <w:rsid w:val="28305FD5"/>
    <w:rsid w:val="2849353B"/>
    <w:rsid w:val="287F0D0A"/>
    <w:rsid w:val="28AF15F0"/>
    <w:rsid w:val="28E84B02"/>
    <w:rsid w:val="28FD67FF"/>
    <w:rsid w:val="290A4A78"/>
    <w:rsid w:val="2916341D"/>
    <w:rsid w:val="29581A2C"/>
    <w:rsid w:val="296879F1"/>
    <w:rsid w:val="296A5517"/>
    <w:rsid w:val="298C1931"/>
    <w:rsid w:val="29A21154"/>
    <w:rsid w:val="29AC5B2F"/>
    <w:rsid w:val="29E277A3"/>
    <w:rsid w:val="2A263B34"/>
    <w:rsid w:val="2A2C0A1E"/>
    <w:rsid w:val="2AC83C3E"/>
    <w:rsid w:val="2ACB0237"/>
    <w:rsid w:val="2B2067D5"/>
    <w:rsid w:val="2B2142FB"/>
    <w:rsid w:val="2B481888"/>
    <w:rsid w:val="2B7B3A0B"/>
    <w:rsid w:val="2B911481"/>
    <w:rsid w:val="2B966A97"/>
    <w:rsid w:val="2B990335"/>
    <w:rsid w:val="2BEE242F"/>
    <w:rsid w:val="2C3342E6"/>
    <w:rsid w:val="2C8B5ED0"/>
    <w:rsid w:val="2CB2481F"/>
    <w:rsid w:val="2CB35427"/>
    <w:rsid w:val="2CBA4A07"/>
    <w:rsid w:val="2CD05FD9"/>
    <w:rsid w:val="2D2F2CFF"/>
    <w:rsid w:val="2D6B4043"/>
    <w:rsid w:val="2D92328E"/>
    <w:rsid w:val="2DD029D5"/>
    <w:rsid w:val="2DE55AB4"/>
    <w:rsid w:val="2DED6716"/>
    <w:rsid w:val="2E530C6F"/>
    <w:rsid w:val="2E642E7C"/>
    <w:rsid w:val="2E7B7D04"/>
    <w:rsid w:val="2E894691"/>
    <w:rsid w:val="2EB23BE8"/>
    <w:rsid w:val="2EDA4EED"/>
    <w:rsid w:val="2F171C9D"/>
    <w:rsid w:val="2F25260C"/>
    <w:rsid w:val="2F4D1B62"/>
    <w:rsid w:val="2F527179"/>
    <w:rsid w:val="2FAB0637"/>
    <w:rsid w:val="2FB120F1"/>
    <w:rsid w:val="30055F99"/>
    <w:rsid w:val="300F0BC6"/>
    <w:rsid w:val="301D32E3"/>
    <w:rsid w:val="304E5B92"/>
    <w:rsid w:val="30564A47"/>
    <w:rsid w:val="305F1B4D"/>
    <w:rsid w:val="30751371"/>
    <w:rsid w:val="30FF6E8C"/>
    <w:rsid w:val="314D409C"/>
    <w:rsid w:val="31783BAE"/>
    <w:rsid w:val="31857392"/>
    <w:rsid w:val="31C0486E"/>
    <w:rsid w:val="32786EF6"/>
    <w:rsid w:val="32917FB8"/>
    <w:rsid w:val="329F4483"/>
    <w:rsid w:val="32E77352"/>
    <w:rsid w:val="3304078A"/>
    <w:rsid w:val="3310712F"/>
    <w:rsid w:val="331210F9"/>
    <w:rsid w:val="336F02F9"/>
    <w:rsid w:val="33900270"/>
    <w:rsid w:val="33A361F5"/>
    <w:rsid w:val="33EF143A"/>
    <w:rsid w:val="340F388A"/>
    <w:rsid w:val="34120C85"/>
    <w:rsid w:val="341E1D1F"/>
    <w:rsid w:val="34270BD4"/>
    <w:rsid w:val="343230D5"/>
    <w:rsid w:val="343E1A7A"/>
    <w:rsid w:val="345631A1"/>
    <w:rsid w:val="34735BC7"/>
    <w:rsid w:val="353905D5"/>
    <w:rsid w:val="3575596F"/>
    <w:rsid w:val="359758E5"/>
    <w:rsid w:val="359A53D6"/>
    <w:rsid w:val="35DA3A24"/>
    <w:rsid w:val="35E93C67"/>
    <w:rsid w:val="360504E0"/>
    <w:rsid w:val="366A4DA8"/>
    <w:rsid w:val="368F2A60"/>
    <w:rsid w:val="36A52284"/>
    <w:rsid w:val="36AA5AEC"/>
    <w:rsid w:val="36AC716F"/>
    <w:rsid w:val="36B14785"/>
    <w:rsid w:val="36BF3346"/>
    <w:rsid w:val="36E92171"/>
    <w:rsid w:val="3720190B"/>
    <w:rsid w:val="372431A9"/>
    <w:rsid w:val="37353608"/>
    <w:rsid w:val="37645C9B"/>
    <w:rsid w:val="37A147F9"/>
    <w:rsid w:val="37B26A07"/>
    <w:rsid w:val="37C36E66"/>
    <w:rsid w:val="37DC1CD5"/>
    <w:rsid w:val="37E56DDC"/>
    <w:rsid w:val="380B4369"/>
    <w:rsid w:val="380D00E1"/>
    <w:rsid w:val="382611A3"/>
    <w:rsid w:val="38415FDC"/>
    <w:rsid w:val="384A30E3"/>
    <w:rsid w:val="385775AE"/>
    <w:rsid w:val="38795776"/>
    <w:rsid w:val="38912AC0"/>
    <w:rsid w:val="389600D6"/>
    <w:rsid w:val="38A722E3"/>
    <w:rsid w:val="38B93DC5"/>
    <w:rsid w:val="38C033A5"/>
    <w:rsid w:val="391159AF"/>
    <w:rsid w:val="3925145A"/>
    <w:rsid w:val="39253208"/>
    <w:rsid w:val="392C1EBE"/>
    <w:rsid w:val="394915ED"/>
    <w:rsid w:val="395D0BF4"/>
    <w:rsid w:val="399C796E"/>
    <w:rsid w:val="39BA5C02"/>
    <w:rsid w:val="39CC0297"/>
    <w:rsid w:val="39F8091D"/>
    <w:rsid w:val="3A190FBF"/>
    <w:rsid w:val="3A1C285D"/>
    <w:rsid w:val="3A2B484E"/>
    <w:rsid w:val="3A3951BD"/>
    <w:rsid w:val="3A43428E"/>
    <w:rsid w:val="3A451DB4"/>
    <w:rsid w:val="3A4A73CA"/>
    <w:rsid w:val="3A606BEE"/>
    <w:rsid w:val="3AA54601"/>
    <w:rsid w:val="3AC76C6D"/>
    <w:rsid w:val="3AD924FC"/>
    <w:rsid w:val="3ADF27D0"/>
    <w:rsid w:val="3B40257B"/>
    <w:rsid w:val="3B547DD5"/>
    <w:rsid w:val="3B822B94"/>
    <w:rsid w:val="3C2D0D52"/>
    <w:rsid w:val="3C666012"/>
    <w:rsid w:val="3C7249B6"/>
    <w:rsid w:val="3C9963E7"/>
    <w:rsid w:val="3CC316B6"/>
    <w:rsid w:val="3CE07B72"/>
    <w:rsid w:val="3CF11D7F"/>
    <w:rsid w:val="3D0575D8"/>
    <w:rsid w:val="3D127F47"/>
    <w:rsid w:val="3D2F0AF9"/>
    <w:rsid w:val="3D842BF3"/>
    <w:rsid w:val="3D8E5820"/>
    <w:rsid w:val="3DB039E8"/>
    <w:rsid w:val="3DF064DB"/>
    <w:rsid w:val="3E135D25"/>
    <w:rsid w:val="3E2717D1"/>
    <w:rsid w:val="3E300685"/>
    <w:rsid w:val="3E720C9E"/>
    <w:rsid w:val="3E726EF0"/>
    <w:rsid w:val="3E8409D1"/>
    <w:rsid w:val="3E8A39B5"/>
    <w:rsid w:val="3EB219E2"/>
    <w:rsid w:val="3F312907"/>
    <w:rsid w:val="3F4168C2"/>
    <w:rsid w:val="3FB53538"/>
    <w:rsid w:val="3FE45BCB"/>
    <w:rsid w:val="4004001B"/>
    <w:rsid w:val="40730CFD"/>
    <w:rsid w:val="40B05AAD"/>
    <w:rsid w:val="40C72035"/>
    <w:rsid w:val="40CC50A5"/>
    <w:rsid w:val="41197AF6"/>
    <w:rsid w:val="41210759"/>
    <w:rsid w:val="41434B73"/>
    <w:rsid w:val="4162149D"/>
    <w:rsid w:val="41801923"/>
    <w:rsid w:val="41A01FC6"/>
    <w:rsid w:val="41D103D1"/>
    <w:rsid w:val="41D41C6F"/>
    <w:rsid w:val="420267DC"/>
    <w:rsid w:val="42671AEE"/>
    <w:rsid w:val="426A31EE"/>
    <w:rsid w:val="427A6373"/>
    <w:rsid w:val="4286740D"/>
    <w:rsid w:val="42876CE2"/>
    <w:rsid w:val="428840CE"/>
    <w:rsid w:val="42AE426E"/>
    <w:rsid w:val="42D31F27"/>
    <w:rsid w:val="43295F34"/>
    <w:rsid w:val="43482915"/>
    <w:rsid w:val="435E75ED"/>
    <w:rsid w:val="43A0005B"/>
    <w:rsid w:val="43AD2778"/>
    <w:rsid w:val="43B6162D"/>
    <w:rsid w:val="43C57AC2"/>
    <w:rsid w:val="43D85A47"/>
    <w:rsid w:val="44290050"/>
    <w:rsid w:val="444E5D09"/>
    <w:rsid w:val="445A46AE"/>
    <w:rsid w:val="445E27F5"/>
    <w:rsid w:val="44B518E4"/>
    <w:rsid w:val="44C304A5"/>
    <w:rsid w:val="451A53D0"/>
    <w:rsid w:val="454B3FF6"/>
    <w:rsid w:val="45765517"/>
    <w:rsid w:val="45F428E0"/>
    <w:rsid w:val="4605689B"/>
    <w:rsid w:val="46115240"/>
    <w:rsid w:val="46207231"/>
    <w:rsid w:val="462C5BD6"/>
    <w:rsid w:val="46517D32"/>
    <w:rsid w:val="466730B2"/>
    <w:rsid w:val="468F4FC0"/>
    <w:rsid w:val="46B75DE7"/>
    <w:rsid w:val="46C71DA3"/>
    <w:rsid w:val="46D30747"/>
    <w:rsid w:val="46FC37FA"/>
    <w:rsid w:val="470B6133"/>
    <w:rsid w:val="471A0124"/>
    <w:rsid w:val="47213261"/>
    <w:rsid w:val="473A4323"/>
    <w:rsid w:val="47482EE3"/>
    <w:rsid w:val="47841A42"/>
    <w:rsid w:val="47887784"/>
    <w:rsid w:val="479E2B03"/>
    <w:rsid w:val="47B75973"/>
    <w:rsid w:val="47D77DC3"/>
    <w:rsid w:val="47FC5A7C"/>
    <w:rsid w:val="4812529F"/>
    <w:rsid w:val="481334F1"/>
    <w:rsid w:val="489839F7"/>
    <w:rsid w:val="48A24875"/>
    <w:rsid w:val="48B14AB8"/>
    <w:rsid w:val="48CC36A0"/>
    <w:rsid w:val="4961028C"/>
    <w:rsid w:val="49883A6B"/>
    <w:rsid w:val="4989333F"/>
    <w:rsid w:val="499A379E"/>
    <w:rsid w:val="49D00F6E"/>
    <w:rsid w:val="49E113CD"/>
    <w:rsid w:val="49F66C27"/>
    <w:rsid w:val="49FC1D63"/>
    <w:rsid w:val="4A0E6251"/>
    <w:rsid w:val="4A49144C"/>
    <w:rsid w:val="4A563B69"/>
    <w:rsid w:val="4A657908"/>
    <w:rsid w:val="4ADA6548"/>
    <w:rsid w:val="4ADB5E1D"/>
    <w:rsid w:val="4B3D0885"/>
    <w:rsid w:val="4B577B99"/>
    <w:rsid w:val="4B5D2CD5"/>
    <w:rsid w:val="4B5F07FC"/>
    <w:rsid w:val="4B6D2F19"/>
    <w:rsid w:val="4B7F49FA"/>
    <w:rsid w:val="4B9C37FE"/>
    <w:rsid w:val="4BC468B1"/>
    <w:rsid w:val="4BDF193C"/>
    <w:rsid w:val="4BF52F0E"/>
    <w:rsid w:val="4C12586E"/>
    <w:rsid w:val="4C2F01CE"/>
    <w:rsid w:val="4C481290"/>
    <w:rsid w:val="4C4C5224"/>
    <w:rsid w:val="4C787DC7"/>
    <w:rsid w:val="4C83051A"/>
    <w:rsid w:val="4CDE39A2"/>
    <w:rsid w:val="4D1A70D0"/>
    <w:rsid w:val="4D2C6E03"/>
    <w:rsid w:val="4D706CF0"/>
    <w:rsid w:val="4D8E7176"/>
    <w:rsid w:val="4D9D560B"/>
    <w:rsid w:val="4DBE3EFF"/>
    <w:rsid w:val="4E04568A"/>
    <w:rsid w:val="4E4F2DA9"/>
    <w:rsid w:val="4E5959D6"/>
    <w:rsid w:val="4E6D3230"/>
    <w:rsid w:val="4E742810"/>
    <w:rsid w:val="4E760D0B"/>
    <w:rsid w:val="4EB470B0"/>
    <w:rsid w:val="4EB8094F"/>
    <w:rsid w:val="4EBD5F65"/>
    <w:rsid w:val="4ED41501"/>
    <w:rsid w:val="4EF676C9"/>
    <w:rsid w:val="4EF86F9D"/>
    <w:rsid w:val="4EFD45B3"/>
    <w:rsid w:val="4F12268E"/>
    <w:rsid w:val="4F2C30EB"/>
    <w:rsid w:val="4F806F93"/>
    <w:rsid w:val="4F894099"/>
    <w:rsid w:val="4FAB2261"/>
    <w:rsid w:val="4FB32C3B"/>
    <w:rsid w:val="4FD572DE"/>
    <w:rsid w:val="503A5393"/>
    <w:rsid w:val="507E7976"/>
    <w:rsid w:val="50C57353"/>
    <w:rsid w:val="50D43A3A"/>
    <w:rsid w:val="50EA4036"/>
    <w:rsid w:val="50EE4AFC"/>
    <w:rsid w:val="50EE68AA"/>
    <w:rsid w:val="51121E6C"/>
    <w:rsid w:val="51134562"/>
    <w:rsid w:val="51373EDD"/>
    <w:rsid w:val="51874608"/>
    <w:rsid w:val="51EB4B97"/>
    <w:rsid w:val="521265C8"/>
    <w:rsid w:val="522D1654"/>
    <w:rsid w:val="529F5982"/>
    <w:rsid w:val="52A7742D"/>
    <w:rsid w:val="52CA089B"/>
    <w:rsid w:val="530103EA"/>
    <w:rsid w:val="537B1F4B"/>
    <w:rsid w:val="539D6365"/>
    <w:rsid w:val="53E93358"/>
    <w:rsid w:val="53F266B1"/>
    <w:rsid w:val="53F52B4A"/>
    <w:rsid w:val="53FC752F"/>
    <w:rsid w:val="543842E0"/>
    <w:rsid w:val="54532EC8"/>
    <w:rsid w:val="54680721"/>
    <w:rsid w:val="547370C6"/>
    <w:rsid w:val="547F1F0F"/>
    <w:rsid w:val="5488491F"/>
    <w:rsid w:val="54971006"/>
    <w:rsid w:val="549F1E28"/>
    <w:rsid w:val="54A61249"/>
    <w:rsid w:val="551E34D6"/>
    <w:rsid w:val="5536507F"/>
    <w:rsid w:val="553920BD"/>
    <w:rsid w:val="55436A98"/>
    <w:rsid w:val="558D41B7"/>
    <w:rsid w:val="558E2409"/>
    <w:rsid w:val="55A0213D"/>
    <w:rsid w:val="55AF16AF"/>
    <w:rsid w:val="55C0633B"/>
    <w:rsid w:val="55DA73FC"/>
    <w:rsid w:val="55EE10FA"/>
    <w:rsid w:val="561F12B3"/>
    <w:rsid w:val="562468CA"/>
    <w:rsid w:val="566B274A"/>
    <w:rsid w:val="570F30D6"/>
    <w:rsid w:val="57150BD0"/>
    <w:rsid w:val="579E445A"/>
    <w:rsid w:val="57C87729"/>
    <w:rsid w:val="57DB56AE"/>
    <w:rsid w:val="57E7336B"/>
    <w:rsid w:val="5809221B"/>
    <w:rsid w:val="581A4428"/>
    <w:rsid w:val="581A61D6"/>
    <w:rsid w:val="583628E4"/>
    <w:rsid w:val="58647451"/>
    <w:rsid w:val="58A43CF2"/>
    <w:rsid w:val="596574C0"/>
    <w:rsid w:val="596F4300"/>
    <w:rsid w:val="59F71752"/>
    <w:rsid w:val="5A217302"/>
    <w:rsid w:val="5A252C10"/>
    <w:rsid w:val="5A276988"/>
    <w:rsid w:val="5A490FF5"/>
    <w:rsid w:val="5A4A08C9"/>
    <w:rsid w:val="5A5359CF"/>
    <w:rsid w:val="5A6F20DD"/>
    <w:rsid w:val="5A755946"/>
    <w:rsid w:val="5A7B0A82"/>
    <w:rsid w:val="5ADC7773"/>
    <w:rsid w:val="5AE44879"/>
    <w:rsid w:val="5B411CCC"/>
    <w:rsid w:val="5B5F2152"/>
    <w:rsid w:val="5B631C42"/>
    <w:rsid w:val="5BB97AB4"/>
    <w:rsid w:val="5BC16969"/>
    <w:rsid w:val="5C2379EF"/>
    <w:rsid w:val="5C4F0418"/>
    <w:rsid w:val="5C643EC4"/>
    <w:rsid w:val="5C853E3A"/>
    <w:rsid w:val="5C966047"/>
    <w:rsid w:val="5CA644DC"/>
    <w:rsid w:val="5CAB38A1"/>
    <w:rsid w:val="5CB62246"/>
    <w:rsid w:val="5D086F45"/>
    <w:rsid w:val="5D1C654D"/>
    <w:rsid w:val="5D243653"/>
    <w:rsid w:val="5D5E0913"/>
    <w:rsid w:val="5D610403"/>
    <w:rsid w:val="5D683540"/>
    <w:rsid w:val="5D7A3273"/>
    <w:rsid w:val="5D7F6ADB"/>
    <w:rsid w:val="5DBB5D65"/>
    <w:rsid w:val="5DE057CC"/>
    <w:rsid w:val="5DFE3EA4"/>
    <w:rsid w:val="5E3B0C54"/>
    <w:rsid w:val="5E6A153A"/>
    <w:rsid w:val="5E940365"/>
    <w:rsid w:val="5EEE3F19"/>
    <w:rsid w:val="5F24793A"/>
    <w:rsid w:val="5F2D22EB"/>
    <w:rsid w:val="5F385194"/>
    <w:rsid w:val="5F3C2ED6"/>
    <w:rsid w:val="5F530220"/>
    <w:rsid w:val="5F6441DB"/>
    <w:rsid w:val="5F677827"/>
    <w:rsid w:val="5F855664"/>
    <w:rsid w:val="60193217"/>
    <w:rsid w:val="60575AEE"/>
    <w:rsid w:val="60771CEC"/>
    <w:rsid w:val="608C39E9"/>
    <w:rsid w:val="60F577E0"/>
    <w:rsid w:val="61135EB8"/>
    <w:rsid w:val="61406582"/>
    <w:rsid w:val="61677FB2"/>
    <w:rsid w:val="617E77D6"/>
    <w:rsid w:val="61A134C4"/>
    <w:rsid w:val="61BA6334"/>
    <w:rsid w:val="626A4406"/>
    <w:rsid w:val="62E573E1"/>
    <w:rsid w:val="632919C3"/>
    <w:rsid w:val="63302D52"/>
    <w:rsid w:val="63512CC8"/>
    <w:rsid w:val="63972DD1"/>
    <w:rsid w:val="639C7F43"/>
    <w:rsid w:val="63B15515"/>
    <w:rsid w:val="63C45248"/>
    <w:rsid w:val="64153CF6"/>
    <w:rsid w:val="64191A38"/>
    <w:rsid w:val="641E2BAA"/>
    <w:rsid w:val="643B5E3A"/>
    <w:rsid w:val="647A1DAB"/>
    <w:rsid w:val="64874BF3"/>
    <w:rsid w:val="64AC6408"/>
    <w:rsid w:val="64B21544"/>
    <w:rsid w:val="64C37BF6"/>
    <w:rsid w:val="65183A9D"/>
    <w:rsid w:val="652341F0"/>
    <w:rsid w:val="652A557F"/>
    <w:rsid w:val="65404DA2"/>
    <w:rsid w:val="658729D1"/>
    <w:rsid w:val="65B25CA0"/>
    <w:rsid w:val="66326DE1"/>
    <w:rsid w:val="663A3EE7"/>
    <w:rsid w:val="66442670"/>
    <w:rsid w:val="664F1741"/>
    <w:rsid w:val="66507267"/>
    <w:rsid w:val="66576847"/>
    <w:rsid w:val="668138C4"/>
    <w:rsid w:val="66862C89"/>
    <w:rsid w:val="672524A2"/>
    <w:rsid w:val="673E3563"/>
    <w:rsid w:val="67AB6E4B"/>
    <w:rsid w:val="67EC1211"/>
    <w:rsid w:val="68AA7102"/>
    <w:rsid w:val="68DC4DE2"/>
    <w:rsid w:val="68E819D9"/>
    <w:rsid w:val="68F91E38"/>
    <w:rsid w:val="69564B94"/>
    <w:rsid w:val="697A2F79"/>
    <w:rsid w:val="69831701"/>
    <w:rsid w:val="69BD4C13"/>
    <w:rsid w:val="69C2222A"/>
    <w:rsid w:val="69DB4F4A"/>
    <w:rsid w:val="6A6652AB"/>
    <w:rsid w:val="6A667059"/>
    <w:rsid w:val="6AB31849"/>
    <w:rsid w:val="6B221D59"/>
    <w:rsid w:val="6B23319C"/>
    <w:rsid w:val="6B4B624F"/>
    <w:rsid w:val="6B513865"/>
    <w:rsid w:val="6BE168CF"/>
    <w:rsid w:val="6C1F3963"/>
    <w:rsid w:val="6C7F08A6"/>
    <w:rsid w:val="6CA83959"/>
    <w:rsid w:val="6CD56718"/>
    <w:rsid w:val="6CE10C19"/>
    <w:rsid w:val="6CFA617E"/>
    <w:rsid w:val="6D0F1C2A"/>
    <w:rsid w:val="6D8A5754"/>
    <w:rsid w:val="6D8F68C7"/>
    <w:rsid w:val="6D9640F9"/>
    <w:rsid w:val="6DFD7CD4"/>
    <w:rsid w:val="6E1B45FE"/>
    <w:rsid w:val="6E891568"/>
    <w:rsid w:val="6E8C2E06"/>
    <w:rsid w:val="6EA03A54"/>
    <w:rsid w:val="6ECE341F"/>
    <w:rsid w:val="6F1E6154"/>
    <w:rsid w:val="6F524050"/>
    <w:rsid w:val="6FB72105"/>
    <w:rsid w:val="6FBB39A3"/>
    <w:rsid w:val="6FC52294"/>
    <w:rsid w:val="70117A67"/>
    <w:rsid w:val="70131A31"/>
    <w:rsid w:val="702F4391"/>
    <w:rsid w:val="708B5A6B"/>
    <w:rsid w:val="709A3F00"/>
    <w:rsid w:val="710D46D2"/>
    <w:rsid w:val="711710AD"/>
    <w:rsid w:val="712B4B58"/>
    <w:rsid w:val="71453E6C"/>
    <w:rsid w:val="714D4ACF"/>
    <w:rsid w:val="718304F0"/>
    <w:rsid w:val="7189187F"/>
    <w:rsid w:val="718C2B3A"/>
    <w:rsid w:val="719E532A"/>
    <w:rsid w:val="71CA25C3"/>
    <w:rsid w:val="71CA611F"/>
    <w:rsid w:val="71F80EDE"/>
    <w:rsid w:val="71F96A05"/>
    <w:rsid w:val="724C122A"/>
    <w:rsid w:val="729F57FE"/>
    <w:rsid w:val="72B26375"/>
    <w:rsid w:val="72D52FCE"/>
    <w:rsid w:val="72DA4A88"/>
    <w:rsid w:val="72E651DB"/>
    <w:rsid w:val="72ED47BB"/>
    <w:rsid w:val="733E6DC5"/>
    <w:rsid w:val="734E2D80"/>
    <w:rsid w:val="7352461E"/>
    <w:rsid w:val="73DE4104"/>
    <w:rsid w:val="7414112F"/>
    <w:rsid w:val="745443C6"/>
    <w:rsid w:val="747800B5"/>
    <w:rsid w:val="74BE7A92"/>
    <w:rsid w:val="74F57957"/>
    <w:rsid w:val="75181898"/>
    <w:rsid w:val="75297601"/>
    <w:rsid w:val="753A180E"/>
    <w:rsid w:val="753D151B"/>
    <w:rsid w:val="759C6025"/>
    <w:rsid w:val="75EB0D5A"/>
    <w:rsid w:val="75F47C0F"/>
    <w:rsid w:val="76053BCA"/>
    <w:rsid w:val="762F0C47"/>
    <w:rsid w:val="7684031A"/>
    <w:rsid w:val="76970E04"/>
    <w:rsid w:val="76EC6B38"/>
    <w:rsid w:val="76F1414E"/>
    <w:rsid w:val="770C71DA"/>
    <w:rsid w:val="775070C7"/>
    <w:rsid w:val="775D7A36"/>
    <w:rsid w:val="77737259"/>
    <w:rsid w:val="777A4144"/>
    <w:rsid w:val="782642CC"/>
    <w:rsid w:val="787D213D"/>
    <w:rsid w:val="78BD69DE"/>
    <w:rsid w:val="78F63C9E"/>
    <w:rsid w:val="78FF0DA4"/>
    <w:rsid w:val="790C1713"/>
    <w:rsid w:val="791505C8"/>
    <w:rsid w:val="79167E9C"/>
    <w:rsid w:val="792E168A"/>
    <w:rsid w:val="794A5D98"/>
    <w:rsid w:val="797F3C93"/>
    <w:rsid w:val="79A656C4"/>
    <w:rsid w:val="79B7167F"/>
    <w:rsid w:val="79C913B2"/>
    <w:rsid w:val="79CB6ED9"/>
    <w:rsid w:val="79D20267"/>
    <w:rsid w:val="7A266805"/>
    <w:rsid w:val="7A637111"/>
    <w:rsid w:val="7A8157E9"/>
    <w:rsid w:val="7A97325F"/>
    <w:rsid w:val="7AC83418"/>
    <w:rsid w:val="7AD31B1A"/>
    <w:rsid w:val="7AFE6E3A"/>
    <w:rsid w:val="7B0D52CF"/>
    <w:rsid w:val="7B3311D9"/>
    <w:rsid w:val="7B7B66DC"/>
    <w:rsid w:val="7B827A6B"/>
    <w:rsid w:val="7B8C6B3B"/>
    <w:rsid w:val="7B9E371D"/>
    <w:rsid w:val="7BBB4D2B"/>
    <w:rsid w:val="7BD227A0"/>
    <w:rsid w:val="7BD81D81"/>
    <w:rsid w:val="7C2428D0"/>
    <w:rsid w:val="7C3A0345"/>
    <w:rsid w:val="7C7750F6"/>
    <w:rsid w:val="7C80044E"/>
    <w:rsid w:val="7CAA7279"/>
    <w:rsid w:val="7CC12815"/>
    <w:rsid w:val="7CEC7892"/>
    <w:rsid w:val="7D080444"/>
    <w:rsid w:val="7D20753B"/>
    <w:rsid w:val="7D33726F"/>
    <w:rsid w:val="7D43322A"/>
    <w:rsid w:val="7D4A280A"/>
    <w:rsid w:val="7D4D5E56"/>
    <w:rsid w:val="7D586CD5"/>
    <w:rsid w:val="7D981F3B"/>
    <w:rsid w:val="7DA0242A"/>
    <w:rsid w:val="7DA939D5"/>
    <w:rsid w:val="7DDF11A4"/>
    <w:rsid w:val="7DF84014"/>
    <w:rsid w:val="7E066731"/>
    <w:rsid w:val="7ED405DD"/>
    <w:rsid w:val="7EE34CC4"/>
    <w:rsid w:val="7EE54599"/>
    <w:rsid w:val="7F203823"/>
    <w:rsid w:val="7F2A644F"/>
    <w:rsid w:val="7F54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BDC50-1436-41FE-B698-1BF0F9BB0605}">
  <ds:schemaRefs/>
</ds:datastoreItem>
</file>

<file path=docProps/app.xml><?xml version="1.0" encoding="utf-8"?>
<Properties xmlns="http://schemas.openxmlformats.org/officeDocument/2006/extended-properties" xmlns:vt="http://schemas.openxmlformats.org/officeDocument/2006/docPropsVTypes">
  <Template>Normal</Template>
  <Pages>7</Pages>
  <Words>3723</Words>
  <Characters>3756</Characters>
  <Lines>26</Lines>
  <Paragraphs>7</Paragraphs>
  <TotalTime>1</TotalTime>
  <ScaleCrop>false</ScaleCrop>
  <LinksUpToDate>false</LinksUpToDate>
  <CharactersWithSpaces>3759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2022-02-24T06:47:00Z</dcterms:created>
  <dc:creator>Administrator</dc:creator>
  <cp:lastModifiedBy>Grace@em</cp:lastModifiedBy>
  <dcterms:modified xsi:type="dcterms:W3CDTF">2022-04-02T08:01:07Z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B8FE94BF7FCF4A8B9F001749C9A67D86</vt:lpwstr>
  </property>
</Properties>
</file>