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center"/>
        <w:rPr>
          <w:rFonts w:hint="eastAsia" w:ascii="方正小标宋_GBK" w:hAnsi="????" w:eastAsia="方正小标宋_GBK"/>
          <w:color w:val="FF0000"/>
          <w:spacing w:val="-20"/>
          <w:w w:val="45"/>
          <w:sz w:val="124"/>
          <w:szCs w:val="124"/>
        </w:rPr>
      </w:pPr>
      <w:r>
        <w:rPr>
          <w:rFonts w:hint="eastAsia" w:ascii="方正小标宋_GBK" w:hAnsi="????" w:eastAsia="方正小标宋_GBK"/>
          <w:color w:val="FF0000"/>
          <w:spacing w:val="-20"/>
          <w:w w:val="45"/>
          <w:sz w:val="124"/>
          <w:szCs w:val="124"/>
        </w:rPr>
        <w:t>青岛西海岸新区教育和体育局办公室</w:t>
      </w:r>
    </w:p>
    <w:p>
      <w:pPr>
        <w:spacing w:line="560" w:lineRule="exact"/>
        <w:jc w:val="center"/>
        <w:rPr>
          <w:rFonts w:hint="eastAsia" w:ascii="宋体" w:hAnsi="宋体"/>
          <w:bCs/>
          <w:sz w:val="44"/>
        </w:rPr>
      </w:pPr>
      <w:r>
        <w:rPr>
          <w:rFonts w:hint="eastAsia" w:ascii="仿宋_GB2312" w:hAnsi="宋体" w:eastAsia="仿宋_GB2312"/>
          <w:bCs/>
          <w:sz w:val="32"/>
          <w:szCs w:val="32"/>
        </w:rPr>
        <w:t>青西</w:t>
      </w:r>
      <w:r>
        <w:rPr>
          <w:rFonts w:hint="eastAsia" w:ascii="仿宋_GB2312" w:hAnsi="宋体" w:eastAsia="仿宋_GB2312"/>
          <w:bCs/>
          <w:sz w:val="32"/>
          <w:szCs w:val="32"/>
          <w:lang w:val="en-US" w:eastAsia="zh-CN"/>
        </w:rPr>
        <w:t>新</w:t>
      </w:r>
      <w:r>
        <w:rPr>
          <w:rFonts w:hint="eastAsia" w:ascii="仿宋_GB2312" w:hAnsi="宋体" w:eastAsia="仿宋_GB2312"/>
          <w:bCs/>
          <w:sz w:val="32"/>
          <w:szCs w:val="32"/>
        </w:rPr>
        <w:t>教体办字</w:t>
      </w:r>
      <w:r>
        <w:rPr>
          <w:rFonts w:hint="eastAsia" w:ascii="仿宋_GB2312" w:hAnsi="宋体" w:eastAsia="仿宋_GB2312"/>
          <w:sz w:val="32"/>
          <w:szCs w:val="32"/>
        </w:rPr>
        <w:t>〔20</w:t>
      </w:r>
      <w:r>
        <w:rPr>
          <w:rFonts w:hint="eastAsia" w:ascii="仿宋_GB2312" w:hAnsi="宋体" w:eastAsia="仿宋_GB2312"/>
          <w:sz w:val="32"/>
          <w:szCs w:val="32"/>
          <w:lang w:val="en-US" w:eastAsia="zh-CN"/>
        </w:rPr>
        <w:t>20</w:t>
      </w:r>
      <w:r>
        <w:rPr>
          <w:rFonts w:hint="eastAsia" w:ascii="仿宋_GB2312" w:hAnsi="宋体" w:eastAsia="仿宋_GB2312"/>
          <w:sz w:val="32"/>
          <w:szCs w:val="32"/>
        </w:rPr>
        <w:t>〕</w:t>
      </w:r>
      <w:r>
        <w:rPr>
          <w:rFonts w:hint="eastAsia" w:ascii="仿宋_GB2312" w:hAnsi="宋体"/>
          <w:sz w:val="32"/>
          <w:szCs w:val="32"/>
          <w:lang w:val="en-US" w:eastAsia="zh-CN"/>
        </w:rPr>
        <w:t xml:space="preserve"> 38</w:t>
      </w:r>
      <w:r>
        <w:rPr>
          <w:rFonts w:hint="eastAsia" w:ascii="仿宋_GB2312" w:hAnsi="宋体" w:eastAsia="仿宋_GB2312"/>
          <w:sz w:val="32"/>
          <w:szCs w:val="32"/>
        </w:rPr>
        <w:t>号</w:t>
      </w:r>
    </w:p>
    <w:p>
      <w:pPr>
        <w:spacing w:line="560" w:lineRule="exact"/>
        <w:rPr>
          <w:rFonts w:hint="eastAsia" w:ascii="宋体" w:hAnsi="宋体" w:eastAsia="宋体"/>
          <w:b/>
          <w:sz w:val="44"/>
          <w:szCs w:val="44"/>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96520</wp:posOffset>
                </wp:positionV>
                <wp:extent cx="56007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635"/>
                        </a:xfrm>
                        <a:prstGeom prst="line">
                          <a:avLst/>
                        </a:prstGeom>
                        <a:ln w="95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7.6pt;height:0.05pt;width:441pt;z-index:251658240;mso-width-relative:page;mso-height-relative:page;" filled="f" stroked="t" coordsize="21600,21600" o:gfxdata="UEsDBAoAAAAAAIdO4kAAAAAAAAAAAAAAAAAEAAAAZHJzL1BLAwQUAAAACACHTuJAOrCO8tQAAAAG&#10;AQAADwAAAGRycy9kb3ducmV2LnhtbE2PwU7DMAyG70h7h8iTuLGkRVRVaTqhCS5wYkyTuGWNaUub&#10;pGu8brw93gmO/n7r9+dyfXGDmHGKXfAakpUCgb4OtvONht3Hy10OIpLx1gzBo4YfjLCuFjelKWw4&#10;+3ect9QILvGxMBpaorGQMtYtOhNXYUTP2VeYnCEep0bayZy53A0yVSqTznSeL7RmxE2Ldb89OQ2U&#10;fdPeZsfXPtn1+0/1pmb19Kz17TJRjyAIL/S3DFd9VoeKnQ7h5G0UgwZ+hJg+pCA4zfOUweEK7kFW&#10;pfyvX/0CUEsDBBQAAAAIAIdO4kD8SeMN2AEAAJoDAAAOAAAAZHJzL2Uyb0RvYy54bWytU02u0zAQ&#10;3iNxB8t7mrSoBaKmb/FK2SCoBBxgajuNJf/JY5r2ElwAiR2sWLLnNu9xDMZuKA/YIEQWkxl7/Hm+&#10;L1+WV0dr2EFF1N61fDqpOVNOeKndvuVvXm8ePOYMEzgJxjvV8pNCfrW6f285hEbNfO+NVJERiMNm&#10;CC3vUwpNVaHolQWc+KAcbXY+WkhUxn0lIwyEbk01q+tFNfgoQ/RCIdLq+rzJVwW/65RIL7sOVWKm&#10;5TRbKjGWuMuxWi2h2UcIvRbjGPAPU1jQji69QK0hAXsb9R9QVovo0XdpIrytfNdpoQoHYjOtf2Pz&#10;qoegChcSB8NFJvx/sOLFYRuZlvTtOHNg6RPdvv9y8+7jt68fKN5+/sSmWaQhYEO9124bxwrDNmbG&#10;xy7a/CYu7FiEPV2EVcfEBC3OF3X9qCb9Be0tHs4zYvXzaIiYnilvWU5abrTLrKGBw3NM59YfLXnZ&#10;ODa0/Ml8NidAINN0BhKlNhANdPtyFr3RcqONyScw7nfXJrIDkA02m5qecYRf2vIla8D+3Fe2chs0&#10;vQL51EmWToEEcuRknkewSnJmFBk/Z6UzgTZ/00nsjcvQqph05JlVPuuas52XpyJ3lSsyQBFtNGt2&#10;2N2a8ru/1O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rCO8tQAAAAGAQAADwAAAAAAAAABACAA&#10;AAAiAAAAZHJzL2Rvd25yZXYueG1sUEsBAhQAFAAAAAgAh07iQPxJ4w3YAQAAmgMAAA4AAAAAAAAA&#10;AQAgAAAAIwEAAGRycy9lMm9Eb2MueG1sUEsFBgAAAAAGAAYAWQEAAG0FAAAAAA==&#10;">
                <v:fill on="f" focussize="0,0"/>
                <v:stroke color="#FF0000" joinstyle="round"/>
                <v:imagedata o:title=""/>
                <o:lock v:ext="edit" aspectratio="f"/>
              </v:line>
            </w:pict>
          </mc:Fallback>
        </mc:AlternateContent>
      </w:r>
    </w:p>
    <w:p>
      <w:pPr>
        <w:spacing w:line="560" w:lineRule="exact"/>
        <w:jc w:val="center"/>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青岛西海岸新区教育</w:t>
      </w:r>
      <w:r>
        <w:rPr>
          <w:rFonts w:hint="eastAsia" w:ascii="方正小标宋_GBK" w:hAnsi="方正小标宋_GBK" w:eastAsia="方正小标宋_GBK" w:cs="方正小标宋_GBK"/>
          <w:spacing w:val="0"/>
          <w:sz w:val="44"/>
          <w:szCs w:val="44"/>
          <w:lang w:val="en-US" w:eastAsia="zh-CN"/>
        </w:rPr>
        <w:t>和</w:t>
      </w:r>
      <w:r>
        <w:rPr>
          <w:rFonts w:hint="eastAsia" w:ascii="方正小标宋_GBK" w:hAnsi="方正小标宋_GBK" w:eastAsia="方正小标宋_GBK" w:cs="方正小标宋_GBK"/>
          <w:spacing w:val="0"/>
          <w:sz w:val="44"/>
          <w:szCs w:val="44"/>
        </w:rPr>
        <w:t>体育局办公室</w:t>
      </w:r>
    </w:p>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关于公布《青岛西海岸</w:t>
      </w:r>
      <w:r>
        <w:rPr>
          <w:rFonts w:hint="eastAsia" w:ascii="方正小标宋_GBK" w:hAnsi="方正小标宋_GBK" w:eastAsia="方正小标宋_GBK" w:cs="方正小标宋_GBK"/>
          <w:color w:val="333333"/>
          <w:sz w:val="44"/>
          <w:szCs w:val="44"/>
          <w:shd w:val="clear" w:fill="FFFFFF"/>
          <w:lang w:val="en-US" w:eastAsia="zh-CN"/>
        </w:rPr>
        <w:t>新区</w:t>
      </w:r>
      <w:r>
        <w:rPr>
          <w:rFonts w:hint="eastAsia" w:ascii="方正小标宋_GBK" w:hAnsi="方正小标宋_GBK" w:eastAsia="方正小标宋_GBK" w:cs="方正小标宋_GBK"/>
          <w:color w:val="333333"/>
          <w:sz w:val="44"/>
          <w:szCs w:val="44"/>
          <w:shd w:val="clear" w:fill="FFFFFF"/>
        </w:rPr>
        <w:t>教育</w:t>
      </w:r>
      <w:r>
        <w:rPr>
          <w:rFonts w:hint="eastAsia" w:ascii="方正小标宋_GBK" w:hAnsi="方正小标宋_GBK" w:eastAsia="方正小标宋_GBK" w:cs="方正小标宋_GBK"/>
          <w:color w:val="333333"/>
          <w:sz w:val="44"/>
          <w:szCs w:val="44"/>
          <w:shd w:val="clear" w:fill="FFFFFF"/>
          <w:lang w:val="en-US" w:eastAsia="zh-CN"/>
        </w:rPr>
        <w:t>和</w:t>
      </w:r>
      <w:r>
        <w:rPr>
          <w:rFonts w:hint="eastAsia" w:ascii="方正小标宋_GBK" w:hAnsi="方正小标宋_GBK" w:eastAsia="方正小标宋_GBK" w:cs="方正小标宋_GBK"/>
          <w:color w:val="333333"/>
          <w:sz w:val="44"/>
          <w:szCs w:val="44"/>
          <w:shd w:val="clear" w:fill="FFFFFF"/>
        </w:rPr>
        <w:t>体育局政务公开工作实施方案</w:t>
      </w:r>
      <w:r>
        <w:rPr>
          <w:rFonts w:hint="eastAsia" w:ascii="方正小标宋_GBK" w:hAnsi="方正小标宋_GBK" w:eastAsia="方正小标宋_GBK" w:cs="方正小标宋_GBK"/>
          <w:bCs/>
          <w:sz w:val="44"/>
          <w:szCs w:val="44"/>
        </w:rPr>
        <w:t>》的通知</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方正小标宋_GBK" w:hAnsi="方正小标宋_GBK" w:eastAsia="方正小标宋_GBK" w:cs="方正小标宋_GBK"/>
          <w:color w:val="333333"/>
          <w:sz w:val="44"/>
          <w:szCs w:val="44"/>
          <w:shd w:val="clear" w:fill="FFFFFF"/>
          <w:lang w:val="en-US" w:eastAsia="zh-CN"/>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区体育发展中心，各学区教育服务中心，各镇街道教育办公室，各学校、幼儿园，局属各单位，机关各科室：</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2020年是政务公开基层年，做好基层政务公开标准化规范化工作是今年的重中之重。现</w:t>
      </w:r>
      <w:r>
        <w:rPr>
          <w:rFonts w:hint="eastAsia" w:ascii="仿宋_GB2312" w:hAnsi="仿宋_GB2312" w:eastAsia="仿宋_GB2312" w:cs="仿宋_GB2312"/>
          <w:color w:val="333333"/>
          <w:sz w:val="32"/>
          <w:szCs w:val="32"/>
          <w:shd w:val="clear" w:fill="FFFFFF"/>
          <w:lang w:val="en-US" w:eastAsia="zh-CN"/>
        </w:rPr>
        <w:t>将</w:t>
      </w:r>
      <w:r>
        <w:rPr>
          <w:rFonts w:hint="eastAsia" w:ascii="仿宋_GB2312" w:hAnsi="仿宋_GB2312" w:eastAsia="仿宋_GB2312" w:cs="仿宋_GB2312"/>
          <w:color w:val="333333"/>
          <w:sz w:val="32"/>
          <w:szCs w:val="32"/>
          <w:shd w:val="clear" w:fill="FFFFFF"/>
        </w:rPr>
        <w:t>《青岛西海岸新区教育和体育局政务公开工作实施方案》印发给你们，并提出如下要求，请各单位认真组织学习，结合实际抓好贯彻落实。</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lang w:val="en-US" w:eastAsia="zh-CN"/>
        </w:rPr>
        <w:t>一、</w:t>
      </w:r>
      <w:r>
        <w:rPr>
          <w:rFonts w:hint="eastAsia" w:ascii="黑体" w:hAnsi="黑体" w:eastAsia="黑体" w:cs="黑体"/>
          <w:color w:val="333333"/>
          <w:sz w:val="32"/>
          <w:szCs w:val="32"/>
          <w:shd w:val="clear" w:fill="FFFFFF"/>
        </w:rPr>
        <w:t>高度重视，压实责任。</w:t>
      </w:r>
      <w:r>
        <w:rPr>
          <w:rFonts w:hint="eastAsia" w:ascii="仿宋_GB2312" w:hAnsi="仿宋_GB2312" w:eastAsia="仿宋_GB2312" w:cs="仿宋_GB2312"/>
          <w:color w:val="333333"/>
          <w:sz w:val="32"/>
          <w:szCs w:val="32"/>
          <w:shd w:val="clear" w:fill="FFFFFF"/>
          <w:lang w:val="en-US" w:eastAsia="zh-CN"/>
        </w:rPr>
        <w:t>政务公开</w:t>
      </w:r>
      <w:r>
        <w:rPr>
          <w:rFonts w:hint="eastAsia" w:ascii="仿宋_GB2312" w:hAnsi="仿宋_GB2312" w:eastAsia="仿宋_GB2312" w:cs="仿宋_GB2312"/>
          <w:color w:val="333333"/>
          <w:sz w:val="32"/>
          <w:szCs w:val="32"/>
          <w:shd w:val="clear" w:fill="FFFFFF"/>
        </w:rPr>
        <w:t>工作已列入区对局考核，政策性强，涉及面广。</w:t>
      </w:r>
      <w:r>
        <w:rPr>
          <w:rFonts w:hint="eastAsia" w:ascii="仿宋_GB2312" w:hAnsi="仿宋_GB2312" w:eastAsia="仿宋_GB2312" w:cs="仿宋_GB2312"/>
          <w:color w:val="333333"/>
          <w:sz w:val="32"/>
          <w:szCs w:val="32"/>
          <w:shd w:val="clear" w:fill="FFFFFF"/>
          <w:lang w:val="en-US" w:eastAsia="zh-CN"/>
        </w:rPr>
        <w:t>各科室、各</w:t>
      </w:r>
      <w:r>
        <w:rPr>
          <w:rFonts w:hint="eastAsia" w:ascii="仿宋_GB2312" w:hAnsi="仿宋_GB2312" w:eastAsia="仿宋_GB2312" w:cs="仿宋_GB2312"/>
          <w:color w:val="333333"/>
          <w:sz w:val="32"/>
          <w:szCs w:val="32"/>
          <w:shd w:val="clear" w:fill="FFFFFF"/>
        </w:rPr>
        <w:t>学校要把握形势，提高站位，切实增强做好</w:t>
      </w:r>
      <w:r>
        <w:rPr>
          <w:rFonts w:hint="eastAsia" w:ascii="仿宋_GB2312" w:hAnsi="仿宋_GB2312" w:eastAsia="仿宋_GB2312" w:cs="仿宋_GB2312"/>
          <w:color w:val="333333"/>
          <w:sz w:val="32"/>
          <w:szCs w:val="32"/>
          <w:shd w:val="clear" w:fill="FFFFFF"/>
          <w:lang w:val="en-US" w:eastAsia="zh-CN"/>
        </w:rPr>
        <w:t>政务公开</w:t>
      </w:r>
      <w:r>
        <w:rPr>
          <w:rFonts w:hint="eastAsia" w:ascii="仿宋_GB2312" w:hAnsi="仿宋_GB2312" w:eastAsia="仿宋_GB2312" w:cs="仿宋_GB2312"/>
          <w:color w:val="333333"/>
          <w:sz w:val="32"/>
          <w:szCs w:val="32"/>
          <w:shd w:val="clear" w:fill="FFFFFF"/>
        </w:rPr>
        <w:t>工作的责任感与使命感。学校主要负责人是第一责任人，要靠前指挥、现场调度、全力靠上，抽调责任心强的干部教师成立工作专班，压实工作责任，顶格推进，确保高标准、高质量按规定时间完成相关指标的公示公开。</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lang w:val="en-US" w:eastAsia="zh-CN"/>
        </w:rPr>
        <w:t>二、</w:t>
      </w:r>
      <w:r>
        <w:rPr>
          <w:rFonts w:hint="eastAsia" w:ascii="黑体" w:hAnsi="黑体" w:eastAsia="黑体" w:cs="黑体"/>
          <w:color w:val="333333"/>
          <w:sz w:val="32"/>
          <w:szCs w:val="32"/>
          <w:shd w:val="clear" w:fill="FFFFFF"/>
        </w:rPr>
        <w:t>认真总结，查漏补缺。</w:t>
      </w:r>
      <w:r>
        <w:rPr>
          <w:rFonts w:hint="eastAsia" w:ascii="仿宋_GB2312" w:hAnsi="仿宋_GB2312" w:eastAsia="仿宋_GB2312" w:cs="仿宋_GB2312"/>
          <w:color w:val="333333"/>
          <w:sz w:val="32"/>
          <w:szCs w:val="32"/>
          <w:shd w:val="clear" w:fill="FFFFFF"/>
        </w:rPr>
        <w:t>要结合考核指标，全面梳理本单位政务公开任务，进一步细化分解任务，明确时间节点，倒排工期，认真整改到位，实现工作成效最大化，确保政务公开工作不留死角，扎实推进政务公开标准化、规范化。</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lang w:val="en-US" w:eastAsia="zh-CN"/>
        </w:rPr>
        <w:t>三、</w:t>
      </w:r>
      <w:r>
        <w:rPr>
          <w:rFonts w:hint="eastAsia" w:ascii="黑体" w:hAnsi="黑体" w:eastAsia="黑体" w:cs="黑体"/>
          <w:color w:val="333333"/>
          <w:sz w:val="32"/>
          <w:szCs w:val="32"/>
          <w:shd w:val="clear" w:fill="FFFFFF"/>
        </w:rPr>
        <w:t>突出重点，强化督查。</w:t>
      </w:r>
      <w:r>
        <w:rPr>
          <w:rFonts w:hint="eastAsia" w:ascii="仿宋_GB2312" w:hAnsi="仿宋_GB2312" w:eastAsia="仿宋_GB2312" w:cs="仿宋_GB2312"/>
          <w:color w:val="333333"/>
          <w:sz w:val="32"/>
          <w:szCs w:val="32"/>
          <w:shd w:val="clear" w:fill="FFFFFF"/>
        </w:rPr>
        <w:t>2020年政务公开考核的各项指标要求更加细致，更加具体</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工作时间紧，任务重。区局考核组将对各学校的推进情况进行督查，对因落实不细、作为不力等原因对区局考核工作造成影响的，将进行严肃问责。</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200" w:right="0" w:rightChars="0"/>
        <w:jc w:val="left"/>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200" w:right="0" w:rightChars="0" w:firstLine="320" w:firstLineChars="100"/>
        <w:jc w:val="left"/>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联系电话：88189325</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200" w:right="0" w:rightChars="0"/>
        <w:jc w:val="left"/>
        <w:textAlignment w:val="auto"/>
        <w:rPr>
          <w:rFonts w:hint="default" w:ascii="仿宋_GB2312" w:hAnsi="仿宋_GB2312" w:eastAsia="仿宋_GB2312" w:cs="仿宋_GB2312"/>
          <w:color w:val="333333"/>
          <w:sz w:val="32"/>
          <w:szCs w:val="32"/>
          <w:shd w:val="clear" w:fill="FFFFFF"/>
          <w:lang w:val="en-US" w:eastAsia="zh-CN"/>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rPr>
        <w:t>青岛西海岸新区教育和体育局</w:t>
      </w:r>
      <w:r>
        <w:rPr>
          <w:rFonts w:hint="eastAsia" w:ascii="仿宋_GB2312" w:hAnsi="仿宋_GB2312" w:eastAsia="仿宋_GB2312" w:cs="仿宋_GB2312"/>
          <w:color w:val="333333"/>
          <w:sz w:val="32"/>
          <w:szCs w:val="32"/>
          <w:shd w:val="clear" w:fill="FFFFFF"/>
          <w:lang w:val="en-US" w:eastAsia="zh-CN"/>
        </w:rPr>
        <w:t>办公室</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 xml:space="preserve">    </w:t>
      </w:r>
      <w:r>
        <w:rPr>
          <w:rFonts w:hint="eastAsia" w:ascii="仿宋_GB2312" w:hAnsi="仿宋_GB2312" w:eastAsia="仿宋_GB2312" w:cs="仿宋_GB2312"/>
          <w:color w:val="333333"/>
          <w:sz w:val="32"/>
          <w:szCs w:val="32"/>
          <w:shd w:val="clear" w:fill="FFFFFF"/>
        </w:rPr>
        <w:t>2020年</w:t>
      </w:r>
      <w:r>
        <w:rPr>
          <w:rFonts w:hint="eastAsia" w:ascii="仿宋_GB2312" w:hAnsi="仿宋_GB2312" w:eastAsia="仿宋_GB2312" w:cs="仿宋_GB2312"/>
          <w:color w:val="333333"/>
          <w:sz w:val="32"/>
          <w:szCs w:val="32"/>
          <w:shd w:val="clear" w:fill="FFFFFF"/>
          <w:lang w:val="en-US" w:eastAsia="zh-CN"/>
        </w:rPr>
        <w:t>10</w:t>
      </w:r>
      <w:r>
        <w:rPr>
          <w:rFonts w:hint="eastAsia" w:ascii="仿宋_GB2312" w:hAnsi="仿宋_GB2312" w:eastAsia="仿宋_GB2312" w:cs="仿宋_GB2312"/>
          <w:color w:val="333333"/>
          <w:sz w:val="32"/>
          <w:szCs w:val="32"/>
          <w:shd w:val="clear" w:fill="FFFFFF"/>
        </w:rPr>
        <w:t>月19日</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方正小标宋_GBK" w:hAnsi="方正小标宋_GBK" w:eastAsia="方正小标宋_GBK" w:cs="方正小标宋_GBK"/>
          <w:bCs/>
          <w:sz w:val="44"/>
          <w:szCs w:val="44"/>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方正小标宋_GBK" w:hAnsi="方正小标宋_GBK" w:eastAsia="方正小标宋_GBK" w:cs="方正小标宋_GBK"/>
          <w:color w:val="333333"/>
          <w:sz w:val="44"/>
          <w:szCs w:val="44"/>
          <w:shd w:val="clear" w:fill="FFFFFF"/>
        </w:rPr>
      </w:pPr>
      <w:r>
        <w:rPr>
          <w:rFonts w:hint="eastAsia" w:ascii="方正小标宋_GBK" w:hAnsi="方正小标宋_GBK" w:eastAsia="方正小标宋_GBK" w:cs="方正小标宋_GBK"/>
          <w:bCs/>
          <w:sz w:val="44"/>
          <w:szCs w:val="44"/>
        </w:rPr>
        <w:t>青岛西海岸</w:t>
      </w:r>
      <w:r>
        <w:rPr>
          <w:rFonts w:hint="eastAsia" w:ascii="方正小标宋_GBK" w:hAnsi="方正小标宋_GBK" w:eastAsia="方正小标宋_GBK" w:cs="方正小标宋_GBK"/>
          <w:color w:val="333333"/>
          <w:sz w:val="44"/>
          <w:szCs w:val="44"/>
          <w:shd w:val="clear" w:fill="FFFFFF"/>
          <w:lang w:val="en-US" w:eastAsia="zh-CN"/>
        </w:rPr>
        <w:t>新区</w:t>
      </w:r>
      <w:r>
        <w:rPr>
          <w:rFonts w:hint="eastAsia" w:ascii="方正小标宋_GBK" w:hAnsi="方正小标宋_GBK" w:eastAsia="方正小标宋_GBK" w:cs="方正小标宋_GBK"/>
          <w:color w:val="333333"/>
          <w:sz w:val="44"/>
          <w:szCs w:val="44"/>
          <w:shd w:val="clear" w:fill="FFFFFF"/>
        </w:rPr>
        <w:t>教育</w:t>
      </w:r>
      <w:r>
        <w:rPr>
          <w:rFonts w:hint="eastAsia" w:ascii="方正小标宋_GBK" w:hAnsi="方正小标宋_GBK" w:eastAsia="方正小标宋_GBK" w:cs="方正小标宋_GBK"/>
          <w:color w:val="333333"/>
          <w:sz w:val="44"/>
          <w:szCs w:val="44"/>
          <w:shd w:val="clear" w:fill="FFFFFF"/>
          <w:lang w:val="en-US" w:eastAsia="zh-CN"/>
        </w:rPr>
        <w:t>和</w:t>
      </w:r>
      <w:r>
        <w:rPr>
          <w:rFonts w:hint="eastAsia" w:ascii="方正小标宋_GBK" w:hAnsi="方正小标宋_GBK" w:eastAsia="方正小标宋_GBK" w:cs="方正小标宋_GBK"/>
          <w:color w:val="333333"/>
          <w:sz w:val="44"/>
          <w:szCs w:val="44"/>
          <w:shd w:val="clear" w:fill="FFFFFF"/>
        </w:rPr>
        <w:t>体育局政务公开工作</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仿宋_GB2312" w:hAnsi="仿宋_GB2312" w:eastAsia="仿宋_GB2312" w:cs="仿宋_GB2312"/>
          <w:color w:val="333333"/>
          <w:sz w:val="32"/>
          <w:szCs w:val="32"/>
          <w:shd w:val="clear" w:fill="FFFFFF"/>
        </w:rPr>
      </w:pPr>
      <w:r>
        <w:rPr>
          <w:rFonts w:hint="eastAsia" w:ascii="方正小标宋_GBK" w:hAnsi="方正小标宋_GBK" w:eastAsia="方正小标宋_GBK" w:cs="方正小标宋_GBK"/>
          <w:color w:val="333333"/>
          <w:sz w:val="44"/>
          <w:szCs w:val="44"/>
          <w:shd w:val="clear" w:fill="FFFFFF"/>
        </w:rPr>
        <w:t>实施方案</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为进一步完善和推进政务信息公开工作，提高行政效能，促进依法行政，根据《中华人民共和国政府信息公开条例》</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青岛西海岸新区基层政务公开标准化规范化工作实施方案</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要求，结合</w:t>
      </w:r>
      <w:r>
        <w:rPr>
          <w:rFonts w:hint="eastAsia" w:ascii="仿宋_GB2312" w:hAnsi="仿宋_GB2312" w:eastAsia="仿宋_GB2312" w:cs="仿宋_GB2312"/>
          <w:color w:val="333333"/>
          <w:sz w:val="32"/>
          <w:szCs w:val="32"/>
          <w:shd w:val="clear" w:fill="FFFFFF"/>
          <w:lang w:val="en-US" w:eastAsia="zh-CN"/>
        </w:rPr>
        <w:t>新区</w:t>
      </w:r>
      <w:r>
        <w:rPr>
          <w:rFonts w:hint="eastAsia" w:ascii="仿宋_GB2312" w:hAnsi="仿宋_GB2312" w:eastAsia="仿宋_GB2312" w:cs="仿宋_GB2312"/>
          <w:color w:val="333333"/>
          <w:sz w:val="32"/>
          <w:szCs w:val="32"/>
          <w:shd w:val="clear" w:fill="FFFFFF"/>
        </w:rPr>
        <w:t>教育</w:t>
      </w:r>
      <w:r>
        <w:rPr>
          <w:rFonts w:hint="eastAsia" w:ascii="仿宋_GB2312" w:hAnsi="仿宋_GB2312" w:eastAsia="仿宋_GB2312" w:cs="仿宋_GB2312"/>
          <w:color w:val="333333"/>
          <w:sz w:val="32"/>
          <w:szCs w:val="32"/>
          <w:shd w:val="clear" w:fill="FFFFFF"/>
          <w:lang w:val="en-US" w:eastAsia="zh-CN"/>
        </w:rPr>
        <w:t>体育</w:t>
      </w:r>
      <w:r>
        <w:rPr>
          <w:rFonts w:hint="eastAsia" w:ascii="仿宋_GB2312" w:hAnsi="仿宋_GB2312" w:eastAsia="仿宋_GB2312" w:cs="仿宋_GB2312"/>
          <w:color w:val="333333"/>
          <w:sz w:val="32"/>
          <w:szCs w:val="32"/>
          <w:shd w:val="clear" w:fill="FFFFFF"/>
        </w:rPr>
        <w:t>系统实际情况，制定本实施方案。</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黑体" w:hAnsi="黑体" w:eastAsia="黑体" w:cs="黑体"/>
          <w:color w:val="333333"/>
          <w:sz w:val="32"/>
          <w:szCs w:val="32"/>
          <w:shd w:val="clear" w:fill="FFFFFF"/>
        </w:rPr>
      </w:pPr>
      <w:r>
        <w:rPr>
          <w:rFonts w:hint="eastAsia" w:ascii="黑体" w:hAnsi="黑体" w:eastAsia="黑体" w:cs="黑体"/>
          <w:color w:val="333333"/>
          <w:sz w:val="32"/>
          <w:szCs w:val="32"/>
          <w:shd w:val="clear" w:fill="FFFFFF"/>
        </w:rPr>
        <w:t>一</w:t>
      </w:r>
      <w:r>
        <w:rPr>
          <w:rFonts w:hint="eastAsia" w:ascii="黑体" w:hAnsi="黑体" w:eastAsia="黑体" w:cs="黑体"/>
          <w:color w:val="333333"/>
          <w:sz w:val="32"/>
          <w:szCs w:val="32"/>
          <w:shd w:val="clear" w:fill="FFFFFF"/>
          <w:lang w:eastAsia="zh-CN"/>
        </w:rPr>
        <w:t>、</w:t>
      </w:r>
      <w:r>
        <w:rPr>
          <w:rFonts w:hint="eastAsia" w:ascii="黑体" w:hAnsi="黑体" w:eastAsia="黑体" w:cs="黑体"/>
          <w:color w:val="333333"/>
          <w:sz w:val="32"/>
          <w:szCs w:val="32"/>
          <w:shd w:val="clear" w:fill="FFFFFF"/>
        </w:rPr>
        <w:t>指导思想</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以习近平新时代中国特色社会主义思想为指导，全面贯彻党的十九大、习近平总书记系列重要讲话精神和治国理政新理念新思想新战略，深入落实党中央、国务院关于全面推进政务公开工作的有关决策部署，以提高教育</w:t>
      </w:r>
      <w:r>
        <w:rPr>
          <w:rFonts w:hint="eastAsia" w:ascii="仿宋_GB2312" w:hAnsi="仿宋_GB2312" w:eastAsia="仿宋_GB2312" w:cs="仿宋_GB2312"/>
          <w:color w:val="333333"/>
          <w:sz w:val="32"/>
          <w:szCs w:val="32"/>
          <w:shd w:val="clear" w:fill="FFFFFF"/>
          <w:lang w:val="en-US" w:eastAsia="zh-CN"/>
        </w:rPr>
        <w:t>体育</w:t>
      </w:r>
      <w:r>
        <w:rPr>
          <w:rFonts w:hint="eastAsia" w:ascii="仿宋_GB2312" w:hAnsi="仿宋_GB2312" w:eastAsia="仿宋_GB2312" w:cs="仿宋_GB2312"/>
          <w:color w:val="333333"/>
          <w:sz w:val="32"/>
          <w:szCs w:val="32"/>
          <w:shd w:val="clear" w:fill="FFFFFF"/>
        </w:rPr>
        <w:t>系统服务水平和服务质量为宗旨，坚持以公开为常态、不公开为例外，全面推进</w:t>
      </w:r>
      <w:r>
        <w:rPr>
          <w:rFonts w:hint="eastAsia" w:ascii="仿宋_GB2312" w:hAnsi="仿宋_GB2312" w:eastAsia="仿宋_GB2312" w:cs="仿宋_GB2312"/>
          <w:color w:val="333333"/>
          <w:sz w:val="32"/>
          <w:szCs w:val="32"/>
          <w:shd w:val="clear" w:fill="FFFFFF"/>
          <w:lang w:val="en-US" w:eastAsia="zh-CN"/>
        </w:rPr>
        <w:t>新区</w:t>
      </w:r>
      <w:r>
        <w:rPr>
          <w:rFonts w:hint="eastAsia" w:ascii="仿宋_GB2312" w:hAnsi="仿宋_GB2312" w:eastAsia="仿宋_GB2312" w:cs="仿宋_GB2312"/>
          <w:color w:val="333333"/>
          <w:sz w:val="32"/>
          <w:szCs w:val="32"/>
          <w:shd w:val="clear" w:fill="FFFFFF"/>
        </w:rPr>
        <w:t>教育体育工作决策公开、执行公开、管理公开、服务公开、结果公开，依法保障人民群众知情权、参与权、表达权、监督权</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提升政务公开质量和实效，密切党群、干群关系，发挥政务公开在全</w:t>
      </w:r>
      <w:r>
        <w:rPr>
          <w:rFonts w:hint="eastAsia" w:ascii="仿宋_GB2312" w:hAnsi="仿宋_GB2312" w:eastAsia="仿宋_GB2312" w:cs="仿宋_GB2312"/>
          <w:color w:val="333333"/>
          <w:sz w:val="32"/>
          <w:szCs w:val="32"/>
          <w:shd w:val="clear" w:fill="FFFFFF"/>
          <w:lang w:val="en-US" w:eastAsia="zh-CN"/>
        </w:rPr>
        <w:t>区</w:t>
      </w:r>
      <w:r>
        <w:rPr>
          <w:rFonts w:hint="eastAsia" w:ascii="仿宋_GB2312" w:hAnsi="仿宋_GB2312" w:eastAsia="仿宋_GB2312" w:cs="仿宋_GB2312"/>
          <w:color w:val="333333"/>
          <w:sz w:val="32"/>
          <w:szCs w:val="32"/>
          <w:shd w:val="clear" w:fill="FFFFFF"/>
        </w:rPr>
        <w:t>教育改革、发展和稳定中的作用，树立教育系统新形象，努力办好公平而有质量的教育</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为不断增强政府公信力执行力、深化“放管服”改革、优化营商环境、加快法治政府和服务型政府建设提供重要支撑。</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黑体" w:hAnsi="黑体" w:eastAsia="黑体" w:cs="黑体"/>
          <w:color w:val="333333"/>
          <w:sz w:val="32"/>
          <w:szCs w:val="32"/>
          <w:shd w:val="clear" w:fill="FFFFFF"/>
        </w:rPr>
      </w:pPr>
      <w:r>
        <w:rPr>
          <w:rFonts w:hint="eastAsia" w:ascii="黑体" w:hAnsi="黑体" w:eastAsia="黑体" w:cs="黑体"/>
          <w:color w:val="333333"/>
          <w:sz w:val="32"/>
          <w:szCs w:val="32"/>
          <w:shd w:val="clear" w:fill="FFFFFF"/>
          <w:lang w:val="en-US" w:eastAsia="zh-CN"/>
        </w:rPr>
        <w:t>二、</w:t>
      </w:r>
      <w:r>
        <w:rPr>
          <w:rFonts w:hint="eastAsia" w:ascii="黑体" w:hAnsi="黑体" w:eastAsia="黑体" w:cs="黑体"/>
          <w:color w:val="333333"/>
          <w:sz w:val="32"/>
          <w:szCs w:val="32"/>
          <w:shd w:val="clear" w:fill="FFFFFF"/>
        </w:rPr>
        <w:t>基本原则</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lang w:val="en-US" w:eastAsia="zh-CN"/>
        </w:rPr>
        <w:t>一</w:t>
      </w: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rPr>
        <w:t>依法公开，公平公正的原则。</w:t>
      </w:r>
      <w:r>
        <w:rPr>
          <w:rFonts w:hint="eastAsia" w:ascii="仿宋_GB2312" w:hAnsi="仿宋_GB2312" w:eastAsia="仿宋_GB2312" w:cs="仿宋_GB2312"/>
          <w:color w:val="333333"/>
          <w:sz w:val="32"/>
          <w:szCs w:val="32"/>
          <w:shd w:val="clear" w:fill="FFFFFF"/>
        </w:rPr>
        <w:t>以公开为常态、不公开为例外，坚持标准引领</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严格按照国家法律、法规和有关政策规定，深入推进“五公开”，增强政务公开的针对性、实效性，提高依法行政水平和公平、公正性。</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lang w:val="en-US" w:eastAsia="zh-CN"/>
        </w:rPr>
        <w:t>二</w:t>
      </w: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rPr>
        <w:t>注重实效、循序渐进的原则。</w:t>
      </w:r>
      <w:r>
        <w:rPr>
          <w:rFonts w:hint="eastAsia" w:ascii="仿宋_GB2312" w:hAnsi="仿宋_GB2312" w:eastAsia="仿宋_GB2312" w:cs="仿宋_GB2312"/>
          <w:color w:val="333333"/>
          <w:sz w:val="32"/>
          <w:szCs w:val="32"/>
          <w:shd w:val="clear" w:fill="FFFFFF"/>
        </w:rPr>
        <w:t>坚持需求导向</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坚持突出重点、循序渐进，全方位回应公众关切，便于群众知情，方便群众办事，有利于群众监督，不搞形式主义。同时，以人为本、简化环节，优化服务、提高效率。</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lang w:val="en-US" w:eastAsia="zh-CN"/>
        </w:rPr>
        <w:t>三</w:t>
      </w: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rPr>
        <w:t>分级负责、强化监督的原则。</w:t>
      </w:r>
      <w:r>
        <w:rPr>
          <w:rFonts w:hint="eastAsia" w:ascii="仿宋_GB2312" w:hAnsi="仿宋_GB2312" w:eastAsia="仿宋_GB2312" w:cs="仿宋_GB2312"/>
          <w:color w:val="333333"/>
          <w:sz w:val="32"/>
          <w:szCs w:val="32"/>
          <w:shd w:val="clear" w:fill="FFFFFF"/>
        </w:rPr>
        <w:t>明确</w:t>
      </w:r>
      <w:r>
        <w:rPr>
          <w:rFonts w:hint="eastAsia" w:ascii="仿宋_GB2312" w:hAnsi="仿宋_GB2312" w:eastAsia="仿宋_GB2312" w:cs="仿宋_GB2312"/>
          <w:color w:val="333333"/>
          <w:sz w:val="32"/>
          <w:szCs w:val="32"/>
          <w:shd w:val="clear" w:fill="FFFFFF"/>
          <w:lang w:val="en-US" w:eastAsia="zh-CN"/>
        </w:rPr>
        <w:t>教育和体育</w:t>
      </w:r>
      <w:r>
        <w:rPr>
          <w:rFonts w:hint="eastAsia" w:ascii="仿宋_GB2312" w:hAnsi="仿宋_GB2312" w:eastAsia="仿宋_GB2312" w:cs="仿宋_GB2312"/>
          <w:color w:val="333333"/>
          <w:sz w:val="32"/>
          <w:szCs w:val="32"/>
          <w:shd w:val="clear" w:fill="FFFFFF"/>
        </w:rPr>
        <w:t>局、各学校在政务公开工作中的责任，使政务公开工作与日常业务工作融为一体，整体同步推进，层层落实，做到领导落实、机构落实、经费落实、人员落实，保证政务公开工作有效开展。</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lang w:val="en-US" w:eastAsia="zh-CN"/>
        </w:rPr>
        <w:t>四</w:t>
      </w: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rPr>
        <w:t>与时俱进、改革创新的原则。</w:t>
      </w:r>
      <w:r>
        <w:rPr>
          <w:rFonts w:hint="eastAsia" w:ascii="仿宋_GB2312" w:hAnsi="仿宋_GB2312" w:eastAsia="仿宋_GB2312" w:cs="仿宋_GB2312"/>
          <w:color w:val="333333"/>
          <w:sz w:val="32"/>
          <w:szCs w:val="32"/>
          <w:shd w:val="clear" w:fill="FFFFFF"/>
        </w:rPr>
        <w:t>准确把握新时代政务公开工作的职责定位和面临的新形势新要求，深化政务公开与行之有效的各项规章制度结合，与加强机关效能建设的各项举措有机结合，与人民群众日益增长的教育需求有机结合，将标准化理念方式融入政府治理全领域全流程，营造高效、优质、廉洁的运行机制。</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黑体" w:hAnsi="黑体" w:eastAsia="黑体" w:cs="黑体"/>
          <w:color w:val="333333"/>
          <w:sz w:val="32"/>
          <w:szCs w:val="32"/>
          <w:shd w:val="clear" w:fill="FFFFFF"/>
          <w:lang w:val="en-US" w:eastAsia="zh-CN"/>
        </w:rPr>
      </w:pPr>
      <w:r>
        <w:rPr>
          <w:rFonts w:hint="eastAsia" w:ascii="黑体" w:hAnsi="黑体" w:eastAsia="黑体" w:cs="黑体"/>
          <w:color w:val="333333"/>
          <w:sz w:val="32"/>
          <w:szCs w:val="32"/>
          <w:shd w:val="clear" w:fill="FFFFFF"/>
          <w:lang w:val="en-US" w:eastAsia="zh-CN"/>
        </w:rPr>
        <w:t>三、主要任务</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eastAsia" w:ascii="楷体_GB2312" w:hAnsi="楷体_GB2312" w:eastAsia="楷体_GB2312" w:cs="楷体_GB2312"/>
          <w:color w:val="333333"/>
          <w:sz w:val="32"/>
          <w:szCs w:val="32"/>
          <w:shd w:val="clear" w:fill="FFFFFF"/>
        </w:rPr>
      </w:pPr>
      <w:r>
        <w:rPr>
          <w:rFonts w:hint="eastAsia" w:ascii="楷体_GB2312" w:hAnsi="楷体_GB2312" w:eastAsia="楷体_GB2312" w:cs="楷体_GB2312"/>
          <w:color w:val="333333"/>
          <w:sz w:val="32"/>
          <w:szCs w:val="32"/>
          <w:shd w:val="clear" w:fill="FFFFFF"/>
        </w:rPr>
        <w:t>（一）服务民生，推进政务公开</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1.</w:t>
      </w:r>
      <w:r>
        <w:rPr>
          <w:rFonts w:hint="eastAsia" w:ascii="仿宋_GB2312" w:hAnsi="仿宋_GB2312" w:eastAsia="仿宋_GB2312" w:cs="仿宋_GB2312"/>
          <w:b/>
          <w:bCs/>
          <w:color w:val="333333"/>
          <w:sz w:val="32"/>
          <w:szCs w:val="32"/>
          <w:shd w:val="clear" w:fill="FFFFFF"/>
        </w:rPr>
        <w:t>推进信息公开</w:t>
      </w:r>
      <w:r>
        <w:rPr>
          <w:rFonts w:hint="eastAsia" w:ascii="仿宋_GB2312" w:hAnsi="仿宋_GB2312" w:eastAsia="仿宋_GB2312" w:cs="仿宋_GB2312"/>
          <w:b/>
          <w:bCs/>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编制完成政务公开事项标准目录，实行政务过程和结果全公开。目录包括公开事项的名称、内容、依据、时限、主体、方式、渠道、公开对象等要素。结合权责清单和公共服务事项清单，全面梳理细化相关政务公开事项，坚持实事求是、公开透明、因地制宜，避免公开事项及标准“一刀切”。</w:t>
      </w:r>
      <w:r>
        <w:rPr>
          <w:rFonts w:hint="eastAsia" w:ascii="仿宋_GB2312" w:hAnsi="仿宋_GB2312" w:eastAsia="仿宋_GB2312" w:cs="仿宋_GB2312"/>
          <w:color w:val="333333"/>
          <w:sz w:val="32"/>
          <w:szCs w:val="32"/>
          <w:shd w:val="clear" w:fill="FFFFFF"/>
        </w:rPr>
        <w:t>在网站首页政府信息公开工作专栏,主动公开以下信息:</w:t>
      </w:r>
      <w:r>
        <w:rPr>
          <w:rFonts w:hint="eastAsia" w:ascii="仿宋_GB2312" w:hAnsi="仿宋_GB2312" w:eastAsia="仿宋_GB2312" w:cs="仿宋_GB2312"/>
          <w:color w:val="333333"/>
          <w:sz w:val="32"/>
          <w:szCs w:val="32"/>
          <w:shd w:val="clear" w:fill="FFFFFF"/>
          <w:lang w:val="en-US" w:eastAsia="zh-CN"/>
        </w:rPr>
        <w:t>机构信息、会议公开、</w:t>
      </w:r>
      <w:r>
        <w:rPr>
          <w:rFonts w:hint="eastAsia" w:ascii="仿宋_GB2312" w:hAnsi="仿宋_GB2312" w:eastAsia="仿宋_GB2312" w:cs="仿宋_GB2312"/>
          <w:color w:val="333333"/>
          <w:sz w:val="32"/>
          <w:szCs w:val="32"/>
          <w:shd w:val="clear" w:fill="FFFFFF"/>
        </w:rPr>
        <w:t>公文法规、政策解读、财政财务信息、工作</w:t>
      </w:r>
      <w:r>
        <w:rPr>
          <w:rFonts w:hint="eastAsia" w:ascii="仿宋_GB2312" w:hAnsi="仿宋_GB2312" w:eastAsia="仿宋_GB2312" w:cs="仿宋_GB2312"/>
          <w:color w:val="333333"/>
          <w:sz w:val="32"/>
          <w:szCs w:val="32"/>
          <w:shd w:val="clear" w:fill="FFFFFF"/>
          <w:lang w:val="en-US" w:eastAsia="zh-CN"/>
        </w:rPr>
        <w:t>动态、通知通告、</w:t>
      </w:r>
      <w:r>
        <w:rPr>
          <w:rFonts w:hint="eastAsia" w:ascii="仿宋_GB2312" w:hAnsi="仿宋_GB2312" w:eastAsia="仿宋_GB2312" w:cs="仿宋_GB2312"/>
          <w:color w:val="333333"/>
          <w:sz w:val="32"/>
          <w:szCs w:val="32"/>
          <w:shd w:val="clear" w:fill="FFFFFF"/>
        </w:rPr>
        <w:t>人事任免、</w:t>
      </w:r>
      <w:r>
        <w:rPr>
          <w:rFonts w:hint="eastAsia" w:ascii="仿宋_GB2312" w:hAnsi="仿宋_GB2312" w:eastAsia="仿宋_GB2312" w:cs="仿宋_GB2312"/>
          <w:color w:val="333333"/>
          <w:sz w:val="32"/>
          <w:szCs w:val="32"/>
          <w:shd w:val="clear" w:fill="FFFFFF"/>
          <w:lang w:val="en-US" w:eastAsia="zh-CN"/>
        </w:rPr>
        <w:t>教育信息</w:t>
      </w:r>
      <w:r>
        <w:rPr>
          <w:rFonts w:hint="eastAsia" w:ascii="仿宋_GB2312" w:hAnsi="仿宋_GB2312" w:eastAsia="仿宋_GB2312" w:cs="仿宋_GB2312"/>
          <w:color w:val="333333"/>
          <w:sz w:val="32"/>
          <w:szCs w:val="32"/>
          <w:shd w:val="clear" w:fill="FFFFFF"/>
        </w:rPr>
        <w:t>等专栏，持续做好普惠性学前教育、义务教育招生入学及优质均衡发展、高考综合改革、民办教育规范发展、高等教育高质量发展等信息公开。各相关科室按规定上传本科室职责内公开信息。</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2.推进决策公开。</w:t>
      </w:r>
      <w:r>
        <w:rPr>
          <w:rFonts w:hint="eastAsia" w:ascii="仿宋_GB2312" w:hAnsi="仿宋_GB2312" w:eastAsia="仿宋_GB2312" w:cs="仿宋_GB2312"/>
          <w:color w:val="333333"/>
          <w:sz w:val="32"/>
          <w:szCs w:val="32"/>
          <w:shd w:val="clear" w:fill="FFFFFF"/>
        </w:rPr>
        <w:t>把公众参与、专家论证、风险评估、合法性审查、集体讨论决定确定为重大行政决策法定程序</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常态化落到实处</w:t>
      </w:r>
      <w:r>
        <w:rPr>
          <w:rFonts w:hint="eastAsia" w:ascii="仿宋_GB2312" w:hAnsi="仿宋_GB2312" w:eastAsia="仿宋_GB2312" w:cs="仿宋_GB2312"/>
          <w:color w:val="333333"/>
          <w:sz w:val="32"/>
          <w:szCs w:val="32"/>
          <w:shd w:val="clear" w:fill="FFFFFF"/>
        </w:rPr>
        <w:t>。实行重大教育决策预公开制度，涉及学生、家长切身利益、需要社会广泛知晓的重要教育改革方案、重大政策措施、重点教育工程项目，除依法应当保密的外，在决策前向社会公布决策草案、决策依据，通过听证座谈、调查研究、咨询协商、媒体沟通等方式广泛听取意见，以适当方式公布意见收集和采纳情况。决策做出后，按照规定及时公开议定事项和相关文件。</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3.推进管理和服务公开。</w:t>
      </w:r>
      <w:r>
        <w:rPr>
          <w:rFonts w:hint="eastAsia" w:ascii="仿宋_GB2312" w:hAnsi="仿宋_GB2312" w:eastAsia="仿宋_GB2312" w:cs="仿宋_GB2312"/>
          <w:color w:val="333333"/>
          <w:sz w:val="32"/>
          <w:szCs w:val="32"/>
          <w:shd w:val="clear" w:fill="FFFFFF"/>
        </w:rPr>
        <w:t>做好政务服务“一网通办”、“一窗受理”、民生服务“一链办理”、重点高频民生事项“掌上办”等方面的信息公开。设立政务公开专区，公开政务服务事项，并提供信息公开申请、办事咨询答复等服务。规范行政审批事项目录、权力清单、责任清单，公开项目名称、设置依据、审批时限。全面公开服务事项，编制发布办事指南，简化优化办事流程，实行审批事项网上办理。</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b/>
          <w:bCs/>
          <w:color w:val="333333"/>
          <w:sz w:val="32"/>
          <w:szCs w:val="32"/>
          <w:shd w:val="clear" w:fill="FFFFFF"/>
          <w:lang w:val="en-US" w:eastAsia="zh-CN"/>
        </w:rPr>
        <w:t>4.推进执行和结果公开。</w:t>
      </w:r>
      <w:r>
        <w:rPr>
          <w:rFonts w:hint="eastAsia" w:ascii="仿宋_GB2312" w:hAnsi="仿宋_GB2312" w:eastAsia="仿宋_GB2312" w:cs="仿宋_GB2312"/>
          <w:color w:val="333333"/>
          <w:sz w:val="32"/>
          <w:szCs w:val="32"/>
          <w:shd w:val="clear" w:fill="FFFFFF"/>
        </w:rPr>
        <w:t>构建信息发布、解读回应、依申请公开、公众参与、监督考核等有序衔接的政务公开工作流程，主动公开重点教育改革任务、重要政策、重大基建工程项目的执行措施、实施步骤、责任分工、监督方式，根据工作进展公布取得成效、后续举措，听取意见建议，加强和改进工作，确保执行到位。建立重大决策执行效果</w:t>
      </w:r>
      <w:r>
        <w:rPr>
          <w:rFonts w:hint="eastAsia" w:ascii="仿宋_GB2312" w:hAnsi="仿宋_GB2312" w:eastAsia="仿宋_GB2312" w:cs="仿宋_GB2312"/>
          <w:color w:val="333333"/>
          <w:sz w:val="32"/>
          <w:szCs w:val="32"/>
          <w:shd w:val="clear" w:fill="FFFFFF"/>
          <w:lang w:val="en-US" w:eastAsia="zh-CN"/>
        </w:rPr>
        <w:t>跟踪</w:t>
      </w:r>
      <w:r>
        <w:rPr>
          <w:rFonts w:hint="eastAsia" w:ascii="仿宋_GB2312" w:hAnsi="仿宋_GB2312" w:eastAsia="仿宋_GB2312" w:cs="仿宋_GB2312"/>
          <w:color w:val="333333"/>
          <w:sz w:val="32"/>
          <w:szCs w:val="32"/>
          <w:shd w:val="clear" w:fill="FFFFFF"/>
        </w:rPr>
        <w:t>反馈和后评估机制，积极开展决策执行效果的评估，科学评价政策落实效果，并将相关情况向社会公开</w:t>
      </w:r>
      <w:r>
        <w:rPr>
          <w:rFonts w:hint="eastAsia" w:ascii="仿宋_GB2312" w:hAnsi="仿宋_GB2312" w:eastAsia="仿宋_GB2312" w:cs="仿宋_GB2312"/>
          <w:color w:val="333333"/>
          <w:sz w:val="32"/>
          <w:szCs w:val="32"/>
          <w:shd w:val="clear" w:fill="FFFFFF"/>
          <w:lang w:eastAsia="zh-CN"/>
        </w:rPr>
        <w:t>。</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eastAsia" w:ascii="楷体_GB2312" w:hAnsi="楷体_GB2312" w:eastAsia="楷体_GB2312" w:cs="楷体_GB2312"/>
          <w:color w:val="333333"/>
          <w:sz w:val="32"/>
          <w:szCs w:val="32"/>
          <w:shd w:val="clear" w:fill="FFFFFF"/>
        </w:rPr>
      </w:pP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rPr>
        <w:t>二</w:t>
      </w: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rPr>
        <w:t>扩大政务开放参与，加强解读回应</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1.加强政策解读。</w:t>
      </w:r>
      <w:r>
        <w:rPr>
          <w:rFonts w:hint="eastAsia" w:ascii="仿宋_GB2312" w:hAnsi="仿宋_GB2312" w:eastAsia="仿宋_GB2312" w:cs="仿宋_GB2312"/>
          <w:color w:val="333333"/>
          <w:sz w:val="32"/>
          <w:szCs w:val="32"/>
          <w:shd w:val="clear" w:fill="FFFFFF"/>
        </w:rPr>
        <w:t>将教育政策解读与教育政策制定工作同步考虑，同步安排并及时发布。发挥好教育政策参与制定者、掌握相关教育政策、熟悉教育领域业务的专家学者和新闻媒体的作用，注重运用数字化、图表图解、音频视频等方式，提高政策解读的</w:t>
      </w:r>
      <w:r>
        <w:rPr>
          <w:rFonts w:hint="eastAsia" w:ascii="仿宋_GB2312" w:hAnsi="仿宋_GB2312" w:eastAsia="仿宋_GB2312" w:cs="仿宋_GB2312"/>
          <w:color w:val="333333"/>
          <w:sz w:val="32"/>
          <w:szCs w:val="32"/>
          <w:shd w:val="clear" w:fill="FFFFFF"/>
          <w:lang w:val="en-US" w:eastAsia="zh-CN"/>
        </w:rPr>
        <w:t>主动性、</w:t>
      </w:r>
      <w:r>
        <w:rPr>
          <w:rFonts w:hint="eastAsia" w:ascii="仿宋_GB2312" w:hAnsi="仿宋_GB2312" w:eastAsia="仿宋_GB2312" w:cs="仿宋_GB2312"/>
          <w:color w:val="333333"/>
          <w:sz w:val="32"/>
          <w:szCs w:val="32"/>
          <w:shd w:val="clear" w:fill="FFFFFF"/>
        </w:rPr>
        <w:t>针对性、科学性、</w:t>
      </w:r>
      <w:r>
        <w:rPr>
          <w:rFonts w:hint="eastAsia" w:ascii="仿宋_GB2312" w:hAnsi="仿宋_GB2312" w:eastAsia="仿宋_GB2312" w:cs="仿宋_GB2312"/>
          <w:color w:val="333333"/>
          <w:sz w:val="32"/>
          <w:szCs w:val="32"/>
          <w:shd w:val="clear" w:fill="FFFFFF"/>
          <w:lang w:val="en-US" w:eastAsia="zh-CN"/>
        </w:rPr>
        <w:t>有效性、</w:t>
      </w:r>
      <w:r>
        <w:rPr>
          <w:rFonts w:hint="eastAsia" w:ascii="仿宋_GB2312" w:hAnsi="仿宋_GB2312" w:eastAsia="仿宋_GB2312" w:cs="仿宋_GB2312"/>
          <w:color w:val="333333"/>
          <w:sz w:val="32"/>
          <w:szCs w:val="32"/>
          <w:shd w:val="clear" w:fill="FFFFFF"/>
        </w:rPr>
        <w:t>权威性</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保持正确的舆论导向</w:t>
      </w:r>
      <w:r>
        <w:rPr>
          <w:rFonts w:hint="eastAsia" w:ascii="仿宋_GB2312" w:hAnsi="仿宋_GB2312" w:eastAsia="仿宋_GB2312" w:cs="仿宋_GB2312"/>
          <w:color w:val="333333"/>
          <w:sz w:val="32"/>
          <w:szCs w:val="32"/>
          <w:shd w:val="clear" w:fill="FFFFFF"/>
        </w:rPr>
        <w:t>。对涉及面广、社会关注度高、实施难度大、专业性强的政策法规，通过接受访谈、发表文章等方式做好解读，深入浅出地讲解政策背景、目标和要点。领导干部带头宣讲政策，特别是遇有重大突发事件、重要社会关切等，主要领导、分管领导及相关部门负责人等带头接受媒体采访，表明立场态度，发出权威声音，当好“第一新闻发言人”。发挥新闻网站、微信、移动客户端等</w:t>
      </w:r>
      <w:r>
        <w:rPr>
          <w:rFonts w:hint="eastAsia" w:ascii="仿宋_GB2312" w:hAnsi="仿宋_GB2312" w:eastAsia="仿宋_GB2312" w:cs="仿宋_GB2312"/>
          <w:color w:val="333333"/>
          <w:sz w:val="32"/>
          <w:szCs w:val="32"/>
          <w:shd w:val="clear" w:fill="FFFFFF"/>
          <w:lang w:val="en-US" w:eastAsia="zh-CN"/>
        </w:rPr>
        <w:t>媒体</w:t>
      </w:r>
      <w:r>
        <w:rPr>
          <w:rFonts w:hint="eastAsia" w:ascii="仿宋_GB2312" w:hAnsi="仿宋_GB2312" w:eastAsia="仿宋_GB2312" w:cs="仿宋_GB2312"/>
          <w:color w:val="333333"/>
          <w:sz w:val="32"/>
          <w:szCs w:val="32"/>
          <w:shd w:val="clear" w:fill="FFFFFF"/>
        </w:rPr>
        <w:t>的网络传播力和社会影响力，提高宣传引导的针对性和有效性。</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2.扩大公众参与。</w:t>
      </w:r>
      <w:r>
        <w:rPr>
          <w:rFonts w:hint="eastAsia" w:ascii="仿宋_GB2312" w:hAnsi="仿宋_GB2312" w:eastAsia="仿宋_GB2312" w:cs="仿宋_GB2312"/>
          <w:color w:val="333333"/>
          <w:sz w:val="32"/>
          <w:szCs w:val="32"/>
          <w:shd w:val="clear" w:fill="FFFFFF"/>
        </w:rPr>
        <w:t>通过政务公开让广大家长更大程度参与政策制定、执行和监督，不断提升教育满意度。研究探索家长参与的事项种类和方式，搭建政民互动平台，问教于民，引导家长对教育的正面认识，增进家长对教育工作的认同和支持。充分利用互联网优势，积极探索家长参与新模式，提高教育政策制定的响应速度。</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3.回应社会关切。</w:t>
      </w:r>
      <w:r>
        <w:rPr>
          <w:rFonts w:hint="eastAsia" w:ascii="仿宋_GB2312" w:hAnsi="仿宋_GB2312" w:eastAsia="仿宋_GB2312" w:cs="仿宋_GB2312"/>
          <w:color w:val="333333"/>
          <w:sz w:val="32"/>
          <w:szCs w:val="32"/>
          <w:shd w:val="clear" w:fill="FFFFFF"/>
        </w:rPr>
        <w:t>按照“属地管理、分级负责、谁主管谁负责”的原则，建立健全教育舆情收集、研判、处置和回应机制，做到主动发现、迅速回应</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及时处置，防范化解潜在的风险隐患。对热点</w:t>
      </w:r>
      <w:r>
        <w:rPr>
          <w:rFonts w:hint="eastAsia" w:ascii="仿宋_GB2312" w:hAnsi="仿宋_GB2312" w:eastAsia="仿宋_GB2312" w:cs="仿宋_GB2312"/>
          <w:color w:val="333333"/>
          <w:sz w:val="32"/>
          <w:szCs w:val="32"/>
          <w:shd w:val="clear" w:fill="FFFFFF"/>
          <w:lang w:val="en-US" w:eastAsia="zh-CN"/>
        </w:rPr>
        <w:t>问题</w:t>
      </w:r>
      <w:r>
        <w:rPr>
          <w:rFonts w:hint="eastAsia" w:ascii="仿宋_GB2312" w:hAnsi="仿宋_GB2312" w:eastAsia="仿宋_GB2312" w:cs="仿宋_GB2312"/>
          <w:color w:val="333333"/>
          <w:sz w:val="32"/>
          <w:szCs w:val="32"/>
          <w:shd w:val="clear" w:fill="FFFFFF"/>
        </w:rPr>
        <w:t>、群众办事堵点痛点，要敢于直面问题，依法依规及时发出权威声音，主动回应社会关切，推动解决相关问题。明确回应主体，落实责任，确保在应对重大突发事件及社会热点事件时不失声、不缺位。</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eastAsia" w:ascii="楷体_GB2312" w:hAnsi="楷体_GB2312" w:eastAsia="楷体_GB2312" w:cs="楷体_GB2312"/>
          <w:color w:val="333333"/>
          <w:sz w:val="32"/>
          <w:szCs w:val="32"/>
          <w:shd w:val="clear" w:fill="FFFFFF"/>
        </w:rPr>
      </w:pP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rPr>
        <w:t>三</w:t>
      </w: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rPr>
        <w:t>增强公开实效，加强能力建设</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b/>
          <w:bCs/>
          <w:color w:val="333333"/>
          <w:sz w:val="32"/>
          <w:szCs w:val="32"/>
          <w:shd w:val="clear" w:fill="FFFFFF"/>
          <w:lang w:val="en-US" w:eastAsia="zh-CN"/>
        </w:rPr>
        <w:t>1.提高规范化水平。</w:t>
      </w:r>
      <w:r>
        <w:rPr>
          <w:rFonts w:hint="eastAsia" w:ascii="仿宋_GB2312" w:hAnsi="宋体" w:eastAsia="仿宋_GB2312" w:cs="宋体"/>
          <w:color w:val="000000"/>
          <w:kern w:val="0"/>
          <w:sz w:val="32"/>
          <w:szCs w:val="32"/>
        </w:rPr>
        <w:t>以为群众“办好一件事”为标准，对办事服务信息加以集成、优化、简化，推行政务服务一次告知、信息主动推送等工作方式，让办事群众对事前准备清晰明了、事中进展实时掌握、事后结果及时获知</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最大限度便民。</w:t>
      </w:r>
      <w:r>
        <w:rPr>
          <w:rFonts w:hint="eastAsia" w:ascii="仿宋_GB2312" w:hAnsi="仿宋_GB2312" w:eastAsia="仿宋_GB2312" w:cs="仿宋_GB2312"/>
          <w:color w:val="333333"/>
          <w:sz w:val="32"/>
          <w:szCs w:val="32"/>
          <w:shd w:val="clear" w:fill="FFFFFF"/>
        </w:rPr>
        <w:t>严格执行保密审查制度,对拟公开的信息依法依规做好保密审查。规范依申请公开工作,强化服务意识,</w:t>
      </w:r>
      <w:r>
        <w:rPr>
          <w:rFonts w:hint="eastAsia" w:ascii="仿宋_GB2312" w:hAnsi="仿宋_GB2312" w:eastAsia="仿宋_GB2312" w:cs="仿宋_GB2312"/>
          <w:color w:val="333333"/>
          <w:sz w:val="32"/>
          <w:szCs w:val="32"/>
          <w:shd w:val="clear" w:fill="FFFFFF"/>
          <w:lang w:val="en-US" w:eastAsia="zh-CN"/>
        </w:rPr>
        <w:t>依法依规</w:t>
      </w:r>
      <w:r>
        <w:rPr>
          <w:rFonts w:hint="eastAsia" w:ascii="仿宋_GB2312" w:hAnsi="仿宋_GB2312" w:eastAsia="仿宋_GB2312" w:cs="仿宋_GB2312"/>
          <w:color w:val="333333"/>
          <w:sz w:val="32"/>
          <w:szCs w:val="32"/>
          <w:shd w:val="clear" w:fill="FFFFFF"/>
        </w:rPr>
        <w:t>健全完善申请件从接收、登记到出具告知书全过程的制度机制,</w:t>
      </w:r>
      <w:r>
        <w:rPr>
          <w:rFonts w:hint="eastAsia" w:ascii="仿宋_GB2312" w:hAnsi="仿宋_GB2312" w:eastAsia="仿宋_GB2312" w:cs="仿宋_GB2312"/>
          <w:color w:val="333333"/>
          <w:sz w:val="32"/>
          <w:szCs w:val="32"/>
          <w:shd w:val="clear" w:fill="FFFFFF"/>
          <w:lang w:val="en-US" w:eastAsia="zh-CN"/>
        </w:rPr>
        <w:t>做到审查有依据，办理有过程，答复要规范。</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2.加强网站和微信平台建设。</w:t>
      </w:r>
      <w:r>
        <w:rPr>
          <w:rFonts w:hint="eastAsia" w:ascii="仿宋_GB2312" w:hAnsi="仿宋_GB2312" w:eastAsia="仿宋_GB2312" w:cs="仿宋_GB2312"/>
          <w:color w:val="333333"/>
          <w:sz w:val="32"/>
          <w:szCs w:val="32"/>
          <w:shd w:val="clear" w:fill="FFFFFF"/>
        </w:rPr>
        <w:t>强化网站信息公开第一平台作用，整合教育信息资源，与</w:t>
      </w:r>
      <w:r>
        <w:rPr>
          <w:rFonts w:hint="eastAsia" w:ascii="仿宋_GB2312" w:hAnsi="仿宋_GB2312" w:eastAsia="仿宋_GB2312" w:cs="仿宋_GB2312"/>
          <w:color w:val="333333"/>
          <w:sz w:val="32"/>
          <w:szCs w:val="32"/>
          <w:shd w:val="clear" w:fill="FFFFFF"/>
          <w:lang w:val="en-US" w:eastAsia="zh-CN"/>
        </w:rPr>
        <w:t>上</w:t>
      </w:r>
      <w:r>
        <w:rPr>
          <w:rFonts w:hint="eastAsia" w:ascii="仿宋_GB2312" w:hAnsi="仿宋_GB2312" w:eastAsia="仿宋_GB2312" w:cs="仿宋_GB2312"/>
          <w:color w:val="333333"/>
          <w:sz w:val="32"/>
          <w:szCs w:val="32"/>
          <w:shd w:val="clear" w:fill="FFFFFF"/>
        </w:rPr>
        <w:t>级新闻媒体、网站</w:t>
      </w:r>
      <w:r>
        <w:rPr>
          <w:rFonts w:hint="eastAsia" w:ascii="仿宋_GB2312" w:hAnsi="仿宋_GB2312" w:eastAsia="仿宋_GB2312" w:cs="仿宋_GB2312"/>
          <w:color w:val="333333"/>
          <w:sz w:val="32"/>
          <w:szCs w:val="32"/>
          <w:shd w:val="clear" w:fill="FFFFFF"/>
          <w:lang w:val="en-US" w:eastAsia="zh-CN"/>
        </w:rPr>
        <w:t>加强</w:t>
      </w:r>
      <w:r>
        <w:rPr>
          <w:rFonts w:hint="eastAsia" w:ascii="仿宋_GB2312" w:hAnsi="仿宋_GB2312" w:eastAsia="仿宋_GB2312" w:cs="仿宋_GB2312"/>
          <w:color w:val="333333"/>
          <w:sz w:val="32"/>
          <w:szCs w:val="32"/>
          <w:shd w:val="clear" w:fill="FFFFFF"/>
        </w:rPr>
        <w:t>联动，充分运用微信等新媒体手段拓宽教育信息传播渠道，打造全面的教育信息公开平台、权威的教育政策发布解读和舆论引导平台、及时回应关切和便民服务平台。</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3.加强统筹管理。</w:t>
      </w:r>
      <w:r>
        <w:rPr>
          <w:rFonts w:hint="eastAsia" w:ascii="仿宋_GB2312" w:hAnsi="仿宋_GB2312" w:eastAsia="仿宋_GB2312" w:cs="仿宋_GB2312"/>
          <w:color w:val="333333"/>
          <w:sz w:val="32"/>
          <w:szCs w:val="32"/>
          <w:shd w:val="clear" w:fill="FFFFFF"/>
        </w:rPr>
        <w:t>坚持“公开为常态，不公开为例外”原则，高度重视政务公开工作。主要负责同志每年至少听取一次政务公开工作汇报，研究部署推进工作；确定1名局级分管领导分管政务公开工作，列入工作分工，并对外公布。将政务公开工作纳入机关处室绩效考核体系，实行</w:t>
      </w:r>
      <w:r>
        <w:rPr>
          <w:rFonts w:hint="eastAsia" w:ascii="仿宋_GB2312" w:hAnsi="仿宋_GB2312" w:eastAsia="仿宋_GB2312" w:cs="仿宋_GB2312"/>
          <w:color w:val="333333"/>
          <w:sz w:val="32"/>
          <w:szCs w:val="32"/>
          <w:shd w:val="clear" w:fill="FFFFFF"/>
          <w:lang w:val="en-US" w:eastAsia="zh-CN"/>
        </w:rPr>
        <w:t>政策法规科</w:t>
      </w:r>
      <w:r>
        <w:rPr>
          <w:rFonts w:hint="eastAsia" w:ascii="仿宋_GB2312" w:hAnsi="仿宋_GB2312" w:eastAsia="仿宋_GB2312" w:cs="仿宋_GB2312"/>
          <w:color w:val="333333"/>
          <w:sz w:val="32"/>
          <w:szCs w:val="32"/>
          <w:shd w:val="clear" w:fill="FFFFFF"/>
        </w:rPr>
        <w:t>总牵头、各科室协调配合的工作机制。</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黑体" w:hAnsi="黑体" w:eastAsia="黑体" w:cs="黑体"/>
          <w:color w:val="333333"/>
          <w:sz w:val="32"/>
          <w:szCs w:val="32"/>
          <w:shd w:val="clear" w:fill="FFFFFF"/>
          <w:lang w:val="en-US" w:eastAsia="zh-CN"/>
        </w:rPr>
      </w:pPr>
      <w:r>
        <w:rPr>
          <w:rFonts w:hint="eastAsia" w:ascii="黑体" w:hAnsi="黑体" w:eastAsia="黑体" w:cs="黑体"/>
          <w:color w:val="333333"/>
          <w:sz w:val="32"/>
          <w:szCs w:val="32"/>
          <w:shd w:val="clear" w:fill="FFFFFF"/>
          <w:lang w:val="en-US" w:eastAsia="zh-CN"/>
        </w:rPr>
        <w:t>四、保障措施</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楷体_GB2312" w:hAnsi="楷体_GB2312" w:eastAsia="楷体_GB2312" w:cs="楷体_GB2312"/>
          <w:color w:val="333333"/>
          <w:sz w:val="32"/>
          <w:szCs w:val="32"/>
          <w:shd w:val="clear" w:fill="FFFFFF"/>
        </w:rPr>
        <w:t>（一）加强组织领导。</w:t>
      </w:r>
      <w:r>
        <w:rPr>
          <w:rFonts w:hint="eastAsia" w:ascii="仿宋_GB2312" w:hAnsi="仿宋_GB2312" w:eastAsia="仿宋_GB2312" w:cs="仿宋_GB2312"/>
          <w:color w:val="333333"/>
          <w:sz w:val="32"/>
          <w:szCs w:val="32"/>
          <w:shd w:val="clear" w:fill="FFFFFF"/>
        </w:rPr>
        <w:t>全面推行政务公开是一项复杂的系统工程，政策性强、涉及面广，为把此项工作落到实处，达到预期的目标，</w:t>
      </w:r>
      <w:r>
        <w:rPr>
          <w:rFonts w:hint="eastAsia" w:ascii="仿宋_GB2312" w:hAnsi="仿宋_GB2312" w:eastAsia="仿宋_GB2312" w:cs="仿宋_GB2312"/>
          <w:color w:val="333333"/>
          <w:sz w:val="32"/>
          <w:szCs w:val="32"/>
          <w:shd w:val="clear" w:fill="FFFFFF"/>
          <w:lang w:val="en-US" w:eastAsia="zh-CN"/>
        </w:rPr>
        <w:t>进一步理顺完善区</w:t>
      </w:r>
      <w:r>
        <w:rPr>
          <w:rFonts w:hint="eastAsia" w:ascii="仿宋_GB2312" w:hAnsi="仿宋_GB2312" w:eastAsia="仿宋_GB2312" w:cs="仿宋_GB2312"/>
          <w:color w:val="333333"/>
          <w:sz w:val="32"/>
          <w:szCs w:val="32"/>
          <w:shd w:val="clear" w:fill="FFFFFF"/>
        </w:rPr>
        <w:t>局统一领导</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各职能</w:t>
      </w:r>
      <w:r>
        <w:rPr>
          <w:rFonts w:hint="eastAsia" w:ascii="仿宋_GB2312" w:hAnsi="仿宋_GB2312" w:eastAsia="仿宋_GB2312" w:cs="仿宋_GB2312"/>
          <w:color w:val="333333"/>
          <w:sz w:val="32"/>
          <w:szCs w:val="32"/>
          <w:shd w:val="clear" w:fill="FFFFFF"/>
          <w:lang w:val="en-US" w:eastAsia="zh-CN"/>
        </w:rPr>
        <w:t>科</w:t>
      </w:r>
      <w:r>
        <w:rPr>
          <w:rFonts w:hint="eastAsia" w:ascii="仿宋_GB2312" w:hAnsi="仿宋_GB2312" w:eastAsia="仿宋_GB2312" w:cs="仿宋_GB2312"/>
          <w:color w:val="333333"/>
          <w:sz w:val="32"/>
          <w:szCs w:val="32"/>
          <w:shd w:val="clear" w:fill="FFFFFF"/>
        </w:rPr>
        <w:t>室各负其责、通力合作、依靠群众积极参与的领导体制和工作机制。</w:t>
      </w:r>
      <w:r>
        <w:rPr>
          <w:rFonts w:hint="eastAsia" w:ascii="仿宋_GB2312" w:hAnsi="仿宋_GB2312" w:eastAsia="仿宋_GB2312" w:cs="仿宋_GB2312"/>
          <w:color w:val="333333"/>
          <w:sz w:val="32"/>
          <w:szCs w:val="32"/>
          <w:shd w:val="clear" w:fill="FFFFFF"/>
          <w:lang w:val="en-US" w:eastAsia="zh-CN"/>
        </w:rPr>
        <w:t>强化机构和人员保障，安排必要经费，精心组织实施。</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楷体_GB2312" w:hAnsi="楷体_GB2312" w:eastAsia="楷体_GB2312" w:cs="楷体_GB2312"/>
          <w:color w:val="333333"/>
          <w:sz w:val="32"/>
          <w:szCs w:val="32"/>
          <w:shd w:val="clear" w:fill="FFFFFF"/>
        </w:rPr>
        <w:t>（二）加强教育培训。</w:t>
      </w:r>
      <w:r>
        <w:rPr>
          <w:rFonts w:hint="eastAsia" w:ascii="仿宋_GB2312" w:hAnsi="仿宋_GB2312" w:eastAsia="仿宋_GB2312" w:cs="仿宋_GB2312"/>
          <w:color w:val="333333"/>
          <w:sz w:val="32"/>
          <w:szCs w:val="32"/>
          <w:shd w:val="clear" w:fill="FFFFFF"/>
        </w:rPr>
        <w:t>进一步加强各科室政务公开工作人员的政策理论和业务知识培训，强化公开理念，增强专业素养。严格信息发布审查制度，坚持“先审查、后公开”原则，做到“一文一审”，确保发布内容严谨，信息发布之前务必由经办人、部门负责人、分管领导签字审核同意，才能公开发布。</w:t>
      </w:r>
      <w:r>
        <w:rPr>
          <w:rFonts w:hint="eastAsia" w:ascii="仿宋_GB2312" w:hAnsi="仿宋_GB2312" w:eastAsia="仿宋_GB2312" w:cs="仿宋_GB2312"/>
          <w:color w:val="333333"/>
          <w:sz w:val="32"/>
          <w:szCs w:val="32"/>
          <w:shd w:val="clear" w:fill="FFFFFF"/>
          <w:lang w:val="en-US" w:eastAsia="zh-CN"/>
        </w:rPr>
        <w:t>完善制度规范</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妥善处理好政务公开与保守秘密的关系</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按照统一格式</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法定时限和要求，高质量做好政府信息公开工作</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并</w:t>
      </w:r>
      <w:r>
        <w:rPr>
          <w:rFonts w:hint="eastAsia" w:ascii="仿宋_GB2312" w:hAnsi="仿宋_GB2312" w:eastAsia="仿宋_GB2312" w:cs="仿宋_GB2312"/>
          <w:color w:val="333333"/>
          <w:sz w:val="32"/>
          <w:szCs w:val="32"/>
          <w:shd w:val="clear" w:fill="FFFFFF"/>
        </w:rPr>
        <w:t>及时进行调整更新</w:t>
      </w:r>
      <w:r>
        <w:rPr>
          <w:rFonts w:hint="eastAsia" w:ascii="仿宋_GB2312" w:hAnsi="仿宋_GB2312" w:eastAsia="仿宋_GB2312" w:cs="仿宋_GB2312"/>
          <w:color w:val="333333"/>
          <w:sz w:val="32"/>
          <w:szCs w:val="32"/>
          <w:shd w:val="clear" w:fill="FFFFFF"/>
          <w:lang w:eastAsia="zh-CN"/>
        </w:rPr>
        <w:t>。</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楷体_GB2312" w:hAnsi="楷体_GB2312" w:eastAsia="楷体_GB2312" w:cs="楷体_GB2312"/>
          <w:color w:val="333333"/>
          <w:sz w:val="32"/>
          <w:szCs w:val="32"/>
          <w:shd w:val="clear" w:fill="FFFFFF"/>
        </w:rPr>
        <w:t>（三）</w:t>
      </w:r>
      <w:r>
        <w:rPr>
          <w:rFonts w:hint="eastAsia" w:ascii="楷体_GB2312" w:hAnsi="楷体_GB2312" w:eastAsia="楷体_GB2312" w:cs="楷体_GB2312"/>
          <w:color w:val="333333"/>
          <w:sz w:val="32"/>
          <w:szCs w:val="32"/>
          <w:shd w:val="clear" w:fill="FFFFFF"/>
          <w:lang w:val="en-US" w:eastAsia="zh-CN"/>
        </w:rPr>
        <w:t>强化监督考核。</w:t>
      </w:r>
      <w:r>
        <w:rPr>
          <w:rFonts w:hint="eastAsia" w:ascii="仿宋_GB2312" w:hAnsi="仿宋_GB2312" w:eastAsia="仿宋_GB2312" w:cs="仿宋_GB2312"/>
          <w:color w:val="333333"/>
          <w:sz w:val="32"/>
          <w:szCs w:val="32"/>
          <w:shd w:val="clear" w:fill="FFFFFF"/>
        </w:rPr>
        <w:t>政务公开工作纳入对各部门工作年度考核内容，建立内部监督与外部监督、上级监督与下级监督、领导监督与群众监督相结合的监督体系，加大对公开工作落实不到位的部门和对违反政务公开有关规定、不履行公开义务或公开不应当公开事项等问题的检查问责力度</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确保深化政务公开工作实现预期目标。</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lang w:val="en-US" w:eastAsia="zh-CN"/>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附件：</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1.青岛西海岸新区义务教育领域基层政务公开标准目录设置责任分解表</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2.2020年省政务公开第三方考核评估指标责任分解（教育）</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3.承担政务公开考核任务的局属学校新增子账号和密码</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4.公共企事业单位信息公开目录调整</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5.</w:t>
      </w:r>
      <w:r>
        <w:rPr>
          <w:rFonts w:hint="default" w:ascii="仿宋_GB2312" w:hAnsi="仿宋_GB2312" w:eastAsia="仿宋_GB2312" w:cs="仿宋_GB2312"/>
          <w:color w:val="333333"/>
          <w:sz w:val="32"/>
          <w:szCs w:val="32"/>
          <w:shd w:val="clear" w:fill="FFFFFF"/>
          <w:lang w:val="en-US" w:eastAsia="zh-CN"/>
        </w:rPr>
        <w:t>各学校政务公开具体工作人员和联系方式</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lang w:val="en-US" w:eastAsia="zh-CN"/>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lang w:val="en-US" w:eastAsia="zh-CN"/>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rPr>
        <w:t>青岛西海岸新区教育和体育局</w:t>
      </w:r>
      <w:r>
        <w:rPr>
          <w:rFonts w:hint="eastAsia" w:ascii="仿宋_GB2312" w:hAnsi="仿宋_GB2312" w:eastAsia="仿宋_GB2312" w:cs="仿宋_GB2312"/>
          <w:color w:val="333333"/>
          <w:sz w:val="32"/>
          <w:szCs w:val="32"/>
          <w:shd w:val="clear" w:fill="FFFFFF"/>
          <w:lang w:val="en-US" w:eastAsia="zh-CN"/>
        </w:rPr>
        <w:t>办公室</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 xml:space="preserve">    </w:t>
      </w:r>
      <w:r>
        <w:rPr>
          <w:rFonts w:hint="eastAsia" w:ascii="仿宋_GB2312" w:hAnsi="仿宋_GB2312" w:eastAsia="仿宋_GB2312" w:cs="仿宋_GB2312"/>
          <w:color w:val="333333"/>
          <w:sz w:val="32"/>
          <w:szCs w:val="32"/>
          <w:shd w:val="clear" w:fill="FFFFFF"/>
        </w:rPr>
        <w:t>2020年</w:t>
      </w:r>
      <w:r>
        <w:rPr>
          <w:rFonts w:hint="eastAsia" w:ascii="仿宋_GB2312" w:hAnsi="仿宋_GB2312" w:eastAsia="仿宋_GB2312" w:cs="仿宋_GB2312"/>
          <w:color w:val="333333"/>
          <w:sz w:val="32"/>
          <w:szCs w:val="32"/>
          <w:shd w:val="clear" w:fill="FFFFFF"/>
          <w:lang w:val="en-US" w:eastAsia="zh-CN"/>
        </w:rPr>
        <w:t>10</w:t>
      </w:r>
      <w:r>
        <w:rPr>
          <w:rFonts w:hint="eastAsia" w:ascii="仿宋_GB2312" w:hAnsi="仿宋_GB2312" w:eastAsia="仿宋_GB2312" w:cs="仿宋_GB2312"/>
          <w:color w:val="333333"/>
          <w:sz w:val="32"/>
          <w:szCs w:val="32"/>
          <w:shd w:val="clear" w:fill="FFFFFF"/>
        </w:rPr>
        <w:t>月19日</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333333"/>
          <w:sz w:val="32"/>
          <w:szCs w:val="32"/>
          <w:shd w:val="clear" w:fill="FFFFFF"/>
        </w:rPr>
      </w:pPr>
    </w:p>
    <w:p>
      <w:pPr>
        <w:pStyle w:val="3"/>
        <w:keepNext/>
        <w:keepLines/>
        <w:pageBreakBefore w:val="0"/>
        <w:widowControl w:val="0"/>
        <w:kinsoku/>
        <w:wordWrap/>
        <w:overflowPunct/>
        <w:topLinePunct w:val="0"/>
        <w:autoSpaceDE/>
        <w:autoSpaceDN/>
        <w:bidi w:val="0"/>
        <w:adjustRightInd w:val="0"/>
        <w:snapToGrid w:val="0"/>
        <w:spacing w:before="0" w:after="0" w:line="252" w:lineRule="auto"/>
        <w:jc w:val="left"/>
        <w:textAlignment w:val="auto"/>
        <w:rPr>
          <w:rFonts w:hint="eastAsia" w:ascii="方正小标宋_GBK" w:hAnsi="方正小标宋_GBK" w:eastAsia="方正小标宋_GBK"/>
          <w:b w:val="0"/>
          <w:bCs w:val="0"/>
          <w:lang w:val="en-US" w:eastAsia="zh-CN"/>
        </w:rPr>
      </w:pPr>
      <w:r>
        <w:rPr>
          <w:rFonts w:hint="eastAsia" w:ascii="黑体" w:hAnsi="黑体" w:eastAsia="黑体" w:cs="黑体"/>
          <w:b w:val="0"/>
          <w:bCs w:val="0"/>
          <w:sz w:val="32"/>
          <w:szCs w:val="32"/>
          <w:lang w:val="en-US" w:eastAsia="zh-CN"/>
        </w:rPr>
        <w:t>附件1</w:t>
      </w:r>
      <w:r>
        <w:rPr>
          <w:rFonts w:hint="eastAsia" w:ascii="方正小标宋_GBK" w:hAnsi="方正小标宋_GBK" w:eastAsia="方正小标宋_GBK"/>
          <w:b w:val="0"/>
          <w:bCs w:val="0"/>
          <w:lang w:val="en-US" w:eastAsia="zh-CN"/>
        </w:rPr>
        <w:t xml:space="preserve">    </w:t>
      </w:r>
    </w:p>
    <w:p>
      <w:pPr>
        <w:pStyle w:val="3"/>
        <w:keepNext/>
        <w:keepLines/>
        <w:pageBreakBefore w:val="0"/>
        <w:widowControl w:val="0"/>
        <w:kinsoku/>
        <w:wordWrap/>
        <w:overflowPunct/>
        <w:topLinePunct w:val="0"/>
        <w:autoSpaceDE/>
        <w:autoSpaceDN/>
        <w:bidi w:val="0"/>
        <w:adjustRightInd w:val="0"/>
        <w:snapToGrid w:val="0"/>
        <w:spacing w:before="0" w:after="0" w:line="252" w:lineRule="auto"/>
        <w:jc w:val="center"/>
        <w:textAlignment w:val="auto"/>
        <w:rPr>
          <w:rFonts w:hint="eastAsia" w:ascii="方正小标宋_GBK" w:hAnsi="方正小标宋_GBK" w:eastAsia="方正小标宋_GBK"/>
          <w:b w:val="0"/>
          <w:bCs w:val="0"/>
        </w:rPr>
      </w:pPr>
      <w:r>
        <w:rPr>
          <w:rFonts w:hint="eastAsia" w:ascii="方正小标宋_GBK" w:hAnsi="方正小标宋_GBK" w:eastAsia="方正小标宋_GBK"/>
          <w:b w:val="0"/>
          <w:bCs w:val="0"/>
        </w:rPr>
        <w:t>青岛西海岸新区义务教育领域</w:t>
      </w:r>
    </w:p>
    <w:p>
      <w:pPr>
        <w:pStyle w:val="3"/>
        <w:keepNext/>
        <w:keepLines/>
        <w:pageBreakBefore w:val="0"/>
        <w:widowControl w:val="0"/>
        <w:kinsoku/>
        <w:wordWrap/>
        <w:overflowPunct/>
        <w:topLinePunct w:val="0"/>
        <w:autoSpaceDE/>
        <w:autoSpaceDN/>
        <w:bidi w:val="0"/>
        <w:adjustRightInd w:val="0"/>
        <w:snapToGrid w:val="0"/>
        <w:spacing w:before="0" w:after="0" w:line="252" w:lineRule="auto"/>
        <w:jc w:val="center"/>
        <w:textAlignment w:val="auto"/>
        <w:rPr>
          <w:rFonts w:ascii="方正小标宋_GBK" w:hAnsi="方正小标宋_GBK" w:eastAsia="方正小标宋_GBK"/>
          <w:b w:val="0"/>
          <w:bCs w:val="0"/>
        </w:rPr>
      </w:pPr>
      <w:r>
        <w:rPr>
          <w:rFonts w:hint="eastAsia" w:ascii="方正小标宋_GBK" w:hAnsi="方正小标宋_GBK" w:eastAsia="方正小标宋_GBK"/>
          <w:b w:val="0"/>
          <w:bCs w:val="0"/>
        </w:rPr>
        <w:t>基层政务公开标准目录</w:t>
      </w:r>
      <w:r>
        <w:rPr>
          <w:rFonts w:hint="eastAsia" w:ascii="方正小标宋_GBK" w:hAnsi="宋体" w:eastAsia="方正小标宋_GBK" w:cs="宋体"/>
          <w:b w:val="0"/>
          <w:color w:val="000000"/>
          <w:kern w:val="0"/>
        </w:rPr>
        <w:t>设置责任分解表</w:t>
      </w:r>
    </w:p>
    <w:tbl>
      <w:tblPr>
        <w:tblStyle w:val="9"/>
        <w:tblW w:w="948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636"/>
        <w:gridCol w:w="729"/>
        <w:gridCol w:w="3150"/>
        <w:gridCol w:w="2358"/>
        <w:gridCol w:w="1392"/>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498" w:type="dxa"/>
            <w:vMerge w:val="restart"/>
            <w:noWrap w:val="0"/>
            <w:vAlign w:val="center"/>
          </w:tcPr>
          <w:p>
            <w:pPr>
              <w:widowControl/>
              <w:adjustRightInd w:val="0"/>
              <w:snapToGrid w:val="0"/>
              <w:spacing w:line="360" w:lineRule="exact"/>
              <w:jc w:val="center"/>
              <w:rPr>
                <w:rFonts w:hint="eastAsia" w:ascii="黑体" w:hAnsi="Times New Roman" w:eastAsia="黑体" w:cs="Times New Roman"/>
                <w:color w:val="000000"/>
                <w:kern w:val="0"/>
                <w:sz w:val="22"/>
              </w:rPr>
            </w:pPr>
            <w:r>
              <w:rPr>
                <w:rFonts w:hint="eastAsia" w:ascii="黑体" w:hAnsi="宋体" w:eastAsia="黑体" w:cs="Times New Roman"/>
                <w:color w:val="000000"/>
                <w:kern w:val="0"/>
                <w:sz w:val="22"/>
              </w:rPr>
              <w:t>序号</w:t>
            </w:r>
          </w:p>
        </w:tc>
        <w:tc>
          <w:tcPr>
            <w:tcW w:w="1365" w:type="dxa"/>
            <w:gridSpan w:val="2"/>
            <w:noWrap w:val="0"/>
            <w:vAlign w:val="center"/>
          </w:tcPr>
          <w:p>
            <w:pPr>
              <w:widowControl/>
              <w:adjustRightInd w:val="0"/>
              <w:snapToGrid w:val="0"/>
              <w:spacing w:line="360" w:lineRule="exact"/>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3150" w:type="dxa"/>
            <w:vMerge w:val="restart"/>
            <w:noWrap w:val="0"/>
            <w:vAlign w:val="center"/>
          </w:tcPr>
          <w:p>
            <w:pPr>
              <w:widowControl/>
              <w:adjustRightInd w:val="0"/>
              <w:snapToGrid w:val="0"/>
              <w:spacing w:line="360" w:lineRule="exact"/>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58" w:type="dxa"/>
            <w:vMerge w:val="restart"/>
            <w:noWrap w:val="0"/>
            <w:vAlign w:val="center"/>
          </w:tcPr>
          <w:p>
            <w:pPr>
              <w:widowControl/>
              <w:adjustRightInd w:val="0"/>
              <w:snapToGrid w:val="0"/>
              <w:spacing w:line="360" w:lineRule="exact"/>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392" w:type="dxa"/>
            <w:vMerge w:val="restart"/>
            <w:noWrap w:val="0"/>
            <w:vAlign w:val="center"/>
          </w:tcPr>
          <w:p>
            <w:pPr>
              <w:widowControl/>
              <w:adjustRightInd w:val="0"/>
              <w:snapToGrid w:val="0"/>
              <w:spacing w:line="360" w:lineRule="exact"/>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noWrap w:val="0"/>
            <w:vAlign w:val="center"/>
          </w:tcPr>
          <w:p>
            <w:pPr>
              <w:widowControl/>
              <w:adjustRightInd w:val="0"/>
              <w:snapToGrid w:val="0"/>
              <w:spacing w:line="360" w:lineRule="exact"/>
              <w:jc w:val="center"/>
              <w:rPr>
                <w:rFonts w:hint="eastAsia" w:ascii="黑体" w:hAnsi="宋体" w:eastAsia="黑体" w:cs="宋体"/>
                <w:color w:val="000000"/>
                <w:kern w:val="0"/>
                <w:sz w:val="22"/>
              </w:rPr>
            </w:pPr>
            <w:r>
              <w:rPr>
                <w:rFonts w:hint="eastAsia" w:ascii="黑体" w:hAnsi="宋体" w:eastAsia="黑体" w:cs="宋体"/>
                <w:kern w:val="0"/>
                <w:sz w:val="22"/>
              </w:rPr>
              <w:t>责任科室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widowControl/>
              <w:adjustRightInd w:val="0"/>
              <w:snapToGrid w:val="0"/>
              <w:spacing w:line="360" w:lineRule="exact"/>
              <w:jc w:val="left"/>
              <w:rPr>
                <w:rFonts w:hint="eastAsia" w:ascii="黑体" w:hAnsi="Times New Roman" w:eastAsia="黑体" w:cs="Times New Roman"/>
                <w:color w:val="000000"/>
                <w:kern w:val="0"/>
                <w:sz w:val="22"/>
              </w:rPr>
            </w:pPr>
          </w:p>
        </w:tc>
        <w:tc>
          <w:tcPr>
            <w:tcW w:w="636" w:type="dxa"/>
            <w:noWrap w:val="0"/>
            <w:vAlign w:val="center"/>
          </w:tcPr>
          <w:p>
            <w:pPr>
              <w:widowControl/>
              <w:adjustRightInd w:val="0"/>
              <w:snapToGrid w:val="0"/>
              <w:spacing w:line="360" w:lineRule="exact"/>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729" w:type="dxa"/>
            <w:noWrap w:val="0"/>
            <w:vAlign w:val="center"/>
          </w:tcPr>
          <w:p>
            <w:pPr>
              <w:widowControl/>
              <w:adjustRightInd w:val="0"/>
              <w:snapToGrid w:val="0"/>
              <w:spacing w:line="360" w:lineRule="exact"/>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3150" w:type="dxa"/>
            <w:vMerge w:val="continue"/>
            <w:noWrap w:val="0"/>
            <w:vAlign w:val="center"/>
          </w:tcPr>
          <w:p>
            <w:pPr>
              <w:widowControl/>
              <w:adjustRightInd w:val="0"/>
              <w:snapToGrid w:val="0"/>
              <w:spacing w:line="360" w:lineRule="exact"/>
              <w:jc w:val="left"/>
              <w:rPr>
                <w:rFonts w:hint="eastAsia" w:ascii="黑体" w:hAnsi="宋体" w:eastAsia="黑体" w:cs="宋体"/>
                <w:color w:val="000000"/>
                <w:kern w:val="0"/>
                <w:sz w:val="22"/>
              </w:rPr>
            </w:pPr>
          </w:p>
        </w:tc>
        <w:tc>
          <w:tcPr>
            <w:tcW w:w="2358" w:type="dxa"/>
            <w:vMerge w:val="continue"/>
            <w:noWrap w:val="0"/>
            <w:vAlign w:val="center"/>
          </w:tcPr>
          <w:p>
            <w:pPr>
              <w:widowControl/>
              <w:adjustRightInd w:val="0"/>
              <w:snapToGrid w:val="0"/>
              <w:spacing w:line="360" w:lineRule="exact"/>
              <w:jc w:val="left"/>
              <w:rPr>
                <w:rFonts w:hint="eastAsia" w:ascii="黑体" w:hAnsi="宋体" w:eastAsia="黑体" w:cs="宋体"/>
                <w:color w:val="000000"/>
                <w:kern w:val="0"/>
                <w:sz w:val="22"/>
              </w:rPr>
            </w:pPr>
          </w:p>
        </w:tc>
        <w:tc>
          <w:tcPr>
            <w:tcW w:w="1392" w:type="dxa"/>
            <w:vMerge w:val="continue"/>
            <w:noWrap w:val="0"/>
            <w:vAlign w:val="center"/>
          </w:tcPr>
          <w:p>
            <w:pPr>
              <w:widowControl/>
              <w:adjustRightInd w:val="0"/>
              <w:snapToGrid w:val="0"/>
              <w:spacing w:line="360" w:lineRule="exact"/>
              <w:jc w:val="left"/>
              <w:rPr>
                <w:rFonts w:hint="eastAsia" w:ascii="黑体" w:hAnsi="宋体" w:eastAsia="黑体" w:cs="宋体"/>
                <w:color w:val="000000"/>
                <w:kern w:val="0"/>
                <w:sz w:val="22"/>
              </w:rPr>
            </w:pPr>
          </w:p>
        </w:tc>
        <w:tc>
          <w:tcPr>
            <w:tcW w:w="720" w:type="dxa"/>
            <w:vMerge w:val="continue"/>
            <w:noWrap w:val="0"/>
            <w:vAlign w:val="center"/>
          </w:tcPr>
          <w:p>
            <w:pPr>
              <w:widowControl/>
              <w:adjustRightInd w:val="0"/>
              <w:snapToGrid w:val="0"/>
              <w:spacing w:line="360" w:lineRule="exact"/>
              <w:jc w:val="left"/>
              <w:rPr>
                <w:rFonts w:hint="eastAsia"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498"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1</w:t>
            </w:r>
          </w:p>
        </w:tc>
        <w:tc>
          <w:tcPr>
            <w:tcW w:w="636"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政策</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文件</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教育</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法律</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●《中华人民共和国教育法》（2015年修正）</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●《中华人民共和国义务教育法》（2018年修正）</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●《中华人民共和国民办教育促进法》（2016年修正）</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●《中华人民共和国教师法》（2009年修正）</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●《中华人民共和国国家通用语言文字法》（2000）</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《政府信息公开条例》（国务院令第711号）第二十条</w:t>
            </w:r>
          </w:p>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政策法规科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规范性文件</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●部门和地方政府规章</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●各类教育政策文件</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《中华人民共和国政府信息公开条例》（国务院令第711号）第二十条</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政策法规科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498"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2</w:t>
            </w:r>
          </w:p>
        </w:tc>
        <w:tc>
          <w:tcPr>
            <w:tcW w:w="636"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教育概况</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教育事业发展主要情况</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●教育事业发展主要情况</w:t>
            </w:r>
          </w:p>
        </w:tc>
        <w:tc>
          <w:tcPr>
            <w:tcW w:w="2358" w:type="dxa"/>
            <w:vMerge w:val="restart"/>
            <w:noWrap w:val="0"/>
            <w:vAlign w:val="center"/>
          </w:tcPr>
          <w:p>
            <w:pPr>
              <w:adjustRightInd w:val="0"/>
              <w:snapToGrid w:val="0"/>
              <w:spacing w:line="360" w:lineRule="exact"/>
              <w:jc w:val="left"/>
              <w:rPr>
                <w:rFonts w:hint="eastAsia" w:ascii="仿宋_GB2312" w:hAnsi="仿宋_GB2312" w:cs="仿宋_GB2312"/>
                <w:color w:val="000000"/>
                <w:sz w:val="24"/>
                <w:szCs w:val="24"/>
              </w:rPr>
            </w:pP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1.《中华人民共和国统计法》（2009修订）第二十六条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3.《教育统计管理规定》（ 中华人民共和国教育部令第44号 ）第三十条</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教育统计数据</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●学校数据●在校生数据</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●教师数据●办学条件数据</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●县级汇总数据</w:t>
            </w:r>
          </w:p>
        </w:tc>
        <w:tc>
          <w:tcPr>
            <w:tcW w:w="2358" w:type="dxa"/>
            <w:vMerge w:val="continue"/>
            <w:noWrap w:val="0"/>
            <w:vAlign w:val="center"/>
          </w:tcPr>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学前办、普教科、职教科、民管办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义务教育学校名录</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●学校名称●学校地址</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●办学层次●办学类型</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●办公电话</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8"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3</w:t>
            </w:r>
          </w:p>
        </w:tc>
        <w:tc>
          <w:tcPr>
            <w:tcW w:w="636"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民办学校信息</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民办学校办学基本信息</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●学校名称●办学许可证</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●办学规模●联系方式</w:t>
            </w:r>
          </w:p>
        </w:tc>
        <w:tc>
          <w:tcPr>
            <w:tcW w:w="2358" w:type="dxa"/>
            <w:vMerge w:val="restart"/>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1.《中华人民共和国民办教育促进法》（2006年修）第四十、四十一、四十三、六十一、六十二、六十三、六十四条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3.《国务院关于鼓励社会力量兴办教育 促进民办教育健康发展的若干意见》（国发（2016）81号）</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民管办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民办学校设立、变更、终止等事项行政审批、备案信息</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●法律依据</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●办理流程</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●审批结果</w:t>
            </w:r>
          </w:p>
        </w:tc>
        <w:tc>
          <w:tcPr>
            <w:tcW w:w="2358" w:type="dxa"/>
            <w:vMerge w:val="continue"/>
            <w:noWrap w:val="0"/>
            <w:vAlign w:val="center"/>
          </w:tcPr>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民管办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日常监管信息</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●年检指标●年检程序</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●年检结果●行政处罚信息</w:t>
            </w:r>
          </w:p>
        </w:tc>
        <w:tc>
          <w:tcPr>
            <w:tcW w:w="2358" w:type="dxa"/>
            <w:vMerge w:val="continue"/>
            <w:noWrap w:val="0"/>
            <w:vAlign w:val="center"/>
          </w:tcPr>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民管办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4</w:t>
            </w:r>
          </w:p>
        </w:tc>
        <w:tc>
          <w:tcPr>
            <w:tcW w:w="636"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财务信息</w:t>
            </w:r>
          </w:p>
        </w:tc>
        <w:tc>
          <w:tcPr>
            <w:tcW w:w="729" w:type="dxa"/>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财务</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信息</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●年度经费预决算信息</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●收费项目及收费标准</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《中华人民共和国政府信息公开条例》（国务院令第711号修订）第二十条</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计划财务科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5</w:t>
            </w:r>
          </w:p>
        </w:tc>
        <w:tc>
          <w:tcPr>
            <w:tcW w:w="636"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招生管理</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学校</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介绍</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●办学性质●办学地点</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●办学规模●办学基本条件</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●联系方式等</w:t>
            </w:r>
          </w:p>
        </w:tc>
        <w:tc>
          <w:tcPr>
            <w:tcW w:w="2358" w:type="dxa"/>
            <w:vMerge w:val="restart"/>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2.《教育部关于进一步做好小学升入初中免试就近入学工作的实施意见》（教基一[2014]1号）</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3.《教育部关于推进中小学信息公开工作的意见》（教办[2010]15号）</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招生</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政策</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●各校招生工作实施方案</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●随迁子女入学办法</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●部分适龄儿童或少年延缓入学、休学等特殊需求的政策解读等</w:t>
            </w:r>
          </w:p>
        </w:tc>
        <w:tc>
          <w:tcPr>
            <w:tcW w:w="2358" w:type="dxa"/>
            <w:vMerge w:val="continue"/>
            <w:noWrap w:val="0"/>
            <w:vAlign w:val="center"/>
          </w:tcPr>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5</w:t>
            </w:r>
          </w:p>
        </w:tc>
        <w:tc>
          <w:tcPr>
            <w:tcW w:w="636"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招生管理</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招生</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计划</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●各校本年度招生计划</w:t>
            </w:r>
          </w:p>
        </w:tc>
        <w:tc>
          <w:tcPr>
            <w:tcW w:w="2358" w:type="dxa"/>
            <w:vMerge w:val="restart"/>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 xml:space="preserve">2.《教育部关于进一步做好小学升入初中免试就近入学工作的实施意见》（教基一[2014]1号）                       </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 xml:space="preserve">3.《教育部关于推进中小学信息开工作的意见》（教办[2010]15号）                                                                                                                                                                                                                                                                          </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招生</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范围</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●招生范围</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●学区划分详细情况</w:t>
            </w:r>
          </w:p>
        </w:tc>
        <w:tc>
          <w:tcPr>
            <w:tcW w:w="2358" w:type="dxa"/>
            <w:vMerge w:val="continue"/>
            <w:noWrap w:val="0"/>
            <w:vAlign w:val="center"/>
          </w:tcPr>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招生</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结果</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●各校本年度招生结果</w:t>
            </w:r>
          </w:p>
        </w:tc>
        <w:tc>
          <w:tcPr>
            <w:tcW w:w="2358" w:type="dxa"/>
            <w:vMerge w:val="continue"/>
            <w:noWrap w:val="0"/>
            <w:vAlign w:val="center"/>
          </w:tcPr>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6</w:t>
            </w:r>
          </w:p>
        </w:tc>
        <w:tc>
          <w:tcPr>
            <w:tcW w:w="636"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学生管理</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学籍</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管理</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 xml:space="preserve">●区域内义务教育阶段学生休学、复学、转学相关政策及所需材料和办理流程   </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●适龄儿童延缓入学所需材料及办理流程</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●学籍证明、毕（结）业证书遗失办理学历证明确认</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1.《中华人民共和国义务教育法》（2018年修订）第十一条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3.《中小学生学籍管理办法》（教基一[2013]7号）第三章</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义务教育学生资助政策</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●统一城乡义务教育“两免一补”政策</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2.《国务院关于进一步完善城乡义务教育经费保障机制的通知》国发〔2015〕67号</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学生评优奖励</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●省市县“三好学生”“优秀学生干部”评选标准</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●评比方法</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●表彰名单等</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2.当地省市县表彰文件</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6</w:t>
            </w:r>
          </w:p>
        </w:tc>
        <w:tc>
          <w:tcPr>
            <w:tcW w:w="636"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学生管理</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优待</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政策</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●公安英烈和因公牺牲伤残公安民警子女教育优待细则</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●综合性消防救援队伍人员及其子女教育优待细则</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2.《关于进一步加强和改进公安英烈和因公牺牲伤残公安民警子女教育优待工作的通知》（公政治[2018]27号）</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7</w:t>
            </w:r>
          </w:p>
        </w:tc>
        <w:tc>
          <w:tcPr>
            <w:tcW w:w="636"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教师管理</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培训</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●教师培训政策文件</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●培训项目组织实施通知</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1.《中华人民共和国教育法》(2015修正)第三十五条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2.《中华人民共和国教师法》(2009修正)第十九条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3.《中小学教师继续教育规定》（教育部令第7号）第三条</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办公室、人事科、教育发展研究中心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教师资格认定</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●教师资格认定申请材料</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●参加体检时间、医疗机构名单、体检合格标准</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●认定结果</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●咨询方式、监督举报方式、常见问题等</w:t>
            </w:r>
          </w:p>
        </w:tc>
        <w:tc>
          <w:tcPr>
            <w:tcW w:w="2358" w:type="dxa"/>
            <w:vMerge w:val="restart"/>
            <w:noWrap w:val="0"/>
            <w:vAlign w:val="center"/>
          </w:tcPr>
          <w:p>
            <w:pPr>
              <w:adjustRightInd w:val="0"/>
              <w:snapToGrid w:val="0"/>
              <w:spacing w:line="360" w:lineRule="exact"/>
              <w:jc w:val="left"/>
              <w:rPr>
                <w:rFonts w:hint="eastAsia" w:ascii="仿宋_GB2312" w:hAnsi="仿宋_GB2312" w:cs="仿宋_GB2312"/>
                <w:color w:val="000000"/>
                <w:sz w:val="24"/>
                <w:szCs w:val="24"/>
              </w:rPr>
            </w:pP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1.《中华人民共和国教师法》(2009修正)第十条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2.《中华人民共和国政府信息公开条例》（国务院令第711号修订）第十条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3.《教师资格条例》（中华人民共和国教育部令第１０号）</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4.《教育部关于印发〈教师资格证书管理规定〉的通知》（教人〔２001〕６号）》</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●中小学、幼儿园教师资格证书补发、换发政策及流程</w:t>
            </w:r>
          </w:p>
        </w:tc>
        <w:tc>
          <w:tcPr>
            <w:tcW w:w="2358" w:type="dxa"/>
            <w:vMerge w:val="continue"/>
            <w:noWrap w:val="0"/>
            <w:vAlign w:val="center"/>
          </w:tcPr>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7</w:t>
            </w:r>
          </w:p>
        </w:tc>
        <w:tc>
          <w:tcPr>
            <w:tcW w:w="636"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教师管理</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教师公开招聘</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●教师招聘计划和公告</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●拟聘用人员名单公示</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2.《事业单位公开招聘人员暂行规定》（人事部令第6 号）第十四条</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信息形成或者变更之日起5个工作日内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7</w:t>
            </w:r>
          </w:p>
        </w:tc>
        <w:tc>
          <w:tcPr>
            <w:tcW w:w="636"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教师管理</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教师评优评先</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●优秀教师的表彰、奖励等行政奖励信息公示</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1.《中华人民共和国教师法》(2009修正)第三十三、三十四条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2.《中共中央 国务院关于全面深化新时代教师队伍建设改革的意见》（2018年1月20日）</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纪委监察室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教师职称评审</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●评审政策</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●评审通知</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●学校拟推荐人选名单</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●评审结果</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●最终结果</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2.《人力资源社会保障部教育部关于印发深化中小学教师职称制度改革的指导意见的通知》</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信息形成（变更）3个工作日内，公示时间不少于7个工作日</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纪委监察室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7</w:t>
            </w:r>
          </w:p>
        </w:tc>
        <w:tc>
          <w:tcPr>
            <w:tcW w:w="636"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教师管理</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招聘</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●教师招聘公告</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●拟聘用人员名单公示</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1.《中华人民共和国政府信息公开条例》（国务院令第711号修订）第十条</w:t>
            </w:r>
          </w:p>
          <w:p>
            <w:pPr>
              <w:pStyle w:val="8"/>
              <w:widowControl/>
              <w:adjustRightInd w:val="0"/>
              <w:snapToGrid w:val="0"/>
              <w:spacing w:after="0" w:line="360" w:lineRule="exact"/>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2"/>
                <w:szCs w:val="24"/>
              </w:rPr>
              <w:t>2.《事业单位公开招聘人员暂行规定》（人事部令第6 号）第十四条</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信息形成（变更）3个工作日内，公示时间不少于7个工作日</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7</w:t>
            </w:r>
          </w:p>
        </w:tc>
        <w:tc>
          <w:tcPr>
            <w:tcW w:w="636"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教师管理</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乡村教师生活补助</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●管理制度</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●实施方案</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●实施时间</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●补助范围</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●发放对象</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●补助档次标准</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●发放情况</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2.《教育部 财政部关于落实2013年中央1号文件要求对在连片特困地区工作的乡村教师给予生活补助的通知》</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3.《教育部关于加强乡村教师生活补助经费管理有关工作的通知》</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信息形成（变更）3个工作日内；教师申领情况进行常年公示</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普通话培训及测试</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●开展普通话培训、测试的通知</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●测试结果查询</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《中华人民共和国政府信息公开条例》《普通话水平测试管理规定》（教育部令第16号）</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498" w:type="dxa"/>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8</w:t>
            </w:r>
          </w:p>
        </w:tc>
        <w:tc>
          <w:tcPr>
            <w:tcW w:w="636"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重要政策执行情况</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控辍</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保学</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●“一县一策”控辍保学工作方案</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●年度工作进展情况（含义务教育学生失学、辍学的总体情况，建档立卡家庭贫困学生总体就学情况）</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●督导检查结果公告</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●典型经验和有效做法</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2.《国务院办公厅关于进一步加强控辍保学提高义务教育巩固水平的通知（国办发【2017】72号）</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restart"/>
            <w:noWrap w:val="0"/>
            <w:vAlign w:val="center"/>
          </w:tcPr>
          <w:p>
            <w:pPr>
              <w:adjustRightInd w:val="0"/>
              <w:snapToGrid w:val="0"/>
              <w:spacing w:line="360" w:lineRule="exact"/>
              <w:jc w:val="center"/>
              <w:rPr>
                <w:rFonts w:hint="eastAsia" w:ascii="仿宋_GB2312" w:hAnsi="仿宋_GB2312" w:cs="仿宋_GB2312"/>
                <w:sz w:val="24"/>
                <w:szCs w:val="24"/>
              </w:rPr>
            </w:pPr>
            <w:r>
              <w:rPr>
                <w:rFonts w:hint="eastAsia" w:ascii="仿宋_GB2312" w:hAnsi="仿宋_GB2312" w:cs="仿宋_GB2312"/>
                <w:sz w:val="24"/>
                <w:szCs w:val="24"/>
              </w:rPr>
              <w:t>8</w:t>
            </w:r>
          </w:p>
        </w:tc>
        <w:tc>
          <w:tcPr>
            <w:tcW w:w="636"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重要政策执行情况</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学校体育评价</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●学校体育工作自评结果（体育课、体育训练、体育比赛、体育教师、体育场地、条件保障等）</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●学校体育发展年度报告（重点反映体育教学改革、体育教师配备、体育经费投入和体育场地设施、学生体质健康测试等方面的情况）</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《中华人民共和国政府信息公开条例》（国务院令第711号修订）第二十条，教育部关于印发《学生体质健康监测评价办法》等三个文件的通知（教体艺〔2014〕3号）第九条</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学校美育评价</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●学校艺术教育工作自评结果（艺术课程、艺术活动、艺术教师、条件保障、特色发展及学生艺术素质测评等）</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《中华人民共和国政府信息公开条例》（国务院令第711号修订）第二十条，教育部关于印发《中小学生艺术素质测评办法》等三个文件的通知（教体艺〔2015〕5号）第一、二、三、四条</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教育发展研究中心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498"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9</w:t>
            </w:r>
          </w:p>
        </w:tc>
        <w:tc>
          <w:tcPr>
            <w:tcW w:w="636"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教育督导</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机构</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队伍</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●督导部门组成</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●督学名单</w:t>
            </w:r>
          </w:p>
        </w:tc>
        <w:tc>
          <w:tcPr>
            <w:tcW w:w="2358" w:type="dxa"/>
            <w:vMerge w:val="restart"/>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1.《教育督导条例》（国务院令第624号）第二十三条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2.《县域义务教育均衡发展督导评估暂行办法》（教督〔2012〕3号）第十条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3.《县域义务教育优质均衡发展督导评估办法》（教督[2017]6号）第十二条</w:t>
            </w:r>
          </w:p>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学校督导评估</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●年度督导工作计划内容</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●责任区划分和责任督学名单</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●责任督学日常督导事项</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●学校督导评估的办法、指标体系、督导评估报告</w:t>
            </w:r>
          </w:p>
        </w:tc>
        <w:tc>
          <w:tcPr>
            <w:tcW w:w="2358" w:type="dxa"/>
            <w:vMerge w:val="continue"/>
            <w:noWrap w:val="0"/>
            <w:vAlign w:val="center"/>
          </w:tcPr>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义务教育均衡发展督导评估</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●义务教育均衡发展有关政策文件</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●义务教育均衡发展状况自评方案及结果</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●省级教育督导机构督导评估工作安排、评估结果</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●对义务教育发展均衡县进行认定的结果、报告</w:t>
            </w:r>
          </w:p>
        </w:tc>
        <w:tc>
          <w:tcPr>
            <w:tcW w:w="2358" w:type="dxa"/>
            <w:vMerge w:val="continue"/>
            <w:noWrap w:val="0"/>
            <w:vAlign w:val="center"/>
          </w:tcPr>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sz w:val="24"/>
                <w:szCs w:val="24"/>
              </w:rPr>
              <w:t>体卫艺科、安全办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10</w:t>
            </w:r>
          </w:p>
        </w:tc>
        <w:tc>
          <w:tcPr>
            <w:tcW w:w="636"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校园安全</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校园安全管理</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●校园安全管理法律法规、配套管理制度</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●学生住宿、用餐、组织活动等安全管理情况</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●校园安全突发事件应急预案、预警信息、应对情况、调查处理情况</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●校车使用许可申请政策规定及申请流程</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2.《国务院办公厅关于加强中小学幼儿园安全风险防控体系建设的意见》（国办发〔2017〕35号）</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3.《教育部关于推进中小学信息公开工作的意见》教办【2017】15号</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4.《校车安全管理条例》</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sz w:val="24"/>
                <w:szCs w:val="24"/>
              </w:rPr>
              <w:t>体卫艺科</w:t>
            </w:r>
          </w:p>
        </w:tc>
      </w:tr>
    </w:tbl>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333333"/>
          <w:sz w:val="32"/>
          <w:szCs w:val="32"/>
          <w:shd w:val="clear" w:fill="FFFFFF"/>
        </w:rPr>
      </w:pPr>
    </w:p>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line="560" w:lineRule="exact"/>
        <w:jc w:val="center"/>
        <w:rPr>
          <w:rFonts w:hint="eastAsia" w:ascii="方正小标宋简体" w:eastAsia="方正小标宋简体"/>
          <w:spacing w:val="-20"/>
          <w:w w:val="100"/>
          <w:sz w:val="44"/>
          <w:szCs w:val="44"/>
          <w:lang w:eastAsia="zh-CN"/>
        </w:rPr>
      </w:pPr>
      <w:r>
        <w:rPr>
          <w:rFonts w:ascii="方正小标宋_GBK" w:hAnsi="方正小标宋_GBK" w:eastAsia="方正小标宋_GBK" w:cs="方正小标宋_GBK"/>
          <w:spacing w:val="-20"/>
          <w:w w:val="100"/>
          <w:sz w:val="44"/>
          <w:szCs w:val="44"/>
        </w:rPr>
        <w:t>2020</w:t>
      </w:r>
      <w:r>
        <w:rPr>
          <w:rFonts w:hint="eastAsia" w:ascii="方正小标宋简体" w:eastAsia="方正小标宋简体"/>
          <w:spacing w:val="-20"/>
          <w:w w:val="100"/>
          <w:sz w:val="44"/>
          <w:szCs w:val="44"/>
        </w:rPr>
        <w:t>年省政务公开第三方考核评估指标责任分解</w:t>
      </w:r>
      <w:r>
        <w:rPr>
          <w:rFonts w:hint="eastAsia" w:ascii="方正小标宋简体" w:eastAsia="方正小标宋简体"/>
          <w:spacing w:val="-20"/>
          <w:w w:val="100"/>
          <w:sz w:val="44"/>
          <w:szCs w:val="44"/>
          <w:lang w:eastAsia="zh-CN"/>
        </w:rPr>
        <w:t>（</w:t>
      </w:r>
      <w:r>
        <w:rPr>
          <w:rFonts w:hint="eastAsia" w:ascii="方正小标宋简体" w:eastAsia="方正小标宋简体"/>
          <w:spacing w:val="-20"/>
          <w:w w:val="100"/>
          <w:sz w:val="44"/>
          <w:szCs w:val="44"/>
          <w:lang w:val="en-US" w:eastAsia="zh-CN"/>
        </w:rPr>
        <w:t>教育</w:t>
      </w:r>
      <w:r>
        <w:rPr>
          <w:rFonts w:hint="eastAsia" w:ascii="方正小标宋简体" w:eastAsia="方正小标宋简体"/>
          <w:spacing w:val="-20"/>
          <w:w w:val="100"/>
          <w:sz w:val="44"/>
          <w:szCs w:val="44"/>
          <w:lang w:eastAsia="zh-CN"/>
        </w:rPr>
        <w:t>）</w:t>
      </w:r>
    </w:p>
    <w:p>
      <w:pPr>
        <w:pStyle w:val="3"/>
        <w:spacing w:before="0" w:after="0" w:line="240" w:lineRule="auto"/>
        <w:jc w:val="center"/>
        <w:rPr>
          <w:rFonts w:hint="eastAsia"/>
          <w:spacing w:val="0"/>
          <w:w w:val="100"/>
          <w:szCs w:val="32"/>
          <w:lang w:val="en-US" w:eastAsia="zh-CN"/>
        </w:rPr>
      </w:pPr>
      <w:r>
        <w:rPr>
          <w:rFonts w:hint="eastAsia" w:ascii="楷体_GB2312" w:hAnsi="Times New Roman" w:eastAsia="楷体_GB2312" w:cs="Times New Roman"/>
          <w:b w:val="0"/>
          <w:spacing w:val="0"/>
          <w:w w:val="100"/>
          <w:sz w:val="32"/>
          <w:szCs w:val="32"/>
        </w:rPr>
        <w:t>（</w:t>
      </w:r>
      <w:r>
        <w:rPr>
          <w:rFonts w:hint="eastAsia" w:ascii="楷体_GB2312" w:hAnsi="Times New Roman" w:eastAsia="楷体_GB2312" w:cs="Times New Roman"/>
          <w:b/>
          <w:bCs w:val="0"/>
          <w:color w:val="0000FF"/>
          <w:spacing w:val="0"/>
          <w:w w:val="100"/>
          <w:sz w:val="32"/>
          <w:szCs w:val="32"/>
        </w:rPr>
        <w:t>蓝色</w:t>
      </w:r>
      <w:r>
        <w:rPr>
          <w:rFonts w:hint="eastAsia" w:ascii="楷体_GB2312" w:hAnsi="Times New Roman" w:eastAsia="楷体_GB2312" w:cs="Times New Roman"/>
          <w:b/>
          <w:bCs w:val="0"/>
          <w:color w:val="0000FF"/>
          <w:spacing w:val="0"/>
          <w:w w:val="100"/>
          <w:sz w:val="32"/>
          <w:szCs w:val="32"/>
          <w:lang w:val="en-US" w:eastAsia="zh-CN"/>
        </w:rPr>
        <w:t>加下划线</w:t>
      </w:r>
      <w:r>
        <w:rPr>
          <w:rFonts w:hint="eastAsia" w:ascii="楷体_GB2312" w:hAnsi="Times New Roman" w:eastAsia="楷体_GB2312" w:cs="Times New Roman"/>
          <w:b/>
          <w:bCs w:val="0"/>
          <w:color w:val="0000FF"/>
          <w:spacing w:val="0"/>
          <w:w w:val="100"/>
          <w:sz w:val="32"/>
          <w:szCs w:val="32"/>
        </w:rPr>
        <w:t>的为今年新要求</w:t>
      </w:r>
      <w:r>
        <w:rPr>
          <w:rFonts w:hint="eastAsia" w:ascii="楷体_GB2312" w:hAnsi="Times New Roman" w:eastAsia="楷体_GB2312" w:cs="Times New Roman"/>
          <w:b w:val="0"/>
          <w:spacing w:val="0"/>
          <w:w w:val="100"/>
          <w:sz w:val="32"/>
          <w:szCs w:val="32"/>
        </w:rPr>
        <w:t>）</w:t>
      </w:r>
    </w:p>
    <w:tbl>
      <w:tblPr>
        <w:tblStyle w:val="9"/>
        <w:tblW w:w="52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943"/>
        <w:gridCol w:w="6304"/>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blHeade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三级</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指标</w:t>
            </w:r>
          </w:p>
        </w:tc>
        <w:tc>
          <w:tcPr>
            <w:tcW w:w="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四级指标</w:t>
            </w: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五级指标</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rPr>
            </w:pPr>
            <w:r>
              <w:rPr>
                <w:rFonts w:hint="eastAsia" w:ascii="仿宋_GB2312" w:hAnsi="仿宋_GB2312" w:eastAsia="仿宋_GB2312" w:cs="仿宋_GB2312"/>
                <w:color w:val="000000"/>
                <w:spacing w:val="0"/>
                <w:w w:val="100"/>
                <w:kern w:val="0"/>
                <w:sz w:val="28"/>
                <w:szCs w:val="28"/>
                <w:lang w:val="en-US" w:eastAsia="zh-CN"/>
              </w:rPr>
              <w:t>评估方式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教育</w:t>
            </w:r>
          </w:p>
        </w:tc>
        <w:tc>
          <w:tcPr>
            <w:tcW w:w="49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学前教育</w:t>
            </w: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是否向社会及时公布最新的本区域内公办幼儿园和认定通过的普惠性民办幼儿园名单</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是否向社会及时公布最新的本县（市、区）教育行政主管部门认定通过的普惠性民办幼儿园名单</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是否及时公布本区域内幼儿园办园评估结果（包括省级示范、一类、二类、三类幼儿园）</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义务教育</w:t>
            </w: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是否公开本地区义务教育学校名录（包括学校名称、学校地址、办学层次、办学类型、办公电话等）</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是否及时公开义务教育招生方案、招生范围、招生程序、报名条件、学校情况、咨询方式等信息</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bidi="ar-SA"/>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FF"/>
                <w:spacing w:val="0"/>
                <w:w w:val="100"/>
                <w:kern w:val="0"/>
                <w:sz w:val="28"/>
                <w:szCs w:val="28"/>
                <w:lang w:val="en-US" w:eastAsia="zh-CN" w:bidi="ar-SA"/>
              </w:rPr>
            </w:pPr>
            <w:r>
              <w:rPr>
                <w:rFonts w:hint="eastAsia" w:ascii="仿宋_GB2312" w:hAnsi="仿宋_GB2312" w:eastAsia="仿宋_GB2312" w:cs="仿宋_GB2312"/>
                <w:b/>
                <w:bCs/>
                <w:color w:val="0000FF"/>
                <w:spacing w:val="0"/>
                <w:w w:val="100"/>
                <w:kern w:val="0"/>
                <w:sz w:val="28"/>
                <w:szCs w:val="28"/>
                <w:u w:val="single"/>
              </w:rPr>
              <w:t>是否公开学校课程设置方案与教学计划及执行情况</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bidi="ar-SA"/>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中小学信息公开</w:t>
            </w:r>
            <w:r>
              <w:rPr>
                <w:rFonts w:hint="eastAsia" w:ascii="仿宋_GB2312" w:hAnsi="仿宋_GB2312" w:eastAsia="仿宋_GB2312" w:cs="仿宋_GB2312"/>
                <w:color w:val="000000"/>
                <w:spacing w:val="0"/>
                <w:w w:val="100"/>
                <w:kern w:val="0"/>
                <w:sz w:val="28"/>
                <w:szCs w:val="28"/>
              </w:rPr>
              <w:br w:type="textWrapping"/>
            </w:r>
            <w:r>
              <w:rPr>
                <w:rFonts w:hint="eastAsia" w:ascii="仿宋_GB2312" w:hAnsi="仿宋_GB2312" w:eastAsia="仿宋_GB2312" w:cs="仿宋_GB2312"/>
                <w:color w:val="000000"/>
                <w:spacing w:val="0"/>
                <w:w w:val="100"/>
                <w:kern w:val="0"/>
                <w:sz w:val="28"/>
                <w:szCs w:val="28"/>
              </w:rPr>
              <w:t>（抽取2家县属中小学）</w:t>
            </w: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FF"/>
                <w:spacing w:val="0"/>
                <w:w w:val="100"/>
                <w:kern w:val="0"/>
                <w:sz w:val="28"/>
                <w:szCs w:val="28"/>
                <w:lang w:val="en-US" w:eastAsia="zh-CN" w:bidi="ar-SA"/>
              </w:rPr>
            </w:pPr>
            <w:r>
              <w:rPr>
                <w:rFonts w:hint="eastAsia" w:ascii="仿宋_GB2312" w:hAnsi="仿宋_GB2312" w:eastAsia="仿宋_GB2312" w:cs="仿宋_GB2312"/>
                <w:color w:val="000000"/>
                <w:spacing w:val="0"/>
                <w:w w:val="100"/>
                <w:kern w:val="0"/>
                <w:sz w:val="28"/>
                <w:szCs w:val="28"/>
              </w:rPr>
              <w:t>是否及时公开本学校基本情况，包括历史沿革、办学性质、办学地点、办学规模、办学基本条件、机构职能、联系方式等</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bidi="ar-SA"/>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bCs/>
                <w:color w:val="0000FF"/>
                <w:spacing w:val="0"/>
                <w:w w:val="100"/>
                <w:kern w:val="0"/>
                <w:sz w:val="28"/>
                <w:szCs w:val="28"/>
                <w:u w:val="single"/>
              </w:rPr>
            </w:pPr>
            <w:r>
              <w:rPr>
                <w:rFonts w:hint="eastAsia" w:ascii="仿宋_GB2312" w:hAnsi="仿宋_GB2312" w:eastAsia="仿宋_GB2312" w:cs="仿宋_GB2312"/>
                <w:b/>
                <w:bCs/>
                <w:color w:val="0000FF"/>
                <w:spacing w:val="0"/>
                <w:w w:val="100"/>
                <w:kern w:val="0"/>
                <w:sz w:val="28"/>
                <w:szCs w:val="28"/>
                <w:u w:val="single"/>
              </w:rPr>
              <w:t>是否及时公开学校发展规划、年度工作计划及其执行情况</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bidi="ar-SA"/>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bCs/>
                <w:color w:val="0000FF"/>
                <w:spacing w:val="0"/>
                <w:w w:val="100"/>
                <w:kern w:val="0"/>
                <w:sz w:val="28"/>
                <w:szCs w:val="28"/>
                <w:u w:val="single"/>
              </w:rPr>
            </w:pPr>
            <w:r>
              <w:rPr>
                <w:rFonts w:hint="eastAsia" w:ascii="仿宋_GB2312" w:hAnsi="仿宋_GB2312" w:eastAsia="仿宋_GB2312" w:cs="仿宋_GB2312"/>
                <w:b/>
                <w:bCs/>
                <w:color w:val="0000FF"/>
                <w:spacing w:val="0"/>
                <w:w w:val="100"/>
                <w:kern w:val="0"/>
                <w:sz w:val="28"/>
                <w:szCs w:val="28"/>
                <w:u w:val="single"/>
              </w:rPr>
              <w:t>是否公开学校课程设置方案与教学计划及执行情况</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bidi="ar-SA"/>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bCs/>
                <w:color w:val="0000FF"/>
                <w:spacing w:val="0"/>
                <w:w w:val="100"/>
                <w:kern w:val="0"/>
                <w:sz w:val="28"/>
                <w:szCs w:val="28"/>
                <w:u w:val="single"/>
              </w:rPr>
            </w:pPr>
            <w:r>
              <w:rPr>
                <w:rFonts w:hint="eastAsia" w:ascii="仿宋_GB2312" w:hAnsi="仿宋_GB2312" w:eastAsia="仿宋_GB2312" w:cs="仿宋_GB2312"/>
                <w:b/>
                <w:bCs/>
                <w:color w:val="0000FF"/>
                <w:spacing w:val="0"/>
                <w:w w:val="100"/>
                <w:kern w:val="0"/>
                <w:sz w:val="28"/>
                <w:szCs w:val="28"/>
                <w:u w:val="single"/>
              </w:rPr>
              <w:t>是否及时公开学校招生的计划、范围、对象，学生学籍管理规定和评优奖励办法</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bidi="ar-SA"/>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是否及时公开本年度招生结果</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bidi="ar-SA"/>
              </w:rPr>
            </w:pPr>
            <w:r>
              <w:rPr>
                <w:rFonts w:hint="eastAsia" w:ascii="仿宋_GB2312" w:hAnsi="仿宋_GB2312" w:eastAsia="仿宋_GB2312" w:cs="仿宋_GB2312"/>
                <w:color w:val="000000"/>
                <w:spacing w:val="0"/>
                <w:w w:val="100"/>
                <w:kern w:val="0"/>
                <w:sz w:val="28"/>
                <w:szCs w:val="28"/>
                <w:lang w:val="en-US" w:eastAsia="zh-CN"/>
              </w:rPr>
              <w:t>网站采集</w:t>
            </w:r>
          </w:p>
        </w:tc>
      </w:tr>
    </w:tbl>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spacing w:val="0"/>
          <w:w w:val="100"/>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spacing w:val="0"/>
          <w:w w:val="100"/>
          <w:szCs w:val="32"/>
          <w:lang w:val="en-US" w:eastAsia="zh-CN"/>
        </w:rPr>
      </w:pPr>
    </w:p>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before="0" w:after="0" w:line="252" w:lineRule="auto"/>
        <w:ind w:left="0" w:right="0" w:firstLine="0"/>
        <w:jc w:val="center"/>
        <w:textAlignment w:val="auto"/>
        <w:rPr>
          <w:rFonts w:hint="eastAsia" w:ascii="方正小标宋_GBK" w:hAnsi="方正小标宋_GBK" w:eastAsia="方正小标宋_GBK" w:cs="方正小标宋_GBK"/>
          <w:color w:val="auto"/>
          <w:spacing w:val="0"/>
          <w:position w:val="0"/>
          <w:sz w:val="44"/>
          <w:szCs w:val="44"/>
          <w:shd w:val="clear" w:fill="auto"/>
        </w:rPr>
      </w:pPr>
      <w:r>
        <w:rPr>
          <w:rFonts w:hint="eastAsia" w:ascii="方正小标宋_GBK" w:hAnsi="方正小标宋_GBK" w:eastAsia="方正小标宋_GBK" w:cs="方正小标宋_GBK"/>
          <w:color w:val="auto"/>
          <w:spacing w:val="0"/>
          <w:position w:val="0"/>
          <w:sz w:val="44"/>
          <w:szCs w:val="44"/>
          <w:shd w:val="clear" w:fill="auto"/>
          <w:lang w:val="en-US" w:eastAsia="zh-CN"/>
        </w:rPr>
        <w:t>新</w:t>
      </w:r>
      <w:r>
        <w:rPr>
          <w:rFonts w:hint="eastAsia" w:ascii="方正小标宋_GBK" w:hAnsi="方正小标宋_GBK" w:eastAsia="方正小标宋_GBK" w:cs="方正小标宋_GBK"/>
          <w:color w:val="auto"/>
          <w:spacing w:val="0"/>
          <w:position w:val="0"/>
          <w:sz w:val="44"/>
          <w:szCs w:val="44"/>
          <w:shd w:val="clear" w:fill="auto"/>
        </w:rPr>
        <w:t>区</w:t>
      </w:r>
      <w:r>
        <w:rPr>
          <w:rFonts w:hint="eastAsia" w:ascii="方正小标宋_GBK" w:hAnsi="方正小标宋_GBK" w:eastAsia="方正小标宋_GBK" w:cs="方正小标宋_GBK"/>
          <w:color w:val="auto"/>
          <w:spacing w:val="0"/>
          <w:position w:val="0"/>
          <w:sz w:val="44"/>
          <w:szCs w:val="44"/>
          <w:shd w:val="clear" w:fill="auto"/>
          <w:lang w:val="en-US" w:eastAsia="zh-CN"/>
        </w:rPr>
        <w:t>教育和体育</w:t>
      </w:r>
      <w:r>
        <w:rPr>
          <w:rFonts w:hint="eastAsia" w:ascii="方正小标宋_GBK" w:hAnsi="方正小标宋_GBK" w:eastAsia="方正小标宋_GBK" w:cs="方正小标宋_GBK"/>
          <w:color w:val="auto"/>
          <w:spacing w:val="0"/>
          <w:position w:val="0"/>
          <w:sz w:val="44"/>
          <w:szCs w:val="44"/>
          <w:shd w:val="clear" w:fill="auto"/>
        </w:rPr>
        <w:t>局</w:t>
      </w:r>
      <w:r>
        <w:rPr>
          <w:rFonts w:hint="eastAsia" w:ascii="方正小标宋_GBK" w:hAnsi="方正小标宋_GBK" w:eastAsia="方正小标宋_GBK" w:cs="方正小标宋_GBK"/>
          <w:color w:val="auto"/>
          <w:spacing w:val="0"/>
          <w:position w:val="0"/>
          <w:sz w:val="44"/>
          <w:szCs w:val="44"/>
          <w:shd w:val="clear" w:fill="auto"/>
          <w:lang w:val="en-US" w:eastAsia="zh-CN"/>
        </w:rPr>
        <w:t>部分局属学校</w:t>
      </w:r>
      <w:r>
        <w:rPr>
          <w:rFonts w:hint="eastAsia" w:ascii="方正小标宋_GBK" w:hAnsi="方正小标宋_GBK" w:eastAsia="方正小标宋_GBK" w:cs="方正小标宋_GBK"/>
          <w:color w:val="auto"/>
          <w:spacing w:val="0"/>
          <w:position w:val="0"/>
          <w:sz w:val="44"/>
          <w:szCs w:val="44"/>
          <w:shd w:val="clear" w:fill="auto"/>
        </w:rPr>
        <w:t>新增子账号</w:t>
      </w:r>
    </w:p>
    <w:tbl>
      <w:tblPr>
        <w:tblStyle w:val="9"/>
        <w:tblW w:w="9132" w:type="dxa"/>
        <w:tblInd w:w="0" w:type="dxa"/>
        <w:tblLayout w:type="fixed"/>
        <w:tblCellMar>
          <w:top w:w="0" w:type="dxa"/>
          <w:left w:w="10" w:type="dxa"/>
          <w:bottom w:w="0" w:type="dxa"/>
          <w:right w:w="10" w:type="dxa"/>
        </w:tblCellMar>
      </w:tblPr>
      <w:tblGrid>
        <w:gridCol w:w="657"/>
        <w:gridCol w:w="4695"/>
        <w:gridCol w:w="1530"/>
        <w:gridCol w:w="2250"/>
      </w:tblGrid>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序</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账号名称</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账号ID</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账号密码</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rPr>
            </w:pPr>
            <w:r>
              <w:rPr>
                <w:rFonts w:hint="eastAsia" w:ascii="仿宋_GB2312" w:hAnsi="仿宋_GB2312" w:eastAsia="仿宋_GB2312" w:cs="仿宋_GB2312"/>
                <w:color w:val="000000"/>
                <w:spacing w:val="0"/>
                <w:w w:val="100"/>
                <w:kern w:val="0"/>
                <w:sz w:val="28"/>
                <w:szCs w:val="28"/>
                <w:lang w:val="en-US" w:eastAsia="zh-CN"/>
              </w:rPr>
              <w:t>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青岛西海岸新区胶南第一高级中学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jndygz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bookmarkStart w:id="0" w:name="_GoBack"/>
            <w:bookmarkEnd w:id="0"/>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rPr>
            </w:pPr>
            <w:r>
              <w:rPr>
                <w:rFonts w:hint="eastAsia" w:ascii="仿宋_GB2312" w:hAnsi="仿宋_GB2312" w:eastAsia="仿宋_GB2312" w:cs="仿宋_GB2312"/>
                <w:color w:val="000000"/>
                <w:spacing w:val="0"/>
                <w:w w:val="100"/>
                <w:kern w:val="0"/>
                <w:sz w:val="28"/>
                <w:szCs w:val="28"/>
                <w:lang w:val="en-US" w:eastAsia="zh-CN"/>
              </w:rPr>
              <w:t>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青岛西海岸新区第一高级中学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xqdygz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青岛西海岸新区第二高级中学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xqdegz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青岛西海岸新区实验高级中学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xqsygz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青岛西海岸新区第五高级中学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xqdwgz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青岛西海岸新区第八高级中学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xqdbgz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青岛西海岸新区第三高级中学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xqdsgz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青岛西海岸新区音乐学校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xqyyxx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青岛经济技术开发区第二初级中学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kfqez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青岛西海岸新区第四初级中学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xqsz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355"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青岛经济技术开发区第四中学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kfqsz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青岛西海岸新区第六初级中学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xqlz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青岛西海岸新区第七初级中学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xqqz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青岛西海岸新区第十初级中学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xqshiz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青岛西海岸新区黄岛初级中学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xqhdcz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青岛西海岸新区育才初级中学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xqyccz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青岛西海岸新区实验初级中学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xqsycz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青岛西海岸新区弘文学校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xqhwxx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青岛西海岸新区致远中学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xqzyzx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青岛西海岸新区隐珠初级中学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xqyzcz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青岛西海岸新区弘德学校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xqhdxx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青岛西海岸新区凤凰岛初级中学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xqfhdcz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青岛西海岸新区外国语学校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xqwgyxx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青岛西海岸新区辛安初级中学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xqxacz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青岛西海岸新区育英初级中学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xqyycz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青岛西海岸新区红石崖初级中学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xqhsycz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青岛西海岸新区柳花泊初级中学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xqlhpcz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青岛西海岸新区文汇中学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xqwhzx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青岛西海岸新区博文初级中学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xqbwzx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青岛经济技术开发区实验小学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kfqsyxx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青岛西海岸新区第二实验小学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xqesx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青岛经济技术开发区第二实验小学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kfqesx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青岛西海岸新区香江路第一小学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xqxyx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青岛西海岸新区香江路第二小学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xqxex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青岛西海岸新区太行山路小学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xqthslxx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西海岸新区东岳路小学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xqdylxx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青岛西海岸新区海之韵小学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xqhzyxx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青岛西海岸新区易通路小学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xqytlxx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青岛西海岸新区王家楼小学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xqwjlxx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青岛西海岸新区凭海临风小学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xqphlfxx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青岛西海岸新区崇明岛路小学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xqcmdlxx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青岛西海岸新区峨眉山路小学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xqemslxx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青岛西海岸新区风河小学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xqfhxx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青岛西海岸新区富春江路小学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xqfcjlxx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青岛西海岸新区黄浦江路小学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xqhpjlxx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青岛西海岸新区胶南小学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xqjnxx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青岛西海岸新区井冈山路小学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xqjgslxx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青岛西海岸新区昆仑山路小学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xqklslxx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青岛西海岸新区五台山西路小学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xqwtsxlxx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青岛西海岸新区东风小学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xqdfxx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青岛西海岸新区海滨小学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xqhbxx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青岛西海岸新区海王路小学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xqhwlxx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青岛西海岸新区翰文小学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xqhanwxx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青岛西海岸新区汇文小学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xqhuiwxx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青岛西海岸新区青草河小学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xqqchxx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青岛西海岸新区兰亭小学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xqltxx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青岛西海岸新区实验小学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xqsyxx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rPr>
            </w:pPr>
            <w:r>
              <w:rPr>
                <w:rFonts w:hint="eastAsia" w:ascii="仿宋_GB2312" w:hAnsi="仿宋_GB2312" w:eastAsia="仿宋_GB2312" w:cs="仿宋_GB2312"/>
                <w:color w:val="000000"/>
                <w:spacing w:val="0"/>
                <w:w w:val="100"/>
                <w:kern w:val="0"/>
                <w:sz w:val="28"/>
                <w:szCs w:val="28"/>
                <w:lang w:val="en-US" w:eastAsia="zh-CN"/>
              </w:rPr>
              <w:t>58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青岛西海岸新区双语小学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xqshyxx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青岛西海岸新区隐珠小学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xqyzxx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60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青岛西海岸新区育才小学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xqycxx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61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青岛西海岸新区珠山小学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xqzsxx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62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青岛西海岸新区星光岛小学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xqxgdxx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63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青岛西海岸新区新世纪小学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xqxsjxx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64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青岛西海岸新区珠江路小学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xqzjlxx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65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青岛西海岸新区高级职业技术学校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xqgzx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66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青岛西海岸新区中德应用技术学校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xqzdxx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67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青岛西海岸新区特殊教育中心</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xqtjzx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r>
    </w:tbl>
    <w:p>
      <w:pPr>
        <w:keepNext w:val="0"/>
        <w:keepLines w:val="0"/>
        <w:pageBreakBefore w:val="0"/>
        <w:kinsoku/>
        <w:wordWrap/>
        <w:overflowPunct/>
        <w:topLinePunct w:val="0"/>
        <w:autoSpaceDE/>
        <w:autoSpaceDN/>
        <w:bidi w:val="0"/>
        <w:spacing w:before="0" w:after="0" w:line="400" w:lineRule="exact"/>
        <w:ind w:left="0" w:right="0" w:firstLine="0"/>
        <w:jc w:val="both"/>
        <w:rPr>
          <w:rFonts w:ascii="Calibri" w:hAnsi="Calibri" w:eastAsia="Calibri" w:cs="Calibri"/>
          <w:color w:val="auto"/>
          <w:spacing w:val="0"/>
          <w:position w:val="0"/>
          <w:sz w:val="21"/>
          <w:shd w:val="clear" w:fill="auto"/>
        </w:rPr>
      </w:pPr>
    </w:p>
    <w:p>
      <w:pPr>
        <w:pStyle w:val="2"/>
        <w:rPr>
          <w:rFonts w:hint="eastAsia"/>
          <w:spacing w:val="0"/>
          <w:w w:val="100"/>
          <w:szCs w:val="32"/>
          <w:lang w:val="en-US" w:eastAsia="zh-CN"/>
        </w:rPr>
      </w:pPr>
    </w:p>
    <w:p>
      <w:pPr>
        <w:rPr>
          <w:rFonts w:hint="eastAsia"/>
          <w:spacing w:val="0"/>
          <w:w w:val="100"/>
          <w:szCs w:val="32"/>
          <w:lang w:val="en-US" w:eastAsia="zh-CN"/>
        </w:rPr>
      </w:pPr>
    </w:p>
    <w:p>
      <w:pPr>
        <w:pStyle w:val="2"/>
        <w:rPr>
          <w:rFonts w:hint="eastAsia"/>
          <w:spacing w:val="0"/>
          <w:w w:val="100"/>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spacing w:val="0"/>
          <w:w w:val="100"/>
          <w:szCs w:val="32"/>
          <w:lang w:val="en-US" w:eastAsia="zh-CN"/>
        </w:rPr>
      </w:pPr>
    </w:p>
    <w:p>
      <w:pPr>
        <w:pStyle w:val="2"/>
        <w:rPr>
          <w:rFonts w:hint="eastAsia"/>
          <w:spacing w:val="0"/>
          <w:w w:val="100"/>
          <w:szCs w:val="32"/>
          <w:lang w:val="en-US" w:eastAsia="zh-CN"/>
        </w:rPr>
      </w:pPr>
    </w:p>
    <w:p>
      <w:pPr>
        <w:rPr>
          <w:rFonts w:hint="eastAsia"/>
          <w:spacing w:val="0"/>
          <w:w w:val="100"/>
          <w:szCs w:val="32"/>
          <w:lang w:val="en-US" w:eastAsia="zh-CN"/>
        </w:rPr>
      </w:pPr>
    </w:p>
    <w:p>
      <w:pPr>
        <w:pStyle w:val="2"/>
        <w:rPr>
          <w:rFonts w:hint="eastAsia"/>
          <w:spacing w:val="0"/>
          <w:w w:val="100"/>
          <w:szCs w:val="32"/>
          <w:lang w:val="en-US" w:eastAsia="zh-CN"/>
        </w:rPr>
      </w:pPr>
    </w:p>
    <w:p>
      <w:pPr>
        <w:rPr>
          <w:rFonts w:hint="eastAsia"/>
          <w:spacing w:val="0"/>
          <w:w w:val="100"/>
          <w:szCs w:val="32"/>
          <w:lang w:val="en-US" w:eastAsia="zh-CN"/>
        </w:rPr>
      </w:pPr>
    </w:p>
    <w:p>
      <w:pPr>
        <w:pStyle w:val="2"/>
        <w:rPr>
          <w:rFonts w:hint="eastAsia"/>
          <w:spacing w:val="0"/>
          <w:w w:val="100"/>
          <w:szCs w:val="32"/>
          <w:lang w:val="en-US" w:eastAsia="zh-CN"/>
        </w:rPr>
      </w:pPr>
    </w:p>
    <w:p>
      <w:pPr>
        <w:rPr>
          <w:rFonts w:hint="eastAsia"/>
          <w:lang w:val="en-US" w:eastAsia="zh-CN"/>
        </w:rPr>
      </w:pPr>
    </w:p>
    <w:p>
      <w:pPr>
        <w:rPr>
          <w:rFonts w:hint="eastAsia"/>
          <w:spacing w:val="0"/>
          <w:w w:val="100"/>
          <w:szCs w:val="32"/>
          <w:lang w:val="en-US" w:eastAsia="zh-CN"/>
        </w:rPr>
      </w:pPr>
    </w:p>
    <w:p>
      <w:pPr>
        <w:pStyle w:val="2"/>
        <w:rPr>
          <w:rFonts w:hint="eastAsia"/>
          <w:spacing w:val="0"/>
          <w:w w:val="100"/>
          <w:szCs w:val="32"/>
          <w:lang w:val="en-US" w:eastAsia="zh-CN"/>
        </w:rPr>
      </w:pPr>
    </w:p>
    <w:p>
      <w:pPr>
        <w:rPr>
          <w:rFonts w:hint="eastAsia"/>
          <w:spacing w:val="0"/>
          <w:w w:val="100"/>
          <w:szCs w:val="32"/>
          <w:lang w:val="en-US" w:eastAsia="zh-CN"/>
        </w:rPr>
      </w:pPr>
    </w:p>
    <w:p>
      <w:pPr>
        <w:pageBreakBefore w:val="0"/>
        <w:kinsoku/>
        <w:wordWrap/>
        <w:overflowPunct/>
        <w:topLinePunct w:val="0"/>
        <w:autoSpaceDE/>
        <w:autoSpaceDN/>
        <w:bidi w:val="0"/>
        <w:adjustRightInd w:val="0"/>
        <w:snapToGrid w:val="0"/>
        <w:spacing w:line="320" w:lineRule="exact"/>
        <w:rPr>
          <w:rFonts w:hint="eastAsia"/>
          <w:spacing w:val="0"/>
          <w:w w:val="100"/>
          <w:szCs w:val="32"/>
          <w:lang w:val="en-US" w:eastAsia="zh-CN"/>
        </w:rPr>
      </w:pPr>
    </w:p>
    <w:p>
      <w:pPr>
        <w:pageBreakBefore w:val="0"/>
        <w:kinsoku/>
        <w:wordWrap/>
        <w:overflowPunct/>
        <w:topLinePunct w:val="0"/>
        <w:autoSpaceDE/>
        <w:autoSpaceDN/>
        <w:bidi w:val="0"/>
        <w:adjustRightInd w:val="0"/>
        <w:snapToGrid w:val="0"/>
        <w:spacing w:line="320" w:lineRule="exact"/>
        <w:rPr>
          <w:rFonts w:hint="eastAsia"/>
          <w:spacing w:val="0"/>
          <w:w w:val="100"/>
          <w:szCs w:val="32"/>
          <w:lang w:val="en-US" w:eastAsia="zh-CN"/>
        </w:rPr>
      </w:pPr>
    </w:p>
    <w:p>
      <w:pPr>
        <w:pageBreakBefore w:val="0"/>
        <w:kinsoku/>
        <w:wordWrap/>
        <w:overflowPunct/>
        <w:topLinePunct w:val="0"/>
        <w:autoSpaceDE/>
        <w:autoSpaceDN/>
        <w:bidi w:val="0"/>
        <w:adjustRightInd w:val="0"/>
        <w:snapToGrid w:val="0"/>
        <w:spacing w:line="320" w:lineRule="exact"/>
        <w:rPr>
          <w:rFonts w:hint="eastAsia"/>
          <w:spacing w:val="0"/>
          <w:w w:val="100"/>
          <w:szCs w:val="32"/>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lang w:val="en-US" w:eastAsia="zh-CN"/>
        </w:rPr>
        <w:t>附件4</w:t>
      </w:r>
    </w:p>
    <w:tbl>
      <w:tblPr>
        <w:tblStyle w:val="9"/>
        <w:tblW w:w="9024" w:type="dxa"/>
        <w:tblInd w:w="0" w:type="dxa"/>
        <w:shd w:val="clear" w:color="auto" w:fill="auto"/>
        <w:tblLayout w:type="fixed"/>
        <w:tblCellMar>
          <w:top w:w="0" w:type="dxa"/>
          <w:left w:w="0" w:type="dxa"/>
          <w:bottom w:w="0" w:type="dxa"/>
          <w:right w:w="0" w:type="dxa"/>
        </w:tblCellMar>
      </w:tblPr>
      <w:tblGrid>
        <w:gridCol w:w="505"/>
        <w:gridCol w:w="720"/>
        <w:gridCol w:w="1154"/>
        <w:gridCol w:w="420"/>
        <w:gridCol w:w="615"/>
        <w:gridCol w:w="1021"/>
        <w:gridCol w:w="4589"/>
      </w:tblGrid>
      <w:tr>
        <w:tblPrEx>
          <w:shd w:val="clear" w:color="auto" w:fill="auto"/>
          <w:tblCellMar>
            <w:top w:w="0" w:type="dxa"/>
            <w:left w:w="0" w:type="dxa"/>
            <w:bottom w:w="0" w:type="dxa"/>
            <w:right w:w="0" w:type="dxa"/>
          </w:tblCellMar>
        </w:tblPrEx>
        <w:trPr>
          <w:trHeight w:val="987" w:hRule="atLeast"/>
        </w:trPr>
        <w:tc>
          <w:tcPr>
            <w:tcW w:w="9024"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sz w:val="40"/>
                <w:szCs w:val="40"/>
                <w:u w:val="none"/>
              </w:rPr>
            </w:pPr>
            <w:r>
              <w:rPr>
                <w:rFonts w:hint="eastAsia" w:ascii="方正小标宋_GBK" w:hAnsi="方正小标宋_GBK" w:eastAsia="方正小标宋_GBK" w:cs="方正小标宋_GBK"/>
                <w:b w:val="0"/>
                <w:bCs w:val="0"/>
                <w:i w:val="0"/>
                <w:color w:val="000000"/>
                <w:kern w:val="0"/>
                <w:sz w:val="44"/>
                <w:szCs w:val="44"/>
                <w:u w:val="none"/>
                <w:lang w:val="en-US" w:eastAsia="zh-CN" w:bidi="ar"/>
              </w:rPr>
              <w:t>公共企事业单位信息公开目录调整</w:t>
            </w:r>
            <w:r>
              <w:rPr>
                <w:rFonts w:hint="eastAsia" w:ascii="黑体" w:hAnsi="黑体" w:eastAsia="黑体" w:cs="黑体"/>
                <w:b w:val="0"/>
                <w:bCs w:val="0"/>
                <w:i w:val="0"/>
                <w:color w:val="auto"/>
                <w:kern w:val="0"/>
                <w:sz w:val="32"/>
                <w:szCs w:val="32"/>
                <w:u w:val="none"/>
                <w:lang w:val="en-US" w:eastAsia="zh-CN" w:bidi="ar"/>
              </w:rPr>
              <w:t>(教育教学领域)</w:t>
            </w:r>
          </w:p>
        </w:tc>
      </w:tr>
      <w:tr>
        <w:tblPrEx>
          <w:shd w:val="clear" w:color="auto" w:fill="auto"/>
          <w:tblCellMar>
            <w:top w:w="0" w:type="dxa"/>
            <w:left w:w="0" w:type="dxa"/>
            <w:bottom w:w="0" w:type="dxa"/>
            <w:right w:w="0" w:type="dxa"/>
          </w:tblCellMar>
        </w:tblPrEx>
        <w:trPr>
          <w:trHeight w:val="350" w:hRule="atLeast"/>
        </w:trPr>
        <w:tc>
          <w:tcPr>
            <w:tcW w:w="2379"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1"/>
                <w:szCs w:val="21"/>
                <w:lang w:val="en-US" w:eastAsia="zh-CN"/>
              </w:rPr>
            </w:pPr>
            <w:r>
              <w:rPr>
                <w:rFonts w:hint="eastAsia" w:ascii="楷体_GB2312" w:hAnsi="楷体_GB2312" w:eastAsia="楷体_GB2312" w:cs="楷体_GB2312"/>
                <w:color w:val="000000"/>
                <w:spacing w:val="0"/>
                <w:w w:val="100"/>
                <w:kern w:val="0"/>
                <w:sz w:val="30"/>
                <w:szCs w:val="30"/>
                <w:lang w:val="en-US" w:eastAsia="zh-CN"/>
              </w:rPr>
              <w:t>原目录</w:t>
            </w: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1"/>
                <w:szCs w:val="21"/>
                <w:lang w:val="en-US" w:eastAsia="zh-CN"/>
              </w:rPr>
            </w:pPr>
          </w:p>
        </w:tc>
        <w:tc>
          <w:tcPr>
            <w:tcW w:w="6225"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1"/>
                <w:szCs w:val="21"/>
                <w:lang w:val="en-US" w:eastAsia="zh-CN"/>
              </w:rPr>
            </w:pPr>
            <w:r>
              <w:rPr>
                <w:rFonts w:hint="eastAsia" w:ascii="黑体" w:hAnsi="黑体" w:eastAsia="黑体" w:cs="黑体"/>
                <w:color w:val="000000"/>
                <w:spacing w:val="0"/>
                <w:w w:val="100"/>
                <w:kern w:val="0"/>
                <w:sz w:val="30"/>
                <w:szCs w:val="30"/>
                <w:lang w:val="en-US" w:eastAsia="zh-CN"/>
              </w:rPr>
              <w:t>调整后目录</w:t>
            </w:r>
          </w:p>
        </w:tc>
      </w:tr>
      <w:tr>
        <w:tblPrEx>
          <w:tblCellMar>
            <w:top w:w="0" w:type="dxa"/>
            <w:left w:w="0" w:type="dxa"/>
            <w:bottom w:w="0" w:type="dxa"/>
            <w:right w:w="0" w:type="dxa"/>
          </w:tblCellMar>
        </w:tblPrEx>
        <w:trPr>
          <w:trHeight w:val="27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序号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一级栏目</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二级栏目</w:t>
            </w: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一级栏目</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二级栏目</w:t>
            </w:r>
          </w:p>
        </w:tc>
        <w:tc>
          <w:tcPr>
            <w:tcW w:w="4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备注</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机构设置</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基本信息</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学校简介</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b/>
                <w:bCs/>
                <w:color w:val="0824F6"/>
                <w:spacing w:val="0"/>
                <w:w w:val="100"/>
                <w:kern w:val="0"/>
                <w:sz w:val="24"/>
                <w:szCs w:val="24"/>
                <w:u w:val="single"/>
                <w:lang w:val="en-US" w:eastAsia="zh-CN"/>
              </w:rPr>
              <w:t>包括历史沿革、办学性质、办学地点、办学规模、办学基本条件、联系方式等信息</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工作职能</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0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机构设置</w:t>
            </w:r>
          </w:p>
        </w:tc>
        <w:tc>
          <w:tcPr>
            <w:tcW w:w="4589"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工作职能\领导成员\内设机构\联系方式等</w:t>
            </w:r>
            <w:r>
              <w:rPr>
                <w:rFonts w:hint="eastAsia" w:ascii="仿宋_GB2312" w:hAnsi="仿宋_GB2312" w:eastAsia="仿宋_GB2312" w:cs="仿宋_GB2312"/>
                <w:b/>
                <w:bCs/>
                <w:color w:val="0824F6"/>
                <w:spacing w:val="0"/>
                <w:w w:val="100"/>
                <w:kern w:val="0"/>
                <w:sz w:val="24"/>
                <w:szCs w:val="24"/>
                <w:u w:val="single"/>
                <w:lang w:val="en-US" w:eastAsia="zh-CN"/>
              </w:rPr>
              <w:t>（将原“机构设置、工作职能、领导信息、联系方式栏目”信息汇总</w:t>
            </w:r>
          </w:p>
        </w:tc>
      </w:tr>
      <w:tr>
        <w:tblPrEx>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领导信息</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b/>
                <w:bCs/>
                <w:color w:val="0824F6"/>
                <w:spacing w:val="0"/>
                <w:w w:val="100"/>
                <w:kern w:val="0"/>
                <w:sz w:val="24"/>
                <w:szCs w:val="24"/>
                <w:u w:val="single"/>
                <w:lang w:val="en-US" w:eastAsia="zh-CN"/>
              </w:rPr>
            </w:pPr>
            <w:r>
              <w:rPr>
                <w:rFonts w:hint="eastAsia" w:ascii="仿宋_GB2312" w:hAnsi="仿宋_GB2312" w:eastAsia="仿宋_GB2312" w:cs="仿宋_GB2312"/>
                <w:b/>
                <w:bCs/>
                <w:color w:val="0824F6"/>
                <w:spacing w:val="0"/>
                <w:w w:val="100"/>
                <w:kern w:val="0"/>
                <w:sz w:val="24"/>
                <w:szCs w:val="24"/>
                <w:u w:val="single"/>
                <w:lang w:val="en-US" w:eastAsia="zh-CN"/>
              </w:rPr>
              <w:t>规划计划</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b/>
                <w:bCs/>
                <w:color w:val="0824F6"/>
                <w:spacing w:val="0"/>
                <w:w w:val="100"/>
                <w:kern w:val="0"/>
                <w:sz w:val="24"/>
                <w:szCs w:val="24"/>
                <w:u w:val="single"/>
                <w:lang w:val="en-US" w:eastAsia="zh-CN"/>
              </w:rPr>
            </w:pPr>
            <w:r>
              <w:rPr>
                <w:rFonts w:hint="eastAsia" w:ascii="仿宋_GB2312" w:hAnsi="仿宋_GB2312" w:eastAsia="仿宋_GB2312" w:cs="仿宋_GB2312"/>
                <w:b/>
                <w:bCs/>
                <w:color w:val="0824F6"/>
                <w:spacing w:val="0"/>
                <w:w w:val="100"/>
                <w:kern w:val="0"/>
                <w:sz w:val="24"/>
                <w:szCs w:val="24"/>
                <w:u w:val="single"/>
                <w:lang w:val="en-US" w:eastAsia="zh-CN"/>
              </w:rPr>
              <w:t>学校发展规划、年度工作计划及其执行情况</w:t>
            </w:r>
          </w:p>
        </w:tc>
      </w:tr>
      <w:tr>
        <w:tblPrEx>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联系方式</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办事信息</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办事指南\便民服务电话等</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应急管理</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应急管理</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4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应急预案\预警信息\评估结果\应对情况</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采购信息</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财务信息</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财政预决算</w:t>
            </w:r>
          </w:p>
        </w:tc>
        <w:tc>
          <w:tcPr>
            <w:tcW w:w="4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财政预算\财政决算</w:t>
            </w:r>
            <w:r>
              <w:rPr>
                <w:rFonts w:hint="eastAsia" w:ascii="仿宋_GB2312" w:hAnsi="仿宋_GB2312" w:eastAsia="仿宋_GB2312" w:cs="仿宋_GB2312"/>
                <w:b/>
                <w:bCs/>
                <w:color w:val="0824F6"/>
                <w:spacing w:val="0"/>
                <w:w w:val="100"/>
                <w:kern w:val="0"/>
                <w:sz w:val="24"/>
                <w:szCs w:val="24"/>
                <w:u w:val="single"/>
                <w:lang w:val="en-US" w:eastAsia="zh-CN"/>
              </w:rPr>
              <w:t>（原“财务信息”栏目内容）</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7</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政策法规</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行业性政策法规</w:t>
            </w: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采购信息</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用于社会公共服务的重大项目招投标情况和重要物资设备采购情况</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8</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内部规章制度</w:t>
            </w: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经费管理</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奖学金\助学贷款\助学金\勤工俭学\学费减免\学校收费\经费收支信息\学校资产和受赠物的管理使用信息</w:t>
            </w:r>
          </w:p>
        </w:tc>
      </w:tr>
      <w:tr>
        <w:tblPrEx>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9</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重大事项</w:t>
            </w: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政策法规</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行业性政策法规</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行业性政策、法律、法规;各级惠民政策及贯彻落实情况等</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10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办事信息</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办事指南</w:t>
            </w: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b/>
                <w:bCs/>
                <w:color w:val="0824F6"/>
                <w:spacing w:val="0"/>
                <w:w w:val="100"/>
                <w:kern w:val="0"/>
                <w:sz w:val="24"/>
                <w:szCs w:val="24"/>
                <w:u w:val="single"/>
                <w:lang w:val="en-US" w:eastAsia="zh-CN"/>
              </w:rPr>
              <w:t>管理制度</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b/>
                <w:bCs/>
                <w:color w:val="0824F6"/>
                <w:spacing w:val="0"/>
                <w:w w:val="100"/>
                <w:kern w:val="0"/>
                <w:sz w:val="24"/>
                <w:szCs w:val="24"/>
                <w:u w:val="single"/>
                <w:lang w:val="en-US" w:eastAsia="zh-CN"/>
              </w:rPr>
              <w:t>学生学籍管理规定和评优奖励办法；</w:t>
            </w:r>
            <w:r>
              <w:rPr>
                <w:rFonts w:hint="eastAsia" w:ascii="仿宋_GB2312" w:hAnsi="仿宋_GB2312" w:eastAsia="仿宋_GB2312" w:cs="仿宋_GB2312"/>
                <w:color w:val="000000"/>
                <w:spacing w:val="0"/>
                <w:w w:val="100"/>
                <w:kern w:val="0"/>
                <w:sz w:val="24"/>
                <w:szCs w:val="24"/>
                <w:lang w:val="en-US" w:eastAsia="zh-CN"/>
              </w:rPr>
              <w:t>本单位工作规则、行为准则、岗位职责、服务标准等规章制度</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11</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便民服务电话</w:t>
            </w: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重大事项</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与公众利益密切相关的决定、方案、标准等重大事项的制定出台及调整变动情况</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招生管理</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招生信息</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本年度招生章程、招生计划、招生咨询电话和招生投诉电话等信息</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财务信息</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教学科研</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教学科研关规定\课程设置方案与教学计划\执行情况</w:t>
            </w:r>
          </w:p>
        </w:tc>
      </w:tr>
      <w:tr>
        <w:tblPrEx>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14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经费管理</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225" w:type="dxa"/>
            <w:gridSpan w:val="3"/>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pStyle w:val="2"/>
              <w:keepNext/>
              <w:keepLines/>
              <w:pageBreakBefore w:val="0"/>
              <w:widowControl w:val="0"/>
              <w:kinsoku/>
              <w:wordWrap/>
              <w:overflowPunct/>
              <w:topLinePunct w:val="0"/>
              <w:autoSpaceDE/>
              <w:autoSpaceDN/>
              <w:bidi w:val="0"/>
              <w:adjustRightInd w:val="0"/>
              <w:snapToGrid w:val="0"/>
              <w:spacing w:before="0" w:after="0" w:line="240" w:lineRule="auto"/>
              <w:ind w:firstLine="643" w:firstLineChars="200"/>
              <w:textAlignment w:val="auto"/>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b/>
                <w:bCs w:val="0"/>
                <w:color w:val="0000FF"/>
                <w:spacing w:val="0"/>
                <w:w w:val="100"/>
                <w:sz w:val="32"/>
                <w:szCs w:val="32"/>
                <w:u w:val="single"/>
                <w:lang w:val="en-US" w:eastAsia="zh-CN"/>
              </w:rPr>
              <w:t>说明：</w:t>
            </w:r>
            <w:r>
              <w:rPr>
                <w:rFonts w:hint="eastAsia" w:ascii="仿宋_GB2312" w:hAnsi="仿宋_GB2312" w:eastAsia="仿宋_GB2312" w:cs="仿宋_GB2312"/>
                <w:b/>
                <w:bCs w:val="0"/>
                <w:color w:val="0000FF"/>
                <w:spacing w:val="0"/>
                <w:w w:val="100"/>
                <w:sz w:val="32"/>
                <w:szCs w:val="32"/>
                <w:u w:val="single"/>
              </w:rPr>
              <w:t>蓝色</w:t>
            </w:r>
            <w:r>
              <w:rPr>
                <w:rFonts w:hint="eastAsia" w:ascii="仿宋_GB2312" w:hAnsi="仿宋_GB2312" w:eastAsia="仿宋_GB2312" w:cs="仿宋_GB2312"/>
                <w:b/>
                <w:bCs w:val="0"/>
                <w:color w:val="0000FF"/>
                <w:spacing w:val="0"/>
                <w:w w:val="100"/>
                <w:sz w:val="32"/>
                <w:szCs w:val="32"/>
                <w:u w:val="single"/>
                <w:lang w:val="en-US" w:eastAsia="zh-CN"/>
              </w:rPr>
              <w:t>加下划线</w:t>
            </w:r>
            <w:r>
              <w:rPr>
                <w:rFonts w:hint="eastAsia" w:ascii="仿宋_GB2312" w:hAnsi="仿宋_GB2312" w:eastAsia="仿宋_GB2312" w:cs="仿宋_GB2312"/>
                <w:b/>
                <w:bCs w:val="0"/>
                <w:color w:val="0000FF"/>
                <w:spacing w:val="0"/>
                <w:w w:val="100"/>
                <w:sz w:val="32"/>
                <w:szCs w:val="32"/>
                <w:u w:val="single"/>
              </w:rPr>
              <w:t>的为</w:t>
            </w:r>
            <w:r>
              <w:rPr>
                <w:rFonts w:hint="eastAsia" w:ascii="仿宋_GB2312" w:hAnsi="仿宋_GB2312" w:eastAsia="仿宋_GB2312" w:cs="仿宋_GB2312"/>
                <w:b/>
                <w:bCs w:val="0"/>
                <w:color w:val="0000FF"/>
                <w:spacing w:val="0"/>
                <w:w w:val="100"/>
                <w:sz w:val="32"/>
                <w:szCs w:val="32"/>
                <w:u w:val="single"/>
                <w:lang w:val="en-US" w:eastAsia="zh-CN"/>
              </w:rPr>
              <w:t>新调整</w:t>
            </w:r>
            <w:r>
              <w:rPr>
                <w:rFonts w:hint="eastAsia" w:ascii="仿宋_GB2312" w:hAnsi="仿宋_GB2312" w:eastAsia="仿宋_GB2312" w:cs="仿宋_GB2312"/>
                <w:b/>
                <w:bCs w:val="0"/>
                <w:color w:val="0000FF"/>
                <w:spacing w:val="0"/>
                <w:w w:val="100"/>
                <w:sz w:val="32"/>
                <w:szCs w:val="32"/>
                <w:u w:val="single"/>
              </w:rPr>
              <w:t>要求</w:t>
            </w:r>
            <w:r>
              <w:rPr>
                <w:rFonts w:hint="eastAsia" w:ascii="仿宋_GB2312" w:hAnsi="仿宋_GB2312" w:eastAsia="仿宋_GB2312" w:cs="仿宋_GB2312"/>
                <w:b/>
                <w:bCs w:val="0"/>
                <w:color w:val="0000FF"/>
                <w:spacing w:val="0"/>
                <w:w w:val="100"/>
                <w:sz w:val="32"/>
                <w:szCs w:val="32"/>
                <w:u w:val="single"/>
                <w:lang w:eastAsia="zh-CN"/>
              </w:rPr>
              <w:t>，请关注</w:t>
            </w:r>
            <w:r>
              <w:rPr>
                <w:rFonts w:hint="eastAsia" w:ascii="仿宋_GB2312" w:hAnsi="仿宋_GB2312" w:eastAsia="仿宋_GB2312" w:cs="仿宋_GB2312"/>
                <w:b/>
                <w:bCs w:val="0"/>
                <w:color w:val="0000FF"/>
                <w:spacing w:val="0"/>
                <w:w w:val="100"/>
                <w:sz w:val="32"/>
                <w:szCs w:val="32"/>
                <w:u w:val="single"/>
                <w:lang w:val="en-US" w:eastAsia="zh-CN"/>
              </w:rPr>
              <w:t>并及时公示相关材料</w:t>
            </w:r>
            <w:r>
              <w:rPr>
                <w:rFonts w:hint="eastAsia" w:ascii="仿宋_GB2312" w:hAnsi="仿宋_GB2312" w:eastAsia="仿宋_GB2312" w:cs="仿宋_GB2312"/>
                <w:b/>
                <w:bCs w:val="0"/>
                <w:color w:val="0000FF"/>
                <w:spacing w:val="0"/>
                <w:w w:val="100"/>
                <w:sz w:val="32"/>
                <w:szCs w:val="32"/>
                <w:u w:val="single"/>
                <w:lang w:eastAsia="zh-CN"/>
              </w:rPr>
              <w:t>。</w:t>
            </w:r>
          </w:p>
        </w:tc>
      </w:tr>
      <w:tr>
        <w:tblPrEx>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教学科研</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225" w:type="dxa"/>
            <w:gridSpan w:val="3"/>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80" w:lineRule="exact"/>
              <w:jc w:val="center"/>
              <w:rPr>
                <w:rFonts w:hint="eastAsia" w:ascii="仿宋_GB2312" w:hAnsi="仿宋_GB2312" w:eastAsia="楷体_GB2312" w:cs="仿宋_GB2312"/>
                <w:color w:val="000000"/>
                <w:spacing w:val="0"/>
                <w:w w:val="100"/>
                <w:kern w:val="0"/>
                <w:sz w:val="24"/>
                <w:szCs w:val="24"/>
                <w:lang w:val="en-US" w:eastAsia="zh-CN"/>
              </w:rPr>
            </w:pPr>
          </w:p>
        </w:tc>
      </w:tr>
    </w:tbl>
    <w:p>
      <w:pPr>
        <w:jc w:val="left"/>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lang w:val="en-US" w:eastAsia="zh-CN"/>
        </w:rPr>
        <w:t>附件5</w:t>
      </w:r>
    </w:p>
    <w:p>
      <w:pPr>
        <w:jc w:val="center"/>
        <w:rPr>
          <w:rFonts w:hint="eastAsia" w:ascii="方正小标宋_GBK" w:eastAsia="方正小标宋_GBK"/>
          <w:sz w:val="44"/>
          <w:szCs w:val="44"/>
        </w:rPr>
      </w:pPr>
      <w:r>
        <w:rPr>
          <w:rFonts w:hint="eastAsia" w:ascii="方正小标宋_GBK" w:eastAsia="方正小标宋_GBK"/>
          <w:spacing w:val="0"/>
          <w:w w:val="100"/>
          <w:sz w:val="44"/>
          <w:szCs w:val="44"/>
        </w:rPr>
        <w:t>各学校政务公开具体工作人员和联系方式</w:t>
      </w:r>
    </w:p>
    <w:tbl>
      <w:tblPr>
        <w:tblStyle w:val="9"/>
        <w:tblW w:w="9132" w:type="dxa"/>
        <w:tblInd w:w="0" w:type="dxa"/>
        <w:tblLayout w:type="fixed"/>
        <w:tblCellMar>
          <w:top w:w="0" w:type="dxa"/>
          <w:left w:w="10" w:type="dxa"/>
          <w:bottom w:w="0" w:type="dxa"/>
          <w:right w:w="10" w:type="dxa"/>
        </w:tblCellMar>
      </w:tblPr>
      <w:tblGrid>
        <w:gridCol w:w="657"/>
        <w:gridCol w:w="4695"/>
        <w:gridCol w:w="1530"/>
        <w:gridCol w:w="2250"/>
      </w:tblGrid>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序</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账号名称</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具体工作人员</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联系电话</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青岛西海岸新区胶南第一高级中学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青岛西海岸新区第一高级中学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青岛西海岸新区第二高级中学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青岛西海岸新区实验高级中学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青岛西海岸新区第五高级中学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青岛西海岸新区第八高级中学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青岛西海岸新区第三高级中学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青岛西海岸新区音乐学校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青岛经济技术开发区第二初级中学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青岛西海岸新区第四初级中学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355"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青岛经济技术开发区第四中学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青岛西海岸新区第六初级中学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青岛西海岸新区第七初级中学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青岛西海岸新区第十初级中学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青岛西海岸新区黄岛初级中学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青岛西海岸新区育才初级中学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青岛西海岸新区实验初级中学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青岛西海岸新区弘文学校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青岛西海岸新区致远中学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青岛西海岸新区隐珠初级中学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青岛西海岸新区弘德学校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青岛西海岸新区凤凰岛初级中学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青岛西海岸新区外国语学校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青岛西海岸新区辛安初级中学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青岛西海岸新区育英初级中学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青岛西海岸新区红石崖初级中学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青岛西海岸新区柳花泊初级中学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青岛西海岸新区文汇中学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青岛西海岸新区博文初级中学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青岛经济技术开发区实验小学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青岛西海岸新区第二实验小学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青岛经济技术开发区第二实验小学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青岛西海岸新区香江路第一小学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青岛西海岸新区香江路第二小学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青岛西海岸新区太行山路小学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西海岸新区东岳路小学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青岛西海岸新区海之韵小学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青岛西海岸新区易通路小学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青岛西海岸新区王家楼小学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青岛西海岸新区凭海临风小学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青岛西海岸新区崇明岛路小学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青岛西海岸新区峨眉山路小学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青岛西海岸新区风河小学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青岛西海岸新区富春江路小学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青岛西海岸新区黄浦江路小学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青岛西海岸新区胶南小学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青岛西海岸新区井冈山路小学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青岛西海岸新区昆仑山路小学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青岛西海岸新区五台山西路小学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青岛西海岸新区东风小学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青岛西海岸新区海滨小学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青岛西海岸新区海王路小学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青岛西海岸新区翰文小学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青岛西海岸新区汇文小学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青岛西海岸新区青草河小学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青岛西海岸新区兰亭小学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青岛西海岸新区实验小学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青岛西海岸新区双语小学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青岛西海岸新区隐珠小学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60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青岛西海岸新区育才小学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61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青岛西海岸新区珠山小学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62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青岛西海岸新区星光岛小学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63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青岛西海岸新区新世纪小学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64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青岛西海岸新区珠江路小学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65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青岛西海岸新区高级职业技术学校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66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青岛西海岸新区中德应用技术学校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67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青岛西海岸新区特殊教育中心</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r>
    </w:tbl>
    <w:p>
      <w:pPr>
        <w:pStyle w:val="2"/>
        <w:pageBreakBefore w:val="0"/>
        <w:kinsoku/>
        <w:wordWrap/>
        <w:overflowPunct/>
        <w:topLinePunct w:val="0"/>
        <w:autoSpaceDE/>
        <w:autoSpaceDN/>
        <w:bidi w:val="0"/>
        <w:adjustRightInd w:val="0"/>
        <w:snapToGrid w:val="0"/>
        <w:spacing w:before="0" w:after="0" w:line="320" w:lineRule="exact"/>
        <w:rPr>
          <w:rFonts w:hint="eastAsia" w:ascii="仿宋_GB2312" w:hAnsi="仿宋_GB2312" w:eastAsia="仿宋_GB2312" w:cs="仿宋_GB2312"/>
          <w:sz w:val="32"/>
          <w:szCs w:val="32"/>
          <w:lang w:val="en-US" w:eastAsia="zh-CN"/>
        </w:rPr>
      </w:pPr>
    </w:p>
    <w:tbl>
      <w:tblPr>
        <w:tblStyle w:val="10"/>
        <w:tblpPr w:leftFromText="180" w:rightFromText="180" w:vertAnchor="text" w:horzAnchor="page" w:tblpX="1615" w:tblpY="10007"/>
        <w:tblOverlap w:val="never"/>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6" w:type="dxa"/>
            <w:tcBorders>
              <w:left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pPr>
            <w:r>
              <w:rPr>
                <w:rFonts w:hint="eastAsia" w:ascii="仿宋_GB2312" w:eastAsia="仿宋_GB2312"/>
                <w:sz w:val="28"/>
                <w:szCs w:val="28"/>
              </w:rPr>
              <w:t>青岛</w:t>
            </w:r>
            <w:r>
              <w:rPr>
                <w:rFonts w:hint="eastAsia" w:ascii="仿宋_GB2312" w:eastAsia="仿宋_GB2312"/>
                <w:sz w:val="28"/>
                <w:szCs w:val="28"/>
                <w:lang w:eastAsia="zh-CN"/>
              </w:rPr>
              <w:t>西海岸新区</w:t>
            </w:r>
            <w:r>
              <w:rPr>
                <w:rFonts w:hint="eastAsia" w:ascii="仿宋_GB2312" w:eastAsia="仿宋_GB2312"/>
                <w:sz w:val="28"/>
                <w:szCs w:val="28"/>
              </w:rPr>
              <w:t>教育</w:t>
            </w:r>
            <w:r>
              <w:rPr>
                <w:rFonts w:hint="eastAsia" w:ascii="仿宋_GB2312" w:eastAsia="仿宋_GB2312"/>
                <w:sz w:val="28"/>
                <w:szCs w:val="28"/>
                <w:lang w:eastAsia="zh-CN"/>
              </w:rPr>
              <w:t>和</w:t>
            </w:r>
            <w:r>
              <w:rPr>
                <w:rFonts w:hint="eastAsia" w:ascii="仿宋_GB2312" w:eastAsia="仿宋_GB2312"/>
                <w:sz w:val="28"/>
                <w:szCs w:val="28"/>
              </w:rPr>
              <w:t>体育局办公室</w:t>
            </w:r>
            <w:r>
              <w:rPr>
                <w:rFonts w:hint="eastAsia"/>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20</w:t>
            </w:r>
            <w:r>
              <w:rPr>
                <w:rFonts w:hint="eastAsia" w:ascii="仿宋_GB2312" w:eastAsia="仿宋_GB2312"/>
                <w:sz w:val="28"/>
                <w:szCs w:val="28"/>
              </w:rPr>
              <w:t>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19</w:t>
            </w:r>
            <w:r>
              <w:rPr>
                <w:rFonts w:hint="eastAsia" w:ascii="仿宋_GB2312" w:eastAsia="仿宋_GB2312"/>
                <w:sz w:val="28"/>
                <w:szCs w:val="28"/>
              </w:rPr>
              <w:t>日印发</w:t>
            </w:r>
          </w:p>
        </w:tc>
      </w:tr>
    </w:tbl>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333333"/>
          <w:sz w:val="32"/>
          <w:szCs w:val="32"/>
          <w:shd w:val="clear" w:fill="FFFFFF"/>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2"/>
                              <w:rFonts w:hint="eastAsia" w:ascii="宋体" w:hAnsi="宋体"/>
                              <w:sz w:val="28"/>
                              <w:szCs w:val="28"/>
                            </w:rPr>
                          </w:pPr>
                          <w:r>
                            <w:rPr>
                              <w:rStyle w:val="12"/>
                              <w:rFonts w:hint="eastAsia"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Style w:val="12"/>
                        <w:rFonts w:hint="eastAsia" w:ascii="宋体" w:hAnsi="宋体"/>
                        <w:sz w:val="28"/>
                        <w:szCs w:val="28"/>
                      </w:rPr>
                    </w:pPr>
                    <w:r>
                      <w:rPr>
                        <w:rStyle w:val="12"/>
                        <w:rFonts w:hint="eastAsia"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46809"/>
    <w:rsid w:val="013B380A"/>
    <w:rsid w:val="02220B26"/>
    <w:rsid w:val="02707B20"/>
    <w:rsid w:val="035B7382"/>
    <w:rsid w:val="03836301"/>
    <w:rsid w:val="03CA1FDD"/>
    <w:rsid w:val="06F115BC"/>
    <w:rsid w:val="081D7EB9"/>
    <w:rsid w:val="08B67746"/>
    <w:rsid w:val="09083E5A"/>
    <w:rsid w:val="09924AFA"/>
    <w:rsid w:val="0CC74B56"/>
    <w:rsid w:val="0D131621"/>
    <w:rsid w:val="0D4D26DE"/>
    <w:rsid w:val="0DA668A2"/>
    <w:rsid w:val="0EF823BD"/>
    <w:rsid w:val="0F25607B"/>
    <w:rsid w:val="1073337E"/>
    <w:rsid w:val="108A649A"/>
    <w:rsid w:val="14EF3EE7"/>
    <w:rsid w:val="17D54E70"/>
    <w:rsid w:val="1BF85B1D"/>
    <w:rsid w:val="1F75786D"/>
    <w:rsid w:val="1F90237A"/>
    <w:rsid w:val="2037179E"/>
    <w:rsid w:val="22A4406E"/>
    <w:rsid w:val="22AA5626"/>
    <w:rsid w:val="24386791"/>
    <w:rsid w:val="24DF5B60"/>
    <w:rsid w:val="25222764"/>
    <w:rsid w:val="25D66EC8"/>
    <w:rsid w:val="29825DCB"/>
    <w:rsid w:val="29E04BF4"/>
    <w:rsid w:val="2ADF5564"/>
    <w:rsid w:val="2B041309"/>
    <w:rsid w:val="2B090BAB"/>
    <w:rsid w:val="2C2D15CE"/>
    <w:rsid w:val="30BF34D1"/>
    <w:rsid w:val="30D15647"/>
    <w:rsid w:val="32CF4747"/>
    <w:rsid w:val="331514D3"/>
    <w:rsid w:val="34351A32"/>
    <w:rsid w:val="3534243B"/>
    <w:rsid w:val="36B170ED"/>
    <w:rsid w:val="36D13865"/>
    <w:rsid w:val="37BE3A56"/>
    <w:rsid w:val="38D13762"/>
    <w:rsid w:val="3BB07516"/>
    <w:rsid w:val="3BD8268E"/>
    <w:rsid w:val="3CB37B8D"/>
    <w:rsid w:val="3CEA4725"/>
    <w:rsid w:val="3E131F95"/>
    <w:rsid w:val="40452CF6"/>
    <w:rsid w:val="40534667"/>
    <w:rsid w:val="412209EB"/>
    <w:rsid w:val="4217696B"/>
    <w:rsid w:val="42991889"/>
    <w:rsid w:val="430303BF"/>
    <w:rsid w:val="44314375"/>
    <w:rsid w:val="44AC7694"/>
    <w:rsid w:val="44D25E9A"/>
    <w:rsid w:val="44E06BCA"/>
    <w:rsid w:val="47000692"/>
    <w:rsid w:val="495D3F68"/>
    <w:rsid w:val="49F7484F"/>
    <w:rsid w:val="4D880D7D"/>
    <w:rsid w:val="4EC830DE"/>
    <w:rsid w:val="4FE3197A"/>
    <w:rsid w:val="51995BA1"/>
    <w:rsid w:val="5203482E"/>
    <w:rsid w:val="52540FD0"/>
    <w:rsid w:val="53B6292A"/>
    <w:rsid w:val="540D01E0"/>
    <w:rsid w:val="54864D1D"/>
    <w:rsid w:val="554572C0"/>
    <w:rsid w:val="56E843F6"/>
    <w:rsid w:val="56EC2C85"/>
    <w:rsid w:val="5AC82732"/>
    <w:rsid w:val="5B0D11A0"/>
    <w:rsid w:val="5C8F400F"/>
    <w:rsid w:val="5D891E2D"/>
    <w:rsid w:val="5DCC1D02"/>
    <w:rsid w:val="5EE84CE5"/>
    <w:rsid w:val="63884E08"/>
    <w:rsid w:val="640A4D72"/>
    <w:rsid w:val="652C36BF"/>
    <w:rsid w:val="65F60303"/>
    <w:rsid w:val="67AA7FF6"/>
    <w:rsid w:val="68CE4B3A"/>
    <w:rsid w:val="6B146809"/>
    <w:rsid w:val="6BEE4CC4"/>
    <w:rsid w:val="6C172D7E"/>
    <w:rsid w:val="6C670400"/>
    <w:rsid w:val="74A01D63"/>
    <w:rsid w:val="74E27E17"/>
    <w:rsid w:val="74FB749D"/>
    <w:rsid w:val="7556394D"/>
    <w:rsid w:val="75C542B7"/>
    <w:rsid w:val="783C2FB7"/>
    <w:rsid w:val="7AAE3CFB"/>
    <w:rsid w:val="7BA74CC0"/>
    <w:rsid w:val="7C1D2DA1"/>
    <w:rsid w:val="7D1C4D34"/>
    <w:rsid w:val="7DA249CF"/>
    <w:rsid w:val="7DCC33FB"/>
    <w:rsid w:val="7EB4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paragraph" w:styleId="4">
    <w:name w:val="heading 3"/>
    <w:basedOn w:val="1"/>
    <w:next w:val="1"/>
    <w:qFormat/>
    <w:uiPriority w:val="0"/>
    <w:pPr>
      <w:keepNext/>
      <w:keepLines/>
      <w:spacing w:line="413" w:lineRule="auto"/>
      <w:outlineLvl w:val="2"/>
    </w:pPr>
    <w:rPr>
      <w:b/>
      <w:bCs/>
      <w:sz w:val="32"/>
      <w:szCs w:val="32"/>
    </w:rPr>
  </w:style>
  <w:style w:type="paragraph" w:styleId="2">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ascii="Calibri" w:hAnsi="Calibri" w:eastAsia="仿宋_GB2312" w:cs="Calibri"/>
      <w:sz w:val="32"/>
      <w:szCs w:val="3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仿宋_GB2312" w:cs="Times New Roman"/>
      <w:kern w:val="2"/>
      <w:sz w:val="18"/>
      <w:szCs w:val="18"/>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rPr>
      <w:rFonts w:cs="Times New Roman"/>
    </w:rPr>
  </w:style>
  <w:style w:type="character" w:styleId="13">
    <w:name w:val="FollowedHyperlink"/>
    <w:basedOn w:val="11"/>
    <w:qFormat/>
    <w:uiPriority w:val="0"/>
    <w:rPr>
      <w:color w:val="000000"/>
      <w:u w:val="none"/>
    </w:rPr>
  </w:style>
  <w:style w:type="character" w:styleId="14">
    <w:name w:val="Hyperlink"/>
    <w:basedOn w:val="11"/>
    <w:qFormat/>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2020-09-07T02:28:00Z</dcterms:created>
  <dc:creator>薛超</dc:creator>
  <cp:lastModifiedBy>薛超</cp:lastModifiedBy>
  <cp:lastPrinted>2020-11-17T02:49:00Z</cp:lastPrinted>
  <dcterms:modified xsi:type="dcterms:W3CDTF">2020-11-23T03:01:38Z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