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ascii="黑体" w:hAnsi="黑体" w:eastAsia="黑体"/>
          <w:b w:val="0"/>
        </w:rPr>
      </w:pPr>
      <w:bookmarkStart w:id="0" w:name="_GoBack"/>
      <w:bookmarkEnd w:id="0"/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>2</w:t>
      </w:r>
    </w:p>
    <w:p>
      <w:pPr>
        <w:jc w:val="center"/>
        <w:rPr>
          <w:rFonts w:eastAsia="方正小标宋_GBK"/>
          <w:bCs/>
          <w:spacing w:val="9"/>
          <w:kern w:val="0"/>
          <w:sz w:val="52"/>
          <w:szCs w:val="52"/>
        </w:rPr>
      </w:pPr>
      <w:r>
        <w:rPr>
          <w:rFonts w:hint="eastAsia" w:eastAsia="方正小标宋_GBK"/>
          <w:bCs/>
          <w:spacing w:val="10"/>
          <w:kern w:val="0"/>
          <w:sz w:val="52"/>
          <w:szCs w:val="52"/>
          <w:fitText w:val="3766" w:id="509115875"/>
        </w:rPr>
        <w:t>青岛西海岸新</w:t>
      </w:r>
      <w:r>
        <w:rPr>
          <w:rFonts w:hint="eastAsia" w:eastAsia="方正小标宋_GBK"/>
          <w:bCs/>
          <w:spacing w:val="3"/>
          <w:kern w:val="0"/>
          <w:sz w:val="52"/>
          <w:szCs w:val="52"/>
          <w:fitText w:val="3766" w:id="509115875"/>
        </w:rPr>
        <w:t>区</w:t>
      </w:r>
    </w:p>
    <w:p>
      <w:pPr>
        <w:jc w:val="center"/>
        <w:rPr>
          <w:w w:val="90"/>
          <w:sz w:val="72"/>
          <w:szCs w:val="72"/>
        </w:rPr>
      </w:pPr>
      <w:r>
        <w:rPr>
          <w:rFonts w:hint="eastAsia" w:eastAsia="方正小标宋_GBK"/>
          <w:bCs/>
          <w:spacing w:val="100"/>
          <w:kern w:val="0"/>
          <w:sz w:val="52"/>
          <w:szCs w:val="52"/>
          <w:fitText w:val="4844" w:id="1"/>
        </w:rPr>
        <w:t>农业标准园</w:t>
      </w:r>
      <w:r>
        <w:rPr>
          <w:rFonts w:eastAsia="方正小标宋_GBK"/>
          <w:bCs/>
          <w:spacing w:val="100"/>
          <w:kern w:val="0"/>
          <w:sz w:val="52"/>
          <w:szCs w:val="52"/>
          <w:fitText w:val="4844" w:id="1"/>
        </w:rPr>
        <w:t>项</w:t>
      </w:r>
      <w:r>
        <w:rPr>
          <w:rFonts w:eastAsia="方正小标宋_GBK"/>
          <w:bCs/>
          <w:spacing w:val="2"/>
          <w:kern w:val="0"/>
          <w:sz w:val="52"/>
          <w:szCs w:val="52"/>
          <w:fitText w:val="4844" w:id="1"/>
        </w:rPr>
        <w:t>目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报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</w:rPr>
      </w:pPr>
      <w:r>
        <w:rPr>
          <w:rFonts w:ascii="仿宋" w:hAnsi="仿宋" w:eastAsia="仿宋"/>
          <w:bCs/>
          <w:sz w:val="32"/>
        </w:rPr>
        <w:t xml:space="preserve">项  目  名  称： 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2"/>
        </w:rPr>
        <w:t>申报单位（盖章）：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     </w:t>
      </w:r>
      <w:r>
        <w:rPr>
          <w:rFonts w:ascii="仿宋" w:hAnsi="仿宋" w:eastAsia="仿宋"/>
          <w:bCs/>
          <w:sz w:val="30"/>
        </w:rPr>
        <w:t>年    月    日</w:t>
      </w:r>
    </w:p>
    <w:tbl>
      <w:tblPr>
        <w:tblStyle w:val="1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49"/>
        <w:gridCol w:w="393"/>
        <w:gridCol w:w="1338"/>
        <w:gridCol w:w="180"/>
        <w:gridCol w:w="905"/>
        <w:gridCol w:w="175"/>
        <w:gridCol w:w="470"/>
        <w:gridCol w:w="790"/>
        <w:gridCol w:w="230"/>
        <w:gridCol w:w="850"/>
        <w:gridCol w:w="10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申报单位全称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 目 名 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项目实施地点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园区总面积（亩）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产业</w:t>
            </w:r>
            <w:r>
              <w:rPr>
                <w:rFonts w:hint="eastAsia" w:ascii="黑体" w:hAnsi="黑体" w:eastAsia="黑体"/>
                <w:sz w:val="24"/>
              </w:rPr>
              <w:t>类型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建设类型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代表人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计划</w:t>
            </w:r>
            <w:r>
              <w:rPr>
                <w:rFonts w:hint="eastAsia" w:ascii="黑体" w:hAnsi="黑体" w:eastAsia="黑体"/>
                <w:sz w:val="24"/>
              </w:rPr>
              <w:t>总</w:t>
            </w:r>
            <w:r>
              <w:rPr>
                <w:rFonts w:ascii="黑体" w:hAnsi="黑体" w:eastAsia="黑体"/>
                <w:sz w:val="24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计划建设周期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068" w:type="dxa"/>
            <w:gridSpan w:val="13"/>
            <w:vAlign w:val="center"/>
          </w:tcPr>
          <w:p>
            <w:pPr>
              <w:spacing w:beforeLines="20" w:line="400" w:lineRule="exact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（一）项目申报单位基本情况、产业规模、发展目标及近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三</w:t>
            </w:r>
            <w:r>
              <w:rPr>
                <w:rFonts w:ascii="仿宋" w:hAnsi="仿宋" w:eastAsia="仿宋"/>
                <w:spacing w:val="-6"/>
                <w:sz w:val="24"/>
              </w:rPr>
              <w:t>年各级项目实施自查情况等：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（二）项目实施的必要性、可行性分析（包括项目建成的效果或形象指标）：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（三）效益分析（经济、生态和社会效益）：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二、项目实施</w:t>
            </w:r>
            <w:r>
              <w:rPr>
                <w:rFonts w:hint="eastAsia" w:ascii="黑体" w:hAnsi="黑体" w:eastAsia="黑体"/>
                <w:sz w:val="24"/>
              </w:rPr>
              <w:t>内容</w:t>
            </w:r>
            <w:r>
              <w:rPr>
                <w:rFonts w:ascii="黑体" w:hAnsi="黑体" w:eastAsia="黑体"/>
                <w:sz w:val="24"/>
              </w:rPr>
              <w:t>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项目建设分项名称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（数量）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规格或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型号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单价（元）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总投资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04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进度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（一）农业基础设施建设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（二）农业设施装备建设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合计</w:t>
            </w:r>
          </w:p>
        </w:tc>
        <w:tc>
          <w:tcPr>
            <w:tcW w:w="5540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6" w:hRule="exact"/>
        </w:trPr>
        <w:tc>
          <w:tcPr>
            <w:tcW w:w="9068" w:type="dxa"/>
            <w:gridSpan w:val="13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镇街</w:t>
            </w: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负责人：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24"/>
              </w:rPr>
              <w:t>（盖 章）年     月    日</w:t>
            </w:r>
          </w:p>
        </w:tc>
      </w:tr>
    </w:tbl>
    <w:p>
      <w:pPr>
        <w:spacing w:line="36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24"/>
        </w:rPr>
        <w:t>注：1．</w:t>
      </w:r>
      <w:r>
        <w:rPr>
          <w:rFonts w:hint="eastAsia" w:ascii="仿宋" w:hAnsi="仿宋" w:eastAsia="仿宋" w:cs="仿宋"/>
          <w:sz w:val="24"/>
        </w:rPr>
        <w:t>“项目名称”</w:t>
      </w:r>
      <w:r>
        <w:rPr>
          <w:rFonts w:ascii="仿宋" w:hAnsi="仿宋" w:eastAsia="仿宋"/>
          <w:sz w:val="24"/>
        </w:rPr>
        <w:t>栏填写格式：镇、街道名称+建设单位简称</w:t>
      </w:r>
      <w:r>
        <w:rPr>
          <w:rFonts w:hint="eastAsia" w:ascii="仿宋" w:hAnsi="仿宋" w:eastAsia="仿宋"/>
          <w:sz w:val="24"/>
        </w:rPr>
        <w:t>+农业标准园建设</w:t>
      </w:r>
      <w:r>
        <w:rPr>
          <w:rFonts w:ascii="仿宋" w:hAnsi="仿宋" w:eastAsia="仿宋"/>
          <w:sz w:val="24"/>
        </w:rPr>
        <w:t>项目；2．产业定位请填写蔬菜类、水果类、花卉类或综合类等；3．建设类型请填写新建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提升</w:t>
      </w:r>
      <w:r>
        <w:rPr>
          <w:rFonts w:hint="eastAsia" w:ascii="仿宋" w:hAnsi="仿宋" w:eastAsia="仿宋"/>
          <w:sz w:val="24"/>
        </w:rPr>
        <w:t>发展</w:t>
      </w:r>
      <w:r>
        <w:rPr>
          <w:rFonts w:ascii="仿宋" w:hAnsi="仿宋" w:eastAsia="仿宋"/>
          <w:b/>
          <w:bCs/>
          <w:sz w:val="24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233EF3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B0B1A2E"/>
    <w:rsid w:val="6B391278"/>
    <w:rsid w:val="6BC05DAB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10782</Words>
  <Characters>10968</Characters>
  <Lines>118</Lines>
  <Paragraphs>33</Paragraphs>
  <TotalTime>13</TotalTime>
  <ScaleCrop>false</ScaleCrop>
  <LinksUpToDate>false</LinksUpToDate>
  <CharactersWithSpaces>14256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2023-07-31T03:07:02Z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1B796E7B62A541648F52CBB5C2DC3729_13</vt:lpwstr>
  </property>
</Properties>
</file>