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微软雅黑" w:hAnsi="微软雅黑" w:eastAsia="微软雅黑" w:cs="微软雅黑"/>
          <w:b/>
          <w:bCs/>
          <w:sz w:val="32"/>
          <w:szCs w:val="32"/>
        </w:rPr>
      </w:pPr>
      <w:bookmarkStart w:id="0" w:name="_GoBack"/>
      <w:r>
        <w:rPr>
          <w:rFonts w:hint="eastAsia" w:ascii="微软雅黑" w:hAnsi="微软雅黑" w:eastAsia="微软雅黑" w:cs="微软雅黑"/>
          <w:b/>
          <w:bCs/>
          <w:sz w:val="32"/>
          <w:szCs w:val="32"/>
        </w:rPr>
        <w:t>兽用抗菌药使用减量化行动报名条件</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504" w:firstLineChars="157"/>
        <w:textAlignment w:val="auto"/>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（一）资质条件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1.在国家各级市场监管部门正式登记注册，并已在农业农村部养殖场直联直报系统中备案，具有独立法人资格的养殖场。</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2.具有兽医技术人员，配备相对固定的执业兽医师。</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3.从事蛋鸡、肉鸡、肉鸭、生猪、奶牛、肉牛、肉羊、肉兔、奶山羊等商品代养殖。</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4.符合我省规模养殖场规定的养殖数量。</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5.具备《动物防疫条件合格证》，三年内未发生重大动物疫病和重大动物产品质量安全事件。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6.依法取得环评手续，并落实了各项生态环境保护措施。</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（二）防疫管理</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1.饲料、兽药等不同类型的投入品分类分开储藏，设施设备完善，储藏标识清晰。</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2.场区入口有车辆、人员消毒池，生产区入口有更衣消毒室。</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3.具有解剖室、诊断室、化验室等兽医功能室。</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（三）粪污处理</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1.采用适宜清粪工艺和经济高效的处理方式，配套农田面积符合土地承载力要求。</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2.畜禽养殖废弃物处理设施运行正常，能够达到国家、行业或地方标准规定的无害化或排放要求。对畜禽养殖废弃物建立处理台账，且记录真实、完整。</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（四）管理制度与记录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1.具有完善的管理制度，并具有制度执行的记录。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具有县级以上畜牧兽医行政管理部门备案登记证明；按照农业农村部《畜禽标识和养殖档案管理办法》要求，建立养殖档案（包括生产、消毒、免疫、抗体监测、解剖、无害化处理、预防和治疗使用兽药等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所用的饲料及饲料添加剂应符合《饲料及饲料添加剂管理条例》，具有饲料使用的连续记录。无论是自配或外购饲料均须提供不同饲养阶段所用饲料的营养成分表。其中应有促生长剂（包括药物饲料添加剂）等相关品种的名称和使用量的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4.所用兽药应符合《兽药管理条例》要求，具有完整的兽药使用记录和兽用处方药使用记录。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WNkY2UzNzE5Nzc3NjczZjBiNTRlODE4YmNjY2YifQ=="/>
  </w:docVars>
  <w:rsids>
    <w:rsidRoot w:val="012A4F29"/>
    <w:rsid w:val="012A4F29"/>
    <w:rsid w:val="12FC7CAB"/>
    <w:rsid w:val="4D2E200A"/>
    <w:rsid w:val="63767CBC"/>
    <w:rsid w:val="6C68355C"/>
    <w:rsid w:val="702F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
    <w:name w:val="正文-公1"/>
    <w:basedOn w:val="1"/>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0</Lines>
  <Paragraphs>0</Paragraphs>
  <TotalTime>0</TotalTime>
  <ScaleCrop>false</ScaleCrop>
  <LinksUpToDate>false</LinksUpToDate>
  <CharactersWithSpaces>198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2022-11-18T08:04:00Z</dcterms:created>
  <dc:creator>孟廷</dc:creator>
  <cp:lastModifiedBy>孟廷</cp:lastModifiedBy>
  <dcterms:modified xsi:type="dcterms:W3CDTF">2022-11-21T07:46:41Z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0379E21D57BF4B8BBA71C7711B71BD06</vt:lpwstr>
  </property>
</Properties>
</file>