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99"/>
          <w:tab w:val="center" w:pos="4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88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关于在人防工程内安装电动汽车</w:t>
      </w:r>
    </w:p>
    <w:p>
      <w:pPr>
        <w:keepNext w:val="0"/>
        <w:keepLines w:val="0"/>
        <w:pageBreakBefore w:val="0"/>
        <w:widowControl w:val="0"/>
        <w:tabs>
          <w:tab w:val="left" w:pos="299"/>
          <w:tab w:val="center" w:pos="4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8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自用充电设施有关工作的通知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》</w:t>
      </w:r>
    </w:p>
    <w:p>
      <w:pPr>
        <w:keepNext w:val="0"/>
        <w:keepLines w:val="0"/>
        <w:pageBreakBefore w:val="0"/>
        <w:widowControl w:val="0"/>
        <w:tabs>
          <w:tab w:val="left" w:pos="299"/>
          <w:tab w:val="center" w:pos="4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8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征求意见的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99"/>
          <w:tab w:val="center" w:pos="4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认真贯彻人防相关法律法规和有关文件要求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参照北京、大连、宿迁等省市出台的相关文件规定，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区住建局起草了《关于在人防工程内安装电动汽车自用充电设施有关工作的通知》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（征求意见稿）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并征求了区供电公司、建设单位、人防审图单位、人防设计院、物业等相关单位的意见，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现将《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关于在人防工程内安装电动汽车自用充电设施有关工作的通知》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（征求意见稿）向社会各界公开征求意见。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一、征求意见期限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　　自202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 w:cs="Times New Roman"/>
          <w:sz w:val="32"/>
          <w:szCs w:val="32"/>
        </w:rPr>
        <w:t>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sz w:val="32"/>
          <w:szCs w:val="32"/>
        </w:rPr>
        <w:t>日起至202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 w:cs="Times New Roman"/>
          <w:sz w:val="32"/>
          <w:szCs w:val="32"/>
        </w:rPr>
        <w:t>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hAnsi="Calibri" w:eastAsia="仿宋_GB2312" w:cs="Times New Roman"/>
          <w:sz w:val="32"/>
          <w:szCs w:val="32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　　二、意见反馈方式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在</w:t>
      </w: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公开征求意见</w:t>
      </w:r>
      <w:r>
        <w:rPr>
          <w:rFonts w:hint="eastAsia" w:ascii="仿宋_GB2312" w:hAnsi="Calibri" w:eastAsia="仿宋_GB2312" w:cs="Times New Roman"/>
          <w:sz w:val="30"/>
          <w:szCs w:val="30"/>
        </w:rPr>
        <w:t>期</w:t>
      </w: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限</w:t>
      </w:r>
      <w:r>
        <w:rPr>
          <w:rFonts w:hint="eastAsia" w:ascii="仿宋_GB2312" w:hAnsi="Calibri" w:eastAsia="仿宋_GB2312" w:cs="Times New Roman"/>
          <w:sz w:val="30"/>
          <w:szCs w:val="30"/>
        </w:rPr>
        <w:t>内，任何</w:t>
      </w:r>
      <w:r>
        <w:rPr>
          <w:rFonts w:hint="eastAsia" w:ascii="仿宋_GB2312" w:hAnsi="Calibri" w:eastAsia="仿宋_GB2312" w:cs="Times New Roman"/>
          <w:sz w:val="32"/>
          <w:szCs w:val="32"/>
        </w:rPr>
        <w:t>单位和个人均可以通过以下方式提出意见：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电子邮箱：cjjrenfangban1@qd.shandong.cn</w:t>
      </w:r>
      <w:r>
        <w:rPr>
          <w:rFonts w:hint="eastAsia" w:ascii="仿宋_GB2312" w:hAnsi="Calibri" w:eastAsia="仿宋_GB2312" w:cs="Times New Roman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仿宋_GB2312" w:hAnsi="Calibri" w:eastAsia="仿宋_GB2312" w:cs="Times New Roman"/>
          <w:sz w:val="32"/>
          <w:szCs w:val="32"/>
        </w:rPr>
        <w:t>通讯地址：青岛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西海岸新区长江中路519号建国大厦1408A人防中心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，邮编266555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3、联系电话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86959322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  </w:t>
      </w:r>
    </w:p>
    <w:p>
      <w:pPr>
        <w:keepNext w:val="0"/>
        <w:keepLines w:val="0"/>
        <w:pageBreakBefore w:val="0"/>
        <w:widowControl w:val="0"/>
        <w:tabs>
          <w:tab w:val="left" w:pos="299"/>
          <w:tab w:val="center" w:pos="4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附件：《关于在人防工程内安装电动汽车自用充电设施有关工作的通知》征求意见稿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黑体" w:eastAsia="仿宋_GB2312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                       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青岛西海岸新区住房和</w:t>
      </w:r>
      <w:r>
        <w:rPr>
          <w:rFonts w:hint="eastAsia" w:ascii="仿宋_GB2312" w:hAnsi="黑体" w:eastAsia="仿宋_GB2312" w:cs="黑体"/>
          <w:sz w:val="32"/>
          <w:szCs w:val="32"/>
        </w:rPr>
        <w:t>城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乡</w:t>
      </w:r>
      <w:r>
        <w:rPr>
          <w:rFonts w:hint="eastAsia" w:ascii="仿宋_GB2312" w:hAnsi="黑体" w:eastAsia="仿宋_GB2312" w:cs="黑体"/>
          <w:sz w:val="32"/>
          <w:szCs w:val="32"/>
        </w:rPr>
        <w:t>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center"/>
        <w:textAlignment w:val="auto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                     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黑体" w:eastAsia="仿宋_GB2312" w:cs="黑体"/>
          <w:sz w:val="32"/>
          <w:szCs w:val="32"/>
        </w:rPr>
        <w:t>20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22</w:t>
      </w:r>
      <w:r>
        <w:rPr>
          <w:rFonts w:hint="eastAsia" w:ascii="仿宋_GB2312" w:hAnsi="黑体" w:eastAsia="仿宋_GB2312" w:cs="黑体"/>
          <w:sz w:val="32"/>
          <w:szCs w:val="32"/>
        </w:rPr>
        <w:t>年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8</w:t>
      </w:r>
      <w:r>
        <w:rPr>
          <w:rFonts w:hint="eastAsia" w:ascii="仿宋_GB2312" w:hAnsi="黑体" w:eastAsia="仿宋_GB2312" w:cs="黑体"/>
          <w:sz w:val="32"/>
          <w:szCs w:val="32"/>
        </w:rPr>
        <w:t>月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9</w:t>
      </w:r>
      <w:r>
        <w:rPr>
          <w:rFonts w:hint="eastAsia" w:ascii="仿宋_GB2312" w:hAnsi="黑体" w:eastAsia="仿宋_GB2312" w:cs="黑体"/>
          <w:sz w:val="32"/>
          <w:szCs w:val="32"/>
        </w:rPr>
        <w:t>日</w:t>
      </w:r>
    </w:p>
    <w:p>
      <w:pP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青岛西海岸新区住房和城乡建设局</w:t>
      </w:r>
    </w:p>
    <w:p>
      <w:pPr>
        <w:keepNext w:val="0"/>
        <w:keepLines w:val="0"/>
        <w:pageBreakBefore w:val="0"/>
        <w:widowControl w:val="0"/>
        <w:tabs>
          <w:tab w:val="left" w:pos="299"/>
          <w:tab w:val="center" w:pos="4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880" w:hanging="880" w:hangingChars="200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关于在人防工程内安装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电动汽车自用充电</w:t>
      </w:r>
    </w:p>
    <w:p>
      <w:pPr>
        <w:keepNext w:val="0"/>
        <w:keepLines w:val="0"/>
        <w:pageBreakBefore w:val="0"/>
        <w:widowControl w:val="0"/>
        <w:tabs>
          <w:tab w:val="left" w:pos="299"/>
          <w:tab w:val="center" w:pos="4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878" w:leftChars="418" w:firstLine="1320" w:firstLineChars="300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设施有关工作的通知</w:t>
      </w:r>
    </w:p>
    <w:p>
      <w:pPr>
        <w:pStyle w:val="2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（征求意见稿）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各大功能区人防管理部门，各建设单位，人防工程维护管理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使用单位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，各有关单位: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认真贯彻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《中华人民共和国人民防空法》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《中华人民共和国安全生产法》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山东省人民防空工程管理办法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山东省人民防空工程维护管理办法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《青岛市居民小区电动汽车充电基础设施配套电网建设实施细则（试行）》等相关文件和规范要求，结合我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实际，现就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在人防工程内安装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电动汽车自用充电设施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有关工作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通知如下：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安全要求。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在人防工程内安装电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动汽车自用充电设施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及布局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应当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首先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符合消防主管部门、供电部门等相关单位的要求，确保无安全隐患。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充电设施线路若需穿越人防主体结构，应从人防墙体的预留套管中穿越，确保人防工程防护功能完好。未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经人防主管部门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同意，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不得擅自在人防工程的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主体结构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穿墙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打洞，不得侵占和破坏人防设施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设备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二、安装布局。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在人防工程内安装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电动汽车自用充电设施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应遵守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山东省人民防空工程维护管理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有关规定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不得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影响现有人防设施设备的正常使用，且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便于人民防空工程防护功能平战转换。新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人防工程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《青岛市居民小区电动汽车充电基础设施配套电网建设实施细则（试行）》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青发改运行〔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>2021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auto"/>
          <w:kern w:val="0"/>
          <w:sz w:val="31"/>
          <w:szCs w:val="31"/>
          <w:lang w:val="en-US" w:eastAsia="zh-CN" w:bidi="ar"/>
        </w:rPr>
        <w:t xml:space="preserve">184 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号）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文件要求执行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三、组织实施。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从简政便民角度，只要不破坏人防主体结构和防护设备设施，不影响人防工程平战转换和防空效能，无需报请人防部门备案。安装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充电设施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应避免破坏人防主体结构，因引入外接电源线缆确需穿墙打洞的，须由人防工程维护管理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使用单位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会同供电、人防工程设计等单位出具方案，报区人防主管部门后，严格按照方案组织施工并做好资料留存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（主要有：申请安装人登记资料;线缆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穿越人防主体结构的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节点照片；带充电桩的车位照片）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四、使用管理责任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（一）使用人责任。电动汽车自用充电设施使用人在使用期间应当自觉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遵守人防工程维护管理相关规定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战争来临时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将按照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人防工程维护管理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使用单位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或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人防主管部门规定的时限，无条件拆除充电设施，恢复至安装前原貌。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（二）使用单位责任。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人防工程维护管理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使用单位应当积极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支持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使用人办理申请手续、设施安装等工作。电动汽车自用充电设施安装完成后，使用单位将有关资料留存备查。使用单位应当切实履行管理责任，督促使用人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遵守人防工程维护管理相关规定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（三）主管部门责任。在安装电动汽车自用充电设施时，未经人防主管部门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同意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擅自在人防工程的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主体结构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穿墙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打洞破坏人防工程防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功能的，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或不按方案施工的，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人防主管部门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依法追究相关人员和单位的责任。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人防工程内电动汽车公用、专用充电设施的安装参照此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通知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通知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自 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行，有效期到 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行期间，若本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通知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与国家、省、市出台的政策不相符的，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按上级政策规定执行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2"/>
        <w:rPr>
          <w:rFonts w:hint="eastAsia"/>
          <w:color w:val="auto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电动汽车充电设施线缆穿越人防工程主体结构备案表</w:t>
      </w:r>
    </w:p>
    <w:p>
      <w:pPr>
        <w:pStyle w:val="3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                    青岛西海岸新区住房和城乡建设局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                              2022年8月 日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2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20" w:lineRule="exact"/>
        <w:ind w:left="0" w:right="0" w:firstLine="42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电动汽车充电设施线缆穿越人防工程主体结构备案表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340" w:lineRule="exact"/>
        <w:ind w:left="0" w:right="0" w:firstLine="42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</w:p>
    <w:tbl>
      <w:tblPr>
        <w:tblStyle w:val="7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7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6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6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548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6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6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备案事项</w:t>
            </w:r>
          </w:p>
        </w:tc>
        <w:tc>
          <w:tcPr>
            <w:tcW w:w="7548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6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线缆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穿越人防主体结构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156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7548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58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本单位主动联系了供电部门、人防工程设计单位确定了人防工程改造方案，安装过程严格按照方案组织施工。施工过程中主动联系人防部门进行现场查看。（内容可参照修改）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580" w:lineRule="exact"/>
              <w:ind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附件:人防工程设计单位出具的《人防工程改造方案》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  <w:jc w:val="center"/>
        </w:trPr>
        <w:tc>
          <w:tcPr>
            <w:tcW w:w="156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6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u w:val="none"/>
                <w:lang w:val="en-US" w:eastAsia="zh-CN"/>
              </w:rPr>
              <w:t>人防工程维护管理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u w:val="none"/>
                <w:lang w:eastAsia="zh-CN"/>
              </w:rPr>
              <w:t>使用单位</w:t>
            </w:r>
          </w:p>
        </w:tc>
        <w:tc>
          <w:tcPr>
            <w:tcW w:w="7548" w:type="dxa"/>
            <w:vAlign w:val="top"/>
          </w:tcPr>
          <w:p>
            <w:pPr>
              <w:pStyle w:val="3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7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人防工程维护管理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使用单位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盖章）：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760" w:lineRule="exact"/>
              <w:ind w:right="0" w:firstLine="2880" w:firstLineChars="9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联系人（签字）：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760" w:lineRule="exact"/>
              <w:ind w:right="0" w:firstLine="2880" w:firstLineChars="9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56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6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7548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right="0" w:firstLine="60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lang w:val="en-US" w:eastAsia="zh-CN"/>
              </w:rPr>
              <w:t>1、从简政便民角度，只要不破坏人防主体结构和防护设备设施，不影响人防工程平战转换和防空效能，无需报请人防部门备案。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360" w:lineRule="exact"/>
              <w:ind w:right="0"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lang w:val="en-US" w:eastAsia="zh-CN"/>
              </w:rPr>
              <w:t>2、因引入外接电源线缆确需穿墙打洞的，填写此表，报人防部门备案。</w:t>
            </w:r>
          </w:p>
        </w:tc>
      </w:tr>
    </w:tbl>
    <w:p>
      <w:pPr>
        <w:pStyle w:val="3"/>
        <w:rPr>
          <w:rFonts w:hint="eastAsia"/>
          <w:color w:val="auto"/>
          <w:lang w:val="en-US" w:eastAsia="zh-CN"/>
        </w:rPr>
      </w:pPr>
    </w:p>
    <w:p>
      <w:pPr>
        <w:rPr>
          <w:color w:val="auto"/>
        </w:rPr>
      </w:pPr>
    </w:p>
    <w:sectPr>
      <w:footerReference r:id="rId3" w:type="default"/>
      <w:pgSz w:w="11906" w:h="16838"/>
      <w:pgMar w:top="1667" w:right="1463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YTM3ZDM1NzJkYmRlYjkxNDMxZjEwNDZiZmFmNWEifQ=="/>
  </w:docVars>
  <w:rsids>
    <w:rsidRoot w:val="4AF26358"/>
    <w:rsid w:val="07E6071B"/>
    <w:rsid w:val="0E1B41F5"/>
    <w:rsid w:val="197A3CAE"/>
    <w:rsid w:val="1D6123C4"/>
    <w:rsid w:val="212D0099"/>
    <w:rsid w:val="215A7C52"/>
    <w:rsid w:val="24C054C2"/>
    <w:rsid w:val="359F2C15"/>
    <w:rsid w:val="4277637B"/>
    <w:rsid w:val="479E002C"/>
    <w:rsid w:val="494E7BD9"/>
    <w:rsid w:val="4AF26358"/>
    <w:rsid w:val="51223397"/>
    <w:rsid w:val="5488648A"/>
    <w:rsid w:val="5D5405DF"/>
    <w:rsid w:val="5E6E7935"/>
    <w:rsid w:val="633F718A"/>
    <w:rsid w:val="679717F2"/>
    <w:rsid w:val="6CA34FC7"/>
    <w:rsid w:val="6CED1199"/>
    <w:rsid w:val="6D52235E"/>
    <w:rsid w:val="6FDA7B18"/>
    <w:rsid w:val="701D41A5"/>
    <w:rsid w:val="77526258"/>
    <w:rsid w:val="791B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adjustRightInd w:val="0"/>
      <w:snapToGrid w:val="0"/>
      <w:spacing w:after="120"/>
    </w:pPr>
    <w:rPr>
      <w:rFonts w:ascii="Cambria" w:hAnsi="Cambria" w:eastAsia="微软雅黑"/>
      <w:kern w:val="0"/>
    </w:rPr>
  </w:style>
  <w:style w:type="paragraph" w:styleId="3">
    <w:name w:val="Body Text 2"/>
    <w:basedOn w:val="1"/>
    <w:qFormat/>
    <w:uiPriority w:val="0"/>
    <w:pPr>
      <w:spacing w:line="360" w:lineRule="exact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1857</Words>
  <Characters>1927</Characters>
  <Lines>0</Lines>
  <Paragraphs>0</Paragraphs>
  <TotalTime>13</TotalTime>
  <ScaleCrop>false</ScaleCrop>
  <LinksUpToDate>false</LinksUpToDate>
  <CharactersWithSpaces>2070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2022-07-07T06:38:00Z</dcterms:created>
  <dc:creator>Administrator</dc:creator>
  <cp:lastModifiedBy>夏天</cp:lastModifiedBy>
  <cp:lastPrinted>2022-08-03T02:42:00Z</cp:lastPrinted>
  <dcterms:modified xsi:type="dcterms:W3CDTF">2022-08-09T01:17:31Z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799053A0D65943AABA9FEE74C3047AF5</vt:lpwstr>
  </property>
</Properties>
</file>