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pacing w:val="-20"/>
          <w:sz w:val="44"/>
          <w:szCs w:val="44"/>
        </w:rPr>
      </w:pPr>
      <w:r>
        <w:rPr>
          <w:rFonts w:hint="eastAsia" w:ascii="方正小标宋_GBK" w:eastAsia="方正小标宋_GBK"/>
          <w:spacing w:val="-20"/>
          <w:sz w:val="44"/>
          <w:szCs w:val="44"/>
        </w:rPr>
        <w:t>风正扬帆 奋勇争先 努力开创海洋发展新局面</w:t>
      </w:r>
    </w:p>
    <w:p>
      <w:pPr>
        <w:spacing w:line="560" w:lineRule="exact"/>
        <w:jc w:val="center"/>
        <w:rPr>
          <w:rFonts w:ascii="楷体" w:hAnsi="楷体" w:eastAsia="楷体"/>
          <w:sz w:val="32"/>
          <w:szCs w:val="32"/>
        </w:rPr>
      </w:pPr>
      <w:r>
        <w:rPr>
          <w:rFonts w:hint="eastAsia" w:ascii="楷体" w:hAnsi="楷体" w:eastAsia="楷体"/>
          <w:sz w:val="32"/>
          <w:szCs w:val="32"/>
        </w:rPr>
        <w:t>----区海洋发展局2019年工作总结</w:t>
      </w:r>
    </w:p>
    <w:p>
      <w:pPr>
        <w:spacing w:line="560" w:lineRule="exact"/>
        <w:ind w:firstLine="480" w:firstLineChars="150"/>
        <w:rPr>
          <w:rFonts w:ascii="黑体" w:hAnsi="黑体" w:eastAsia="黑体"/>
          <w:sz w:val="32"/>
          <w:szCs w:val="32"/>
        </w:rPr>
      </w:pP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2019年机构改革后，区海洋发展局承担了全区海洋经济发展、海域海岛管理、渔业渔政管理等工作。一年来,区海洋发展局立足新定位，承担新使命，奋勇争先，锐意进取，努力开创海洋发展新局面，“2019东亚海洋合作平台·青岛论坛”活动受到龚正省长、王清宪书记肯定性批示，获得“</w:t>
      </w:r>
      <w:r>
        <w:rPr>
          <w:rFonts w:hint="eastAsia" w:ascii="仿宋_GB2312" w:eastAsia="仿宋_GB2312"/>
          <w:sz w:val="32"/>
          <w:szCs w:val="32"/>
        </w:rPr>
        <w:t>青岛市浒苔处置工作先进单位</w:t>
      </w:r>
      <w:r>
        <w:rPr>
          <w:rFonts w:hint="eastAsia" w:ascii="仿宋_GB2312" w:hAnsi="黑体" w:eastAsia="仿宋_GB2312"/>
          <w:sz w:val="32"/>
          <w:szCs w:val="32"/>
        </w:rPr>
        <w:t>”</w:t>
      </w:r>
      <w:r>
        <w:rPr>
          <w:rFonts w:hint="eastAsia" w:ascii="仿宋_GB2312" w:eastAsia="仿宋_GB2312"/>
          <w:sz w:val="32"/>
          <w:szCs w:val="32"/>
        </w:rPr>
        <w:t>、“山东省海洋伏季休渔管理先进集体”等荣誉称号</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一、党建引领，“不忘初心、牢记使命”主题教育见实效</w:t>
      </w:r>
    </w:p>
    <w:p>
      <w:pPr>
        <w:spacing w:line="560" w:lineRule="exact"/>
        <w:ind w:firstLine="640" w:firstLineChars="200"/>
        <w:rPr>
          <w:rFonts w:ascii="仿宋_GB2312" w:hAnsi="仿宋" w:eastAsia="仿宋_GB2312" w:cs="Times New Roman"/>
          <w:sz w:val="32"/>
          <w:szCs w:val="32"/>
        </w:rPr>
      </w:pPr>
      <w:r>
        <w:rPr>
          <w:rFonts w:hint="eastAsia" w:ascii="楷体" w:hAnsi="楷体" w:eastAsia="楷体"/>
          <w:sz w:val="32"/>
          <w:szCs w:val="32"/>
        </w:rPr>
        <w:t>一是落实党建主体责任。</w:t>
      </w:r>
      <w:r>
        <w:rPr>
          <w:rFonts w:hint="eastAsia" w:ascii="仿宋_GB2312" w:eastAsia="仿宋_GB2312"/>
          <w:sz w:val="32"/>
          <w:szCs w:val="32"/>
        </w:rPr>
        <w:t>贯彻落实“党要管党、从严治党”的要求，制定下发《2019年区海洋发展局党建工作要点》，明确工作重点，细化分解任务。制定了《党建工作目标管理考核办法》、《党建工作目标管理考评细则》和《2019年度抓基层党建“三张清单”》。7月成立局机关党委和机关纪委，8月完成基层党支部换届选举工作，新设置2个老干部支部，进一步健全了党的机构设置。加强党员监督管理，新发展党员4名。</w:t>
      </w:r>
      <w:r>
        <w:rPr>
          <w:rFonts w:hint="eastAsia" w:ascii="仿宋_GB2312" w:hAnsi="仿宋" w:eastAsia="仿宋_GB2312"/>
          <w:sz w:val="32"/>
          <w:szCs w:val="32"/>
        </w:rPr>
        <w:t>狠抓党风廉政建设，</w:t>
      </w:r>
      <w:r>
        <w:rPr>
          <w:rFonts w:hint="eastAsia" w:ascii="仿宋_GB2312" w:hAnsi="Calibri" w:eastAsia="仿宋_GB2312"/>
          <w:sz w:val="32"/>
          <w:szCs w:val="44"/>
        </w:rPr>
        <w:t>领导班子带头履行“一岗双责”，</w:t>
      </w:r>
      <w:r>
        <w:rPr>
          <w:rFonts w:hint="eastAsia" w:ascii="仿宋_GB2312" w:hAnsi="仿宋" w:eastAsia="仿宋_GB2312"/>
          <w:sz w:val="32"/>
          <w:szCs w:val="32"/>
        </w:rPr>
        <w:t>落实廉政建设</w:t>
      </w:r>
      <w:r>
        <w:rPr>
          <w:rFonts w:hint="eastAsia" w:ascii="仿宋_GB2312" w:hAnsi="仿宋" w:eastAsia="仿宋_GB2312" w:cs="Times New Roman"/>
          <w:sz w:val="32"/>
          <w:szCs w:val="32"/>
        </w:rPr>
        <w:t>责任清单</w:t>
      </w:r>
      <w:r>
        <w:rPr>
          <w:rFonts w:hint="eastAsia" w:ascii="仿宋_GB2312" w:hAnsi="仿宋" w:eastAsia="仿宋_GB2312"/>
          <w:sz w:val="32"/>
          <w:szCs w:val="32"/>
        </w:rPr>
        <w:t>，层层</w:t>
      </w:r>
      <w:r>
        <w:rPr>
          <w:rFonts w:hint="eastAsia" w:ascii="仿宋_GB2312" w:hAnsi="仿宋" w:eastAsia="仿宋_GB2312" w:cs="Times New Roman"/>
          <w:sz w:val="32"/>
          <w:szCs w:val="32"/>
        </w:rPr>
        <w:t>签订党风廉政建设责任书、承诺书，严格落实党</w:t>
      </w:r>
      <w:r>
        <w:rPr>
          <w:rFonts w:hint="eastAsia" w:ascii="仿宋_GB2312" w:hAnsi="仿宋" w:eastAsia="仿宋_GB2312"/>
          <w:sz w:val="32"/>
          <w:szCs w:val="32"/>
        </w:rPr>
        <w:t>组</w:t>
      </w:r>
      <w:r>
        <w:rPr>
          <w:rFonts w:hint="eastAsia" w:ascii="仿宋_GB2312" w:hAnsi="仿宋" w:eastAsia="仿宋_GB2312" w:cs="Times New Roman"/>
          <w:sz w:val="32"/>
          <w:szCs w:val="32"/>
        </w:rPr>
        <w:t>工作规则和“三重一大”决策制度，以规范议事规则提高科学决策水平。严格执行督查暗访制度、廉政谈话制度等纪检监察工作内部管理制度，加强对党员中央八项规定</w:t>
      </w:r>
      <w:bookmarkStart w:id="0" w:name="_GoBack"/>
      <w:bookmarkEnd w:id="0"/>
      <w:r>
        <w:rPr>
          <w:rFonts w:hint="eastAsia" w:ascii="仿宋_GB2312" w:hAnsi="仿宋" w:eastAsia="仿宋_GB2312" w:cs="Times New Roman"/>
          <w:sz w:val="32"/>
          <w:szCs w:val="32"/>
        </w:rPr>
        <w:t>及“五条禁令”的日常管理监督，推进从严管理党员常态化。</w:t>
      </w:r>
      <w:r>
        <w:rPr>
          <w:rFonts w:hint="eastAsia" w:ascii="仿宋_GB2312" w:hAnsi="仿宋" w:eastAsia="仿宋_GB2312"/>
          <w:sz w:val="32"/>
          <w:szCs w:val="32"/>
        </w:rPr>
        <w:t>针对</w:t>
      </w:r>
      <w:r>
        <w:rPr>
          <w:rFonts w:hint="eastAsia" w:ascii="仿宋_GB2312" w:hAnsi="仿宋" w:eastAsia="仿宋_GB2312" w:cs="Times New Roman"/>
          <w:sz w:val="32"/>
          <w:szCs w:val="32"/>
        </w:rPr>
        <w:t>工委（区委）第二巡察组对原蓝色经济发展中心党组巡察反馈问题，建立“一个问题、一项整改、一名责任领导一抓到底”的工作机制，逐一整改落实、对账销号。</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二是强化政治理论学习，筑牢意识形态根基。</w:t>
      </w:r>
      <w:r>
        <w:rPr>
          <w:rFonts w:hint="eastAsia" w:ascii="仿宋_GB2312" w:eastAsia="仿宋_GB2312"/>
          <w:sz w:val="32"/>
          <w:szCs w:val="32"/>
        </w:rPr>
        <w:t>全局开展学习活动40余场次，讲授党课近30批次。严格落实“三会一课”制度，机关党委每季度对党支部落实“三会一课”制度和“四簿一册”记录检查，评先树优。开展庆祝建党98周年“经略海洋展风采”主题系列活动，组织开展了延时学习、现场教学、专题研讨等一系列活动，营造了良好的学习氛围。安排专人负责，做好“学习强国”学习监督，充分利用好平台进行学习推广，实现了在职人员百分百使用，形成了比学赶超的浓厚学习氛围。</w:t>
      </w:r>
    </w:p>
    <w:p>
      <w:pPr>
        <w:spacing w:line="560" w:lineRule="exact"/>
        <w:ind w:firstLine="640" w:firstLineChars="200"/>
        <w:rPr>
          <w:rFonts w:ascii="黑体" w:hAnsi="黑体" w:eastAsia="黑体"/>
          <w:sz w:val="32"/>
          <w:szCs w:val="32"/>
        </w:rPr>
      </w:pPr>
      <w:r>
        <w:rPr>
          <w:rFonts w:hint="eastAsia" w:ascii="楷体" w:hAnsi="楷体" w:eastAsia="楷体"/>
          <w:sz w:val="32"/>
          <w:szCs w:val="32"/>
        </w:rPr>
        <w:t>三是深入开展</w:t>
      </w:r>
      <w:r>
        <w:rPr>
          <w:rFonts w:hint="eastAsia" w:ascii="楷体" w:hAnsi="楷体" w:eastAsia="楷体" w:cs="仿宋_GB2312"/>
          <w:sz w:val="32"/>
          <w:szCs w:val="32"/>
        </w:rPr>
        <w:t>“不忘初心、牢记使命”主题教育。</w:t>
      </w:r>
      <w:r>
        <w:rPr>
          <w:rFonts w:hint="eastAsia" w:ascii="仿宋_GB2312" w:hAnsi="仿宋_GB2312" w:eastAsia="仿宋_GB2312" w:cs="仿宋_GB2312"/>
          <w:sz w:val="32"/>
          <w:szCs w:val="32"/>
        </w:rPr>
        <w:t>制定</w:t>
      </w:r>
      <w:r>
        <w:rPr>
          <w:rFonts w:hint="eastAsia" w:ascii="仿宋_GB2312" w:eastAsia="仿宋_GB2312"/>
          <w:sz w:val="32"/>
          <w:szCs w:val="32"/>
        </w:rPr>
        <w:t>工作方案，细化工作配档。</w:t>
      </w:r>
      <w:r>
        <w:rPr>
          <w:rFonts w:hint="eastAsia" w:ascii="仿宋_GB2312" w:hAnsi="仿宋_GB2312" w:eastAsia="仿宋_GB2312" w:cs="仿宋_GB2312"/>
          <w:sz w:val="32"/>
          <w:szCs w:val="32"/>
        </w:rPr>
        <w:t>组织开展了主题教育读书班，研读领读原著；组织开展领导班子专题研讨会、“三述”及“三看三问”主题交流会、读书心得交流会，开展应知应会知识考试、观看主题教育专题片、参观红色教育基地、党员主题日等，扎实开展主题教育。围绕</w:t>
      </w:r>
      <w:r>
        <w:rPr>
          <w:rFonts w:hint="eastAsia" w:ascii="仿宋_GB2312" w:hAnsi="仿宋" w:eastAsia="仿宋_GB2312"/>
          <w:sz w:val="32"/>
          <w:szCs w:val="32"/>
        </w:rPr>
        <w:t>机关建设、海洋经济等内容开展调研，形成调研材料15篇。坚持问题导向，建立问题清单台账，在推进海洋经济发展、优化行政审批、解决群众历史遗留问题等工作中取得成效。</w:t>
      </w:r>
      <w:r>
        <w:rPr>
          <w:rFonts w:hint="eastAsia" w:ascii="仿宋_GB2312" w:hAnsi="仿宋" w:eastAsia="仿宋_GB2312" w:cs="Times New Roman"/>
          <w:sz w:val="32"/>
          <w:szCs w:val="32"/>
        </w:rPr>
        <w:t>成立了新时代文明实践志愿服务队，组织科技服务等实践活动6次。</w:t>
      </w:r>
      <w:r>
        <w:rPr>
          <w:rFonts w:hint="eastAsia" w:ascii="仿宋_GB2312" w:eastAsia="仿宋_GB2312"/>
          <w:sz w:val="32"/>
          <w:szCs w:val="32"/>
        </w:rPr>
        <w:t>依托机关5个支部成立5支“双报到”志愿服务队，</w:t>
      </w:r>
      <w:r>
        <w:rPr>
          <w:rFonts w:hint="eastAsia" w:ascii="仿宋_GB2312" w:hAnsi="仿宋" w:eastAsia="仿宋_GB2312"/>
          <w:sz w:val="32"/>
          <w:szCs w:val="32"/>
        </w:rPr>
        <w:t>先后组织了乒乓球比赛、专家义诊等活动，</w:t>
      </w:r>
      <w:r>
        <w:rPr>
          <w:rFonts w:hint="eastAsia" w:ascii="仿宋_GB2312" w:hAnsi="仿宋" w:eastAsia="仿宋_GB2312"/>
          <w:color w:val="000000"/>
          <w:sz w:val="32"/>
          <w:szCs w:val="32"/>
        </w:rPr>
        <w:t>提高了社区党组织与机关党组织结对共建水平。在全区“不忘初心、牢记使命”主题教育推进会上作典型发言。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二、实施“海洋攻势”，全面提升经略海洋能力</w:t>
      </w:r>
    </w:p>
    <w:p>
      <w:pPr>
        <w:spacing w:line="560" w:lineRule="exact"/>
        <w:ind w:firstLine="640" w:firstLineChars="200"/>
        <w:rPr>
          <w:rFonts w:ascii="仿宋_GB2312" w:hAnsi="黑体" w:eastAsia="仿宋_GB2312"/>
          <w:sz w:val="32"/>
          <w:szCs w:val="32"/>
        </w:rPr>
      </w:pPr>
      <w:r>
        <w:rPr>
          <w:rFonts w:hint="eastAsia" w:ascii="楷体" w:hAnsi="楷体" w:eastAsia="楷体" w:cs="Times New Roman"/>
          <w:sz w:val="32"/>
          <w:szCs w:val="32"/>
        </w:rPr>
        <w:t>一是全国区级层面率先制定海洋发展政策。</w:t>
      </w:r>
      <w:r>
        <w:rPr>
          <w:rFonts w:hint="eastAsia" w:ascii="仿宋_GB2312" w:hAnsi="黑体" w:eastAsia="仿宋_GB2312"/>
          <w:sz w:val="32"/>
          <w:szCs w:val="32"/>
        </w:rPr>
        <w:t>研究制定了《关于加快海洋产业强链补链促进海洋经济科学发展的意见》《青岛西海岸新区海洋产业发展指导目录》《关于支持海洋产业强链补链的若干政策》系列政策文件，加快海洋经济更高质量发展。政策文件涵盖海洋规划、产业发展、政策保障等方面，成为全国第一且唯一以区级层面出台的系统完备的海洋经济发展领域专项指导性文件，为促进海洋经济高质量发展，全面提升新区经略海洋能力，为全国沿海地区海洋经济科学发展探索新路径。</w:t>
      </w:r>
    </w:p>
    <w:p>
      <w:pPr>
        <w:spacing w:line="560" w:lineRule="exact"/>
        <w:ind w:firstLine="640" w:firstLineChars="200"/>
        <w:rPr>
          <w:rFonts w:ascii="仿宋_GB2312" w:hAnsi="黑体" w:eastAsia="仿宋_GB2312" w:cs="Times New Roman"/>
          <w:sz w:val="32"/>
          <w:szCs w:val="32"/>
        </w:rPr>
      </w:pPr>
      <w:r>
        <w:rPr>
          <w:rFonts w:hint="eastAsia" w:ascii="楷体" w:hAnsi="楷体" w:eastAsia="楷体" w:cs="Times New Roman"/>
          <w:sz w:val="32"/>
          <w:szCs w:val="32"/>
        </w:rPr>
        <w:t>二是扎实推进“海洋攻势”。</w:t>
      </w:r>
      <w:r>
        <w:rPr>
          <w:rFonts w:hint="eastAsia" w:ascii="仿宋_GB2312" w:hAnsi="黑体" w:eastAsia="仿宋_GB2312" w:cs="Times New Roman"/>
          <w:sz w:val="32"/>
          <w:szCs w:val="32"/>
        </w:rPr>
        <w:t>建立了“海洋攻势”作战指挥体系，主动认领推动1</w:t>
      </w:r>
      <w:r>
        <w:rPr>
          <w:rFonts w:ascii="仿宋_GB2312" w:hAnsi="黑体" w:eastAsia="仿宋_GB2312" w:cs="Times New Roman"/>
          <w:sz w:val="32"/>
          <w:szCs w:val="32"/>
        </w:rPr>
        <w:t>12</w:t>
      </w:r>
      <w:r>
        <w:rPr>
          <w:rFonts w:hint="eastAsia" w:ascii="仿宋_GB2312" w:hAnsi="黑体" w:eastAsia="仿宋_GB2312" w:cs="Times New Roman"/>
          <w:sz w:val="32"/>
          <w:szCs w:val="32"/>
        </w:rPr>
        <w:t>项</w:t>
      </w:r>
      <w:r>
        <w:rPr>
          <w:rFonts w:ascii="仿宋_GB2312" w:hAnsi="黑体" w:eastAsia="仿宋_GB2312" w:cs="Times New Roman"/>
          <w:sz w:val="32"/>
          <w:szCs w:val="32"/>
        </w:rPr>
        <w:t>攻坚任务</w:t>
      </w:r>
      <w:r>
        <w:rPr>
          <w:rFonts w:hint="eastAsia" w:ascii="仿宋_GB2312" w:hAnsi="黑体" w:eastAsia="仿宋_GB2312" w:cs="Times New Roman"/>
          <w:sz w:val="32"/>
          <w:szCs w:val="32"/>
        </w:rPr>
        <w:t>和5</w:t>
      </w:r>
      <w:r>
        <w:rPr>
          <w:rFonts w:ascii="仿宋_GB2312" w:hAnsi="黑体" w:eastAsia="仿宋_GB2312" w:cs="Times New Roman"/>
          <w:sz w:val="32"/>
          <w:szCs w:val="32"/>
        </w:rPr>
        <w:t>5</w:t>
      </w:r>
      <w:r>
        <w:rPr>
          <w:rFonts w:hint="eastAsia" w:ascii="仿宋_GB2312" w:hAnsi="黑体" w:eastAsia="仿宋_GB2312" w:cs="Times New Roman"/>
          <w:sz w:val="32"/>
          <w:szCs w:val="32"/>
        </w:rPr>
        <w:t>项</w:t>
      </w:r>
      <w:r>
        <w:rPr>
          <w:rFonts w:ascii="仿宋_GB2312" w:hAnsi="黑体" w:eastAsia="仿宋_GB2312" w:cs="Times New Roman"/>
          <w:sz w:val="32"/>
          <w:szCs w:val="32"/>
        </w:rPr>
        <w:t>年度重点工作事项，建立</w:t>
      </w:r>
      <w:r>
        <w:rPr>
          <w:rFonts w:hint="eastAsia" w:ascii="仿宋_GB2312" w:hAnsi="黑体" w:eastAsia="仿宋_GB2312" w:cs="Times New Roman"/>
          <w:sz w:val="32"/>
          <w:szCs w:val="32"/>
        </w:rPr>
        <w:t>定期</w:t>
      </w:r>
      <w:r>
        <w:rPr>
          <w:rFonts w:ascii="仿宋_GB2312" w:hAnsi="黑体" w:eastAsia="仿宋_GB2312" w:cs="Times New Roman"/>
          <w:sz w:val="32"/>
          <w:szCs w:val="32"/>
        </w:rPr>
        <w:t>调度机制，</w:t>
      </w:r>
      <w:r>
        <w:rPr>
          <w:rFonts w:hint="eastAsia" w:ascii="仿宋_GB2312" w:hAnsi="黑体" w:eastAsia="仿宋_GB2312" w:cs="Times New Roman"/>
          <w:sz w:val="32"/>
          <w:szCs w:val="32"/>
        </w:rPr>
        <w:t>统筹推进“海洋攻势”作战。目前，2</w:t>
      </w:r>
      <w:r>
        <w:rPr>
          <w:rFonts w:ascii="仿宋_GB2312" w:hAnsi="黑体" w:eastAsia="仿宋_GB2312" w:cs="Times New Roman"/>
          <w:sz w:val="32"/>
          <w:szCs w:val="32"/>
        </w:rPr>
        <w:t>019</w:t>
      </w:r>
      <w:r>
        <w:rPr>
          <w:rFonts w:hint="eastAsia" w:ascii="仿宋_GB2312" w:hAnsi="黑体" w:eastAsia="仿宋_GB2312" w:cs="Times New Roman"/>
          <w:sz w:val="32"/>
          <w:szCs w:val="32"/>
        </w:rPr>
        <w:t>年度重点工作事项基本完成（除需统计数据事项外）</w:t>
      </w:r>
      <w:r>
        <w:rPr>
          <w:rFonts w:ascii="仿宋_GB2312" w:hAnsi="黑体" w:eastAsia="仿宋_GB2312" w:cs="Times New Roman"/>
          <w:sz w:val="32"/>
          <w:szCs w:val="32"/>
        </w:rPr>
        <w:t>。</w:t>
      </w:r>
      <w:r>
        <w:rPr>
          <w:rFonts w:hint="eastAsia" w:ascii="仿宋_GB2312" w:hAnsi="黑体" w:eastAsia="仿宋_GB2312" w:cs="Times New Roman"/>
          <w:sz w:val="32"/>
          <w:szCs w:val="32"/>
        </w:rPr>
        <w:t>以“海洋传统产业走向远海、海洋新兴产业走向深海、海洋服务业走向陆海统筹”为引领，推动新区海洋经济快速高质量发展。总投资690亿元的30个重点海洋项目顺利推进，其中，中船重工（青岛）海洋装备研究院加快建设，中科院青岛科教园、华大基因北方中心项目二期实现主体完工，总投资15亿美元的中国自主集成建造的世界最大吨位级海上浮式生产储卸油装置P70成功完成交付，青岛科海生物有限公司年产1000吨海洋生物提取胶原蛋白肽项目投产运行，聚大洋集团建成世界首家海藻综合加工园区，中国北方（青岛）国际水产品交易中心和冷链物流基地项目一期投产运营，明月海藻集团跨入2019年青岛民营企业制造业10强。</w:t>
      </w:r>
    </w:p>
    <w:p>
      <w:pPr>
        <w:spacing w:line="560" w:lineRule="exact"/>
        <w:ind w:firstLine="640" w:firstLineChars="200"/>
        <w:rPr>
          <w:rFonts w:ascii="仿宋_GB2312" w:eastAsia="仿宋_GB2312"/>
          <w:sz w:val="32"/>
          <w:szCs w:val="32"/>
        </w:rPr>
      </w:pPr>
      <w:r>
        <w:rPr>
          <w:rFonts w:hint="eastAsia" w:ascii="楷体" w:hAnsi="楷体" w:eastAsia="楷体" w:cs="Times New Roman"/>
          <w:sz w:val="32"/>
          <w:szCs w:val="32"/>
        </w:rPr>
        <w:t>三是新增3处国家级海洋牧场。</w:t>
      </w:r>
      <w:r>
        <w:rPr>
          <w:rFonts w:ascii="仿宋_GB2312" w:eastAsia="仿宋_GB2312"/>
          <w:sz w:val="32"/>
          <w:szCs w:val="32"/>
        </w:rPr>
        <w:t>以推进</w:t>
      </w:r>
      <w:r>
        <w:rPr>
          <w:rFonts w:hint="eastAsia" w:ascii="仿宋_GB2312" w:eastAsia="仿宋_GB2312"/>
          <w:sz w:val="32"/>
          <w:szCs w:val="32"/>
        </w:rPr>
        <w:t>斋堂岛、凤凰岛等国家级海洋牧场示范区人工鱼礁项目为抓手，积极推进海洋牧场现代化建设。2019年新申报国家级海洋牧场示范区3处，占青岛申报数的100%，已上报农业农村部，12月底批复。全年完成投资7000万元，投放礁体10万空方，新建海洋牧场观测网1套，海洋牧场智能化、信息化水平逐步完善。截</w:t>
      </w:r>
      <w:r>
        <w:rPr>
          <w:rFonts w:hint="eastAsia" w:ascii="仿宋_GB2312" w:eastAsia="仿宋_GB2312"/>
          <w:sz w:val="32"/>
          <w:szCs w:val="32"/>
          <w:lang w:eastAsia="zh-CN"/>
        </w:rPr>
        <w:t>至</w:t>
      </w:r>
      <w:r>
        <w:rPr>
          <w:rFonts w:hint="eastAsia" w:ascii="仿宋_GB2312" w:eastAsia="仿宋_GB2312"/>
          <w:sz w:val="32"/>
          <w:szCs w:val="32"/>
        </w:rPr>
        <w:t>目前，我区已有国家级海洋牧场10处，占青岛市的77%，形成全省最大规模的海洋牧场产业集群。</w:t>
      </w:r>
    </w:p>
    <w:p>
      <w:pPr>
        <w:spacing w:line="560" w:lineRule="exact"/>
        <w:ind w:firstLine="640" w:firstLineChars="200"/>
        <w:rPr>
          <w:rFonts w:ascii="仿宋_GB2312" w:eastAsia="仿宋_GB2312"/>
          <w:sz w:val="32"/>
          <w:szCs w:val="32"/>
        </w:rPr>
      </w:pPr>
      <w:r>
        <w:rPr>
          <w:rFonts w:ascii="楷体" w:hAnsi="楷体" w:eastAsia="楷体" w:cs="Times New Roman"/>
          <w:sz w:val="32"/>
          <w:szCs w:val="32"/>
        </w:rPr>
        <w:t>四是启动国家级深远海</w:t>
      </w:r>
      <w:r>
        <w:rPr>
          <w:rFonts w:hint="eastAsia" w:ascii="楷体" w:hAnsi="楷体" w:eastAsia="楷体" w:cs="Times New Roman"/>
          <w:sz w:val="32"/>
          <w:szCs w:val="32"/>
        </w:rPr>
        <w:t>养殖试验区建设。</w:t>
      </w:r>
      <w:r>
        <w:rPr>
          <w:rFonts w:hint="eastAsia" w:ascii="仿宋_GB2312" w:eastAsia="仿宋_GB2312"/>
          <w:sz w:val="32"/>
          <w:szCs w:val="32"/>
        </w:rPr>
        <w:t>按照传统产业走向远海的发展思路，着力推动山东深海冷水团公司的“黄海冷水团”绿色养殖项目建设。在深蓝1号成功试验的基础上，开展深蓝2号的建设工作。目前“深蓝2号”已完成网箱制作单位招标、方案设计等工作，年内开工建造。“深蓝2号”大型渔场设计养殖水体14万立方米，可养殖三文鱼3000吨。近岸海洋牧场629公顷海域已完成确权工作，70万尾三文鱼鱼苗正常培育，为深蓝2号顺利养殖打下坚实基础。同时启动编制国家级深远海养殖试验区建设方案，争取年内上报国家批准。</w:t>
      </w:r>
    </w:p>
    <w:p>
      <w:pPr>
        <w:spacing w:line="560" w:lineRule="exact"/>
        <w:ind w:firstLine="640" w:firstLineChars="200"/>
        <w:rPr>
          <w:rFonts w:ascii="仿宋_GB2312" w:eastAsia="仿宋_GB2312"/>
          <w:sz w:val="32"/>
          <w:szCs w:val="32"/>
        </w:rPr>
      </w:pPr>
      <w:r>
        <w:rPr>
          <w:rFonts w:hint="eastAsia" w:ascii="楷体" w:hAnsi="楷体" w:eastAsia="楷体" w:cs="Times New Roman"/>
          <w:sz w:val="32"/>
          <w:szCs w:val="32"/>
        </w:rPr>
        <w:t>五是</w:t>
      </w:r>
      <w:r>
        <w:rPr>
          <w:rFonts w:ascii="楷体" w:hAnsi="楷体" w:eastAsia="楷体" w:cs="Times New Roman"/>
          <w:sz w:val="32"/>
          <w:szCs w:val="32"/>
        </w:rPr>
        <w:t>南鱼北养</w:t>
      </w:r>
      <w:r>
        <w:rPr>
          <w:rFonts w:hint="eastAsia" w:ascii="楷体" w:hAnsi="楷体" w:eastAsia="楷体" w:cs="Times New Roman"/>
          <w:sz w:val="32"/>
          <w:szCs w:val="32"/>
        </w:rPr>
        <w:t>养殖</w:t>
      </w:r>
      <w:r>
        <w:rPr>
          <w:rFonts w:ascii="楷体" w:hAnsi="楷体" w:eastAsia="楷体" w:cs="Times New Roman"/>
          <w:sz w:val="32"/>
          <w:szCs w:val="32"/>
        </w:rPr>
        <w:t>模式青岛首创</w:t>
      </w:r>
      <w:r>
        <w:rPr>
          <w:rFonts w:hint="eastAsia" w:ascii="楷体" w:hAnsi="楷体" w:eastAsia="楷体" w:cs="Times New Roman"/>
          <w:sz w:val="32"/>
          <w:szCs w:val="32"/>
        </w:rPr>
        <w:t>。</w:t>
      </w:r>
      <w:r>
        <w:rPr>
          <w:rFonts w:hint="eastAsia" w:ascii="仿宋_GB2312" w:eastAsia="仿宋_GB2312"/>
          <w:sz w:val="32"/>
          <w:szCs w:val="32"/>
        </w:rPr>
        <w:t>为更好推动深水网箱建设，提升网箱养殖效益，采取“南鱼北养+灯光诱饵”模式，构建绿色产业体系，该模式为青岛市首创。我区投放的5万尾大黄鱼、真鲷等深水网箱养殖品种，已陆续上市销售，效果良好。南鱼北养的成功，进一步带动深水网箱发展，2019年全区新发展深水抗风浪网箱126个，深水抗风浪网箱总数达到400个以上，深水网箱养殖产量达到14800余吨。</w:t>
      </w:r>
    </w:p>
    <w:p>
      <w:pPr>
        <w:spacing w:line="560" w:lineRule="exact"/>
        <w:ind w:firstLine="640" w:firstLineChars="200"/>
        <w:rPr>
          <w:rFonts w:ascii="仿宋_GB2312" w:hAnsi="Calibri" w:eastAsia="仿宋_GB2312" w:cs="Times New Roman"/>
          <w:sz w:val="32"/>
          <w:szCs w:val="32"/>
        </w:rPr>
      </w:pPr>
      <w:r>
        <w:rPr>
          <w:rFonts w:hint="eastAsia" w:ascii="楷体" w:hAnsi="楷体" w:eastAsia="楷体" w:cs="Times New Roman"/>
          <w:sz w:val="32"/>
          <w:szCs w:val="32"/>
        </w:rPr>
        <w:t>六是海洋科技推广工作亮点纷呈。</w:t>
      </w:r>
      <w:r>
        <w:rPr>
          <w:rFonts w:hint="eastAsia" w:ascii="仿宋_GB2312" w:hAnsi="Calibri" w:eastAsia="仿宋_GB2312" w:cs="Times New Roman"/>
          <w:sz w:val="32"/>
          <w:szCs w:val="32"/>
        </w:rPr>
        <w:t>引进了以中科院国家海洋大科学研究中心、中船重工海洋装备研究院为代表的</w:t>
      </w:r>
      <w:r>
        <w:rPr>
          <w:rFonts w:ascii="仿宋_GB2312" w:hAnsi="Calibri" w:eastAsia="仿宋_GB2312" w:cs="Times New Roman"/>
          <w:sz w:val="32"/>
          <w:szCs w:val="32"/>
        </w:rPr>
        <w:t>10</w:t>
      </w:r>
      <w:r>
        <w:rPr>
          <w:rFonts w:hint="eastAsia" w:ascii="仿宋_GB2312" w:hAnsi="Calibri" w:eastAsia="仿宋_GB2312" w:cs="Times New Roman"/>
          <w:sz w:val="32"/>
          <w:szCs w:val="32"/>
        </w:rPr>
        <w:t>余个</w:t>
      </w:r>
      <w:r>
        <w:rPr>
          <w:rFonts w:ascii="仿宋_GB2312" w:hAnsi="Calibri" w:eastAsia="仿宋_GB2312" w:cs="Times New Roman"/>
          <w:sz w:val="32"/>
          <w:szCs w:val="32"/>
        </w:rPr>
        <w:t>“</w:t>
      </w:r>
      <w:r>
        <w:rPr>
          <w:rFonts w:hint="eastAsia" w:ascii="仿宋_GB2312" w:hAnsi="Calibri" w:eastAsia="仿宋_GB2312" w:cs="Times New Roman"/>
          <w:sz w:val="32"/>
          <w:szCs w:val="32"/>
        </w:rPr>
        <w:t>中字头</w:t>
      </w:r>
      <w:r>
        <w:rPr>
          <w:rFonts w:ascii="仿宋_GB2312" w:hAnsi="Calibri" w:eastAsia="仿宋_GB2312" w:cs="Times New Roman"/>
          <w:sz w:val="32"/>
          <w:szCs w:val="32"/>
        </w:rPr>
        <w:t>”</w:t>
      </w:r>
      <w:r>
        <w:rPr>
          <w:rFonts w:hint="eastAsia" w:ascii="仿宋_GB2312" w:hAnsi="Calibri" w:eastAsia="仿宋_GB2312" w:cs="Times New Roman"/>
          <w:sz w:val="32"/>
          <w:szCs w:val="32"/>
        </w:rPr>
        <w:t>海洋科研平台，海藻活性物质国家重点实验室、国家海洋基因库等一批</w:t>
      </w:r>
      <w:r>
        <w:rPr>
          <w:rFonts w:ascii="仿宋_GB2312" w:hAnsi="Calibri" w:eastAsia="仿宋_GB2312" w:cs="Times New Roman"/>
          <w:sz w:val="32"/>
          <w:szCs w:val="32"/>
        </w:rPr>
        <w:t>“</w:t>
      </w:r>
      <w:r>
        <w:rPr>
          <w:rFonts w:hint="eastAsia" w:ascii="仿宋_GB2312" w:hAnsi="Calibri" w:eastAsia="仿宋_GB2312" w:cs="Times New Roman"/>
          <w:sz w:val="32"/>
          <w:szCs w:val="32"/>
        </w:rPr>
        <w:t>国字号</w:t>
      </w:r>
      <w:r>
        <w:rPr>
          <w:rFonts w:ascii="仿宋_GB2312" w:hAnsi="Calibri" w:eastAsia="仿宋_GB2312" w:cs="Times New Roman"/>
          <w:sz w:val="32"/>
          <w:szCs w:val="32"/>
        </w:rPr>
        <w:t>”</w:t>
      </w:r>
      <w:r>
        <w:rPr>
          <w:rFonts w:hint="eastAsia" w:ascii="仿宋_GB2312" w:hAnsi="Calibri" w:eastAsia="仿宋_GB2312" w:cs="Times New Roman"/>
          <w:sz w:val="32"/>
          <w:szCs w:val="32"/>
        </w:rPr>
        <w:t>科研平台先后投入使用，市级以上涉海重点</w:t>
      </w:r>
      <w:r>
        <w:rPr>
          <w:rFonts w:ascii="仿宋_GB2312" w:hAnsi="Calibri" w:eastAsia="仿宋_GB2312" w:cs="Times New Roman"/>
          <w:sz w:val="32"/>
          <w:szCs w:val="32"/>
        </w:rPr>
        <w:t>(</w:t>
      </w:r>
      <w:r>
        <w:rPr>
          <w:rFonts w:hint="eastAsia" w:ascii="仿宋_GB2312" w:hAnsi="Calibri" w:eastAsia="仿宋_GB2312" w:cs="Times New Roman"/>
          <w:sz w:val="32"/>
          <w:szCs w:val="32"/>
        </w:rPr>
        <w:t>工程</w:t>
      </w:r>
      <w:r>
        <w:rPr>
          <w:rFonts w:ascii="仿宋_GB2312" w:hAnsi="Calibri" w:eastAsia="仿宋_GB2312" w:cs="Times New Roman"/>
          <w:sz w:val="32"/>
          <w:szCs w:val="32"/>
        </w:rPr>
        <w:t>)</w:t>
      </w:r>
      <w:r>
        <w:rPr>
          <w:rFonts w:hint="eastAsia" w:ascii="仿宋_GB2312" w:hAnsi="Calibri" w:eastAsia="仿宋_GB2312" w:cs="Times New Roman"/>
          <w:sz w:val="32"/>
          <w:szCs w:val="32"/>
        </w:rPr>
        <w:t>实验室、工程</w:t>
      </w:r>
      <w:r>
        <w:rPr>
          <w:rFonts w:ascii="仿宋_GB2312" w:hAnsi="Calibri" w:eastAsia="仿宋_GB2312" w:cs="Times New Roman"/>
          <w:sz w:val="32"/>
          <w:szCs w:val="32"/>
        </w:rPr>
        <w:t>(</w:t>
      </w:r>
      <w:r>
        <w:rPr>
          <w:rFonts w:hint="eastAsia" w:ascii="仿宋_GB2312" w:hAnsi="Calibri" w:eastAsia="仿宋_GB2312" w:cs="Times New Roman"/>
          <w:sz w:val="32"/>
          <w:szCs w:val="32"/>
        </w:rPr>
        <w:t>技术</w:t>
      </w:r>
      <w:r>
        <w:rPr>
          <w:rFonts w:ascii="仿宋_GB2312" w:hAnsi="Calibri" w:eastAsia="仿宋_GB2312" w:cs="Times New Roman"/>
          <w:sz w:val="32"/>
          <w:szCs w:val="32"/>
        </w:rPr>
        <w:t>)</w:t>
      </w:r>
      <w:r>
        <w:rPr>
          <w:rFonts w:hint="eastAsia" w:ascii="仿宋_GB2312" w:hAnsi="Calibri" w:eastAsia="仿宋_GB2312" w:cs="Times New Roman"/>
          <w:sz w:val="32"/>
          <w:szCs w:val="32"/>
        </w:rPr>
        <w:t>研究中心、企业技术中心等高端创新平台达到</w:t>
      </w:r>
      <w:r>
        <w:rPr>
          <w:rFonts w:ascii="仿宋_GB2312" w:hAnsi="Calibri" w:eastAsia="仿宋_GB2312" w:cs="Times New Roman"/>
          <w:sz w:val="32"/>
          <w:szCs w:val="32"/>
        </w:rPr>
        <w:t>75</w:t>
      </w:r>
      <w:r>
        <w:rPr>
          <w:rFonts w:hint="eastAsia" w:ascii="仿宋_GB2312" w:hAnsi="Calibri" w:eastAsia="仿宋_GB2312" w:cs="Times New Roman"/>
          <w:sz w:val="32"/>
          <w:szCs w:val="32"/>
        </w:rPr>
        <w:t>家。举办了中国科学院</w:t>
      </w:r>
      <w:r>
        <w:rPr>
          <w:rFonts w:ascii="仿宋_GB2312" w:hAnsi="Calibri" w:eastAsia="仿宋_GB2312" w:cs="Times New Roman"/>
          <w:sz w:val="32"/>
          <w:szCs w:val="32"/>
        </w:rPr>
        <w:t>-</w:t>
      </w:r>
      <w:r>
        <w:rPr>
          <w:rFonts w:hint="eastAsia" w:ascii="仿宋_GB2312" w:hAnsi="Calibri" w:eastAsia="仿宋_GB2312" w:cs="Times New Roman"/>
          <w:sz w:val="32"/>
          <w:szCs w:val="32"/>
        </w:rPr>
        <w:t>山东省科技成果转化对接会、创新企业家专委会</w:t>
      </w:r>
      <w:r>
        <w:rPr>
          <w:rFonts w:ascii="仿宋_GB2312" w:hAnsi="Calibri" w:eastAsia="仿宋_GB2312" w:cs="Times New Roman"/>
          <w:sz w:val="32"/>
          <w:szCs w:val="32"/>
        </w:rPr>
        <w:t>2019</w:t>
      </w:r>
      <w:r>
        <w:rPr>
          <w:rFonts w:hint="eastAsia" w:ascii="仿宋_GB2312" w:hAnsi="Calibri" w:eastAsia="仿宋_GB2312" w:cs="Times New Roman"/>
          <w:sz w:val="32"/>
          <w:szCs w:val="32"/>
        </w:rPr>
        <w:t>年会等</w:t>
      </w:r>
      <w:r>
        <w:rPr>
          <w:rFonts w:ascii="仿宋_GB2312" w:hAnsi="Calibri" w:eastAsia="仿宋_GB2312" w:cs="Times New Roman"/>
          <w:sz w:val="32"/>
          <w:szCs w:val="32"/>
        </w:rPr>
        <w:t>20</w:t>
      </w:r>
      <w:r>
        <w:rPr>
          <w:rFonts w:hint="eastAsia" w:ascii="仿宋_GB2312" w:hAnsi="Calibri" w:eastAsia="仿宋_GB2312" w:cs="Times New Roman"/>
          <w:sz w:val="32"/>
          <w:szCs w:val="32"/>
        </w:rPr>
        <w:t>余次研企交流活动，发布海洋科技成果</w:t>
      </w:r>
      <w:r>
        <w:rPr>
          <w:rFonts w:ascii="仿宋_GB2312" w:hAnsi="Calibri" w:eastAsia="仿宋_GB2312" w:cs="Times New Roman"/>
          <w:sz w:val="32"/>
          <w:szCs w:val="32"/>
        </w:rPr>
        <w:t>200</w:t>
      </w:r>
      <w:r>
        <w:rPr>
          <w:rFonts w:hint="eastAsia" w:ascii="仿宋_GB2312" w:hAnsi="Calibri" w:eastAsia="仿宋_GB2312" w:cs="Times New Roman"/>
          <w:sz w:val="32"/>
          <w:szCs w:val="32"/>
        </w:rPr>
        <w:t>余项，达成合作意向</w:t>
      </w:r>
      <w:r>
        <w:rPr>
          <w:rFonts w:ascii="仿宋_GB2312" w:hAnsi="Calibri" w:eastAsia="仿宋_GB2312" w:cs="Times New Roman"/>
          <w:sz w:val="32"/>
          <w:szCs w:val="32"/>
        </w:rPr>
        <w:t>50</w:t>
      </w:r>
      <w:r>
        <w:rPr>
          <w:rFonts w:hint="eastAsia" w:ascii="仿宋_GB2312" w:hAnsi="Calibri" w:eastAsia="仿宋_GB2312" w:cs="Times New Roman"/>
          <w:sz w:val="32"/>
          <w:szCs w:val="32"/>
        </w:rPr>
        <w:t>余项，加快海洋科技成果落地转化。靶向海工装备、海洋生物、海洋新材料等产业需求，通过中科院海洋大科学研究中心等大平台协作攻关，组织实施关键技术攻关</w:t>
      </w:r>
      <w:r>
        <w:rPr>
          <w:rFonts w:ascii="仿宋_GB2312" w:hAnsi="Calibri" w:eastAsia="仿宋_GB2312" w:cs="Times New Roman"/>
          <w:sz w:val="32"/>
          <w:szCs w:val="32"/>
        </w:rPr>
        <w:t>100余项，20余项技术达到国际国内领先水平。</w:t>
      </w:r>
    </w:p>
    <w:p>
      <w:pPr>
        <w:spacing w:line="560" w:lineRule="exact"/>
        <w:ind w:firstLine="640" w:firstLineChars="200"/>
        <w:jc w:val="left"/>
        <w:rPr>
          <w:rFonts w:ascii="楷体" w:hAnsi="楷体" w:eastAsia="楷体" w:cs="楷体"/>
          <w:bCs/>
          <w:color w:val="000000"/>
          <w:sz w:val="32"/>
          <w:szCs w:val="32"/>
        </w:rPr>
      </w:pPr>
      <w:r>
        <w:rPr>
          <w:rFonts w:hint="eastAsia" w:ascii="楷体" w:hAnsi="楷体" w:eastAsia="楷体" w:cs="Times New Roman"/>
          <w:sz w:val="32"/>
          <w:szCs w:val="32"/>
        </w:rPr>
        <w:t>七是“双招双引”促增量发展。</w:t>
      </w:r>
      <w:r>
        <w:rPr>
          <w:rFonts w:hint="eastAsia" w:ascii="仿宋_GB2312" w:eastAsia="仿宋_GB2312"/>
          <w:sz w:val="32"/>
          <w:szCs w:val="32"/>
        </w:rPr>
        <w:t>有序推进海工装备产业链、海洋经济产业集群招商。研</w:t>
      </w:r>
      <w:r>
        <w:rPr>
          <w:rFonts w:hint="eastAsia" w:ascii="仿宋_GB2312" w:hAnsi="仿宋_GB2312" w:eastAsia="仿宋_GB2312" w:cs="仿宋_GB2312"/>
          <w:bCs/>
          <w:color w:val="000000"/>
          <w:sz w:val="32"/>
          <w:szCs w:val="32"/>
        </w:rPr>
        <w:t>究起草了《海洋经济产业集群招商工作行动方案》、《新区海洋工程装备产业链招商工作行动方案》，积极推进自贸区海洋产业招商，</w:t>
      </w:r>
      <w:r>
        <w:rPr>
          <w:rFonts w:hint="eastAsia" w:ascii="Times New Roman" w:hAnsi="Times New Roman" w:eastAsia="仿宋_GB2312" w:cs="Times New Roman"/>
          <w:color w:val="000000"/>
          <w:sz w:val="32"/>
          <w:szCs w:val="32"/>
        </w:rPr>
        <w:t>重点开展船舶海工、海洋渔业、海洋生物医药等产业招商，</w:t>
      </w:r>
      <w:r>
        <w:rPr>
          <w:rFonts w:hint="eastAsia" w:ascii="仿宋_GB2312" w:hAnsi="仿宋_GB2312" w:eastAsia="仿宋_GB2312" w:cs="仿宋_GB2312"/>
          <w:bCs/>
          <w:color w:val="000000"/>
          <w:sz w:val="32"/>
          <w:szCs w:val="32"/>
        </w:rPr>
        <w:t>截至目前，已在自贸区成功注册21家，正在办理注册8家，有意向注册企业20余家。年内将完成外资到账650万元，完成内资招商任务</w:t>
      </w:r>
      <w:r>
        <w:rPr>
          <w:rFonts w:ascii="仿宋_GB2312" w:hAnsi="仿宋_GB2312" w:eastAsia="仿宋_GB2312" w:cs="仿宋_GB2312"/>
          <w:bCs/>
          <w:color w:val="000000"/>
          <w:sz w:val="32"/>
          <w:szCs w:val="32"/>
        </w:rPr>
        <w:t>5000</w:t>
      </w:r>
      <w:r>
        <w:rPr>
          <w:rFonts w:hint="eastAsia" w:ascii="仿宋_GB2312" w:hAnsi="仿宋_GB2312" w:eastAsia="仿宋_GB2312" w:cs="仿宋_GB2312"/>
          <w:bCs/>
          <w:color w:val="000000"/>
          <w:sz w:val="32"/>
          <w:szCs w:val="32"/>
        </w:rPr>
        <w:t>万元。积极开展新区涉海人才信息调查摸底工作，梳理海洋领域人才</w:t>
      </w:r>
      <w:r>
        <w:rPr>
          <w:rFonts w:ascii="仿宋_GB2312" w:hAnsi="仿宋_GB2312" w:eastAsia="仿宋_GB2312" w:cs="仿宋_GB2312"/>
          <w:bCs/>
          <w:color w:val="000000"/>
          <w:sz w:val="32"/>
          <w:szCs w:val="32"/>
        </w:rPr>
        <w:t>31017</w:t>
      </w:r>
      <w:r>
        <w:rPr>
          <w:rFonts w:hint="eastAsia" w:ascii="仿宋_GB2312" w:hAnsi="仿宋_GB2312" w:eastAsia="仿宋_GB2312" w:cs="仿宋_GB2312"/>
          <w:bCs/>
          <w:color w:val="000000"/>
          <w:sz w:val="32"/>
          <w:szCs w:val="32"/>
        </w:rPr>
        <w:t>人。发挥中科院海洋大科学研究中心</w:t>
      </w:r>
      <w:r>
        <w:rPr>
          <w:rFonts w:ascii="仿宋_GB2312" w:hAnsi="仿宋_GB2312" w:eastAsia="仿宋_GB2312" w:cs="仿宋_GB2312"/>
          <w:bCs/>
          <w:color w:val="000000"/>
          <w:sz w:val="32"/>
          <w:szCs w:val="32"/>
        </w:rPr>
        <w:t>13</w:t>
      </w:r>
      <w:r>
        <w:rPr>
          <w:rFonts w:hint="eastAsia" w:ascii="仿宋_GB2312" w:hAnsi="仿宋_GB2312" w:eastAsia="仿宋_GB2312" w:cs="仿宋_GB2312"/>
          <w:bCs/>
          <w:color w:val="000000"/>
          <w:sz w:val="32"/>
          <w:szCs w:val="32"/>
        </w:rPr>
        <w:t>个“中科系”海洋科技成果平台优势，形成</w:t>
      </w:r>
      <w:r>
        <w:rPr>
          <w:rFonts w:ascii="仿宋_GB2312" w:hAnsi="仿宋_GB2312" w:eastAsia="仿宋_GB2312" w:cs="仿宋_GB2312"/>
          <w:bCs/>
          <w:color w:val="000000"/>
          <w:sz w:val="32"/>
          <w:szCs w:val="32"/>
        </w:rPr>
        <w:t>320</w:t>
      </w:r>
      <w:r>
        <w:rPr>
          <w:rFonts w:hint="eastAsia" w:ascii="仿宋_GB2312" w:hAnsi="仿宋_GB2312" w:eastAsia="仿宋_GB2312" w:cs="仿宋_GB2312"/>
          <w:bCs/>
          <w:color w:val="000000"/>
          <w:sz w:val="32"/>
          <w:szCs w:val="32"/>
        </w:rPr>
        <w:t>多项海洋科技成果汇编。积极组织</w:t>
      </w:r>
      <w:r>
        <w:rPr>
          <w:rFonts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rPr>
        <w:t>家企业申报海洋工程技术协同创新中心，全部入围。引进成立了新区首家混合所有制公司</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青岛东亚国际博览有限公司，实现了历史性突破。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三、强化海域管理，高效服务新区经济发展</w:t>
      </w:r>
    </w:p>
    <w:p>
      <w:pPr>
        <w:spacing w:line="560" w:lineRule="exact"/>
        <w:ind w:firstLine="640" w:firstLineChars="200"/>
        <w:rPr>
          <w:rFonts w:ascii="Calibri" w:hAnsi="Calibri" w:eastAsia="仿宋_GB2312" w:cs="Times New Roman"/>
        </w:rPr>
      </w:pPr>
      <w:r>
        <w:rPr>
          <w:rFonts w:hint="eastAsia" w:ascii="楷体" w:hAnsi="楷体" w:eastAsia="楷体" w:cs="Times New Roman"/>
          <w:sz w:val="32"/>
          <w:szCs w:val="32"/>
        </w:rPr>
        <w:t>一是大力解决历史遗留问题，全力保障用海项目建设。</w:t>
      </w:r>
      <w:r>
        <w:rPr>
          <w:rStyle w:val="10"/>
          <w:rFonts w:hint="eastAsia" w:ascii="仿宋_GB2312" w:hAnsi="仿宋_GB2312" w:eastAsia="仿宋_GB2312" w:cs="Times New Roman"/>
          <w:sz w:val="32"/>
          <w:szCs w:val="32"/>
        </w:rPr>
        <w:t>2</w:t>
      </w:r>
      <w:r>
        <w:rPr>
          <w:rStyle w:val="10"/>
          <w:rFonts w:ascii="仿宋_GB2312" w:hAnsi="仿宋_GB2312" w:eastAsia="仿宋_GB2312" w:cs="Times New Roman"/>
          <w:sz w:val="32"/>
          <w:szCs w:val="32"/>
        </w:rPr>
        <w:t>018</w:t>
      </w:r>
      <w:r>
        <w:rPr>
          <w:rStyle w:val="10"/>
          <w:rFonts w:hint="eastAsia" w:ascii="仿宋_GB2312" w:hAnsi="仿宋_GB2312" w:eastAsia="仿宋_GB2312" w:cs="Times New Roman"/>
          <w:sz w:val="32"/>
          <w:szCs w:val="32"/>
        </w:rPr>
        <w:t>年国务院《关于加强滨海湿地保护严格管控围填海的通知》(国务院24号文）颁布以来，各级海域管理部门严控新增用海项目。为解决我区用海项目审批瓶颈，保障重点用海项目尽快落地，</w:t>
      </w:r>
      <w:r>
        <w:rPr>
          <w:rStyle w:val="10"/>
          <w:rFonts w:ascii="仿宋_GB2312" w:hAnsi="仿宋_GB2312" w:eastAsia="仿宋_GB2312" w:cs="Times New Roman"/>
          <w:sz w:val="32"/>
          <w:szCs w:val="32"/>
        </w:rPr>
        <w:t>完成</w:t>
      </w:r>
      <w:r>
        <w:rPr>
          <w:rStyle w:val="10"/>
          <w:rFonts w:hint="eastAsia" w:ascii="仿宋_GB2312" w:hAnsi="仿宋_GB2312" w:eastAsia="仿宋_GB2312" w:cs="Times New Roman"/>
          <w:sz w:val="32"/>
          <w:szCs w:val="32"/>
        </w:rPr>
        <w:t>了全区1</w:t>
      </w:r>
      <w:r>
        <w:rPr>
          <w:rStyle w:val="10"/>
          <w:rFonts w:ascii="仿宋_GB2312" w:hAnsi="仿宋_GB2312" w:eastAsia="仿宋_GB2312" w:cs="Times New Roman"/>
          <w:sz w:val="32"/>
          <w:szCs w:val="32"/>
        </w:rPr>
        <w:t>58</w:t>
      </w:r>
      <w:r>
        <w:rPr>
          <w:rStyle w:val="10"/>
          <w:rFonts w:hint="eastAsia" w:ascii="仿宋_GB2312" w:hAnsi="仿宋_GB2312" w:eastAsia="仿宋_GB2312" w:cs="Times New Roman"/>
          <w:sz w:val="32"/>
          <w:szCs w:val="32"/>
        </w:rPr>
        <w:t>个历史遗留问题图斑的</w:t>
      </w:r>
      <w:r>
        <w:rPr>
          <w:rStyle w:val="10"/>
          <w:rFonts w:ascii="仿宋_GB2312" w:hAnsi="仿宋_GB2312" w:eastAsia="仿宋_GB2312" w:cs="Times New Roman"/>
          <w:sz w:val="32"/>
          <w:szCs w:val="32"/>
        </w:rPr>
        <w:t>生态评估</w:t>
      </w:r>
      <w:r>
        <w:rPr>
          <w:rStyle w:val="10"/>
          <w:rFonts w:hint="eastAsia" w:ascii="仿宋_GB2312" w:hAnsi="仿宋_GB2312" w:eastAsia="仿宋_GB2312" w:cs="Times New Roman"/>
          <w:sz w:val="32"/>
          <w:szCs w:val="32"/>
        </w:rPr>
        <w:t>和</w:t>
      </w:r>
      <w:r>
        <w:rPr>
          <w:rStyle w:val="10"/>
          <w:rFonts w:ascii="仿宋_GB2312" w:hAnsi="仿宋_GB2312" w:eastAsia="仿宋_GB2312" w:cs="Times New Roman"/>
          <w:sz w:val="32"/>
          <w:szCs w:val="32"/>
        </w:rPr>
        <w:t>生态修复方案</w:t>
      </w:r>
      <w:r>
        <w:rPr>
          <w:rStyle w:val="10"/>
          <w:rFonts w:hint="eastAsia" w:ascii="仿宋_GB2312" w:hAnsi="仿宋_GB2312" w:eastAsia="仿宋_GB2312" w:cs="Times New Roman"/>
          <w:sz w:val="32"/>
          <w:szCs w:val="32"/>
        </w:rPr>
        <w:t>的完成</w:t>
      </w:r>
      <w:r>
        <w:rPr>
          <w:rStyle w:val="10"/>
          <w:rFonts w:ascii="仿宋_GB2312" w:hAnsi="仿宋_GB2312" w:eastAsia="仿宋_GB2312" w:cs="Times New Roman"/>
          <w:sz w:val="32"/>
          <w:szCs w:val="32"/>
        </w:rPr>
        <w:t>编制、上报</w:t>
      </w:r>
      <w:r>
        <w:rPr>
          <w:rStyle w:val="10"/>
          <w:rFonts w:hint="eastAsia" w:ascii="仿宋_GB2312" w:hAnsi="仿宋_GB2312" w:eastAsia="仿宋_GB2312" w:cs="Times New Roman"/>
          <w:sz w:val="32"/>
          <w:szCs w:val="32"/>
        </w:rPr>
        <w:t>和</w:t>
      </w:r>
      <w:r>
        <w:rPr>
          <w:rStyle w:val="10"/>
          <w:rFonts w:ascii="仿宋_GB2312" w:hAnsi="仿宋_GB2312" w:eastAsia="仿宋_GB2312" w:cs="Times New Roman"/>
          <w:sz w:val="32"/>
          <w:szCs w:val="32"/>
        </w:rPr>
        <w:t>评审</w:t>
      </w:r>
      <w:r>
        <w:rPr>
          <w:rStyle w:val="10"/>
          <w:rFonts w:hint="eastAsia" w:ascii="仿宋_GB2312" w:hAnsi="仿宋_GB2312" w:eastAsia="仿宋_GB2312" w:cs="Times New Roman"/>
          <w:sz w:val="32"/>
          <w:szCs w:val="32"/>
        </w:rPr>
        <w:t>工作</w:t>
      </w:r>
      <w:r>
        <w:rPr>
          <w:rStyle w:val="10"/>
          <w:rFonts w:ascii="仿宋_GB2312" w:hAnsi="仿宋_GB2312" w:eastAsia="仿宋_GB2312" w:cs="Times New Roman"/>
          <w:sz w:val="32"/>
          <w:szCs w:val="32"/>
        </w:rPr>
        <w:t>，处理意见已逐级上报</w:t>
      </w:r>
      <w:r>
        <w:rPr>
          <w:rStyle w:val="10"/>
          <w:rFonts w:hint="eastAsia" w:ascii="仿宋_GB2312" w:hAnsi="仿宋_GB2312" w:eastAsia="仿宋_GB2312" w:cs="Times New Roman"/>
          <w:sz w:val="32"/>
          <w:szCs w:val="32"/>
        </w:rPr>
        <w:t>。目前，</w:t>
      </w:r>
      <w:r>
        <w:rPr>
          <w:rStyle w:val="10"/>
          <w:rFonts w:ascii="仿宋_GB2312" w:hAnsi="仿宋_GB2312" w:eastAsia="仿宋_GB2312" w:cs="Times New Roman"/>
          <w:sz w:val="32"/>
          <w:szCs w:val="32"/>
        </w:rPr>
        <w:t>19宗已确权未完成围填海项目</w:t>
      </w:r>
      <w:r>
        <w:rPr>
          <w:rStyle w:val="10"/>
          <w:rFonts w:hint="eastAsia" w:ascii="仿宋_GB2312" w:hAnsi="仿宋_GB2312" w:eastAsia="仿宋_GB2312" w:cs="Times New Roman"/>
          <w:sz w:val="32"/>
          <w:szCs w:val="32"/>
        </w:rPr>
        <w:t>的</w:t>
      </w:r>
      <w:r>
        <w:rPr>
          <w:rStyle w:val="10"/>
          <w:rFonts w:ascii="仿宋_GB2312" w:hAnsi="仿宋_GB2312" w:eastAsia="仿宋_GB2312" w:cs="Times New Roman"/>
          <w:sz w:val="32"/>
          <w:szCs w:val="32"/>
        </w:rPr>
        <w:t>生态建设方案编制，并通过了自然资源部备案</w:t>
      </w:r>
      <w:r>
        <w:rPr>
          <w:rStyle w:val="10"/>
          <w:rFonts w:hint="eastAsia" w:ascii="仿宋_GB2312" w:hAnsi="仿宋_GB2312" w:eastAsia="仿宋_GB2312" w:cs="Times New Roman"/>
          <w:sz w:val="32"/>
          <w:szCs w:val="32"/>
        </w:rPr>
        <w:t>。同时，对未确权历史遗留问题图斑逐一审查，确定涉海项目历史遗留问题图斑52个，涉及图斑面积406.704公顷，共解决20个项目用海，待我区历史遗留问题处置方案报自然资源部备案通过后，即可启动用海审批程序，为新区海洋经济的发展提供空间助力。</w:t>
      </w:r>
    </w:p>
    <w:p>
      <w:pPr>
        <w:spacing w:line="560" w:lineRule="exact"/>
        <w:ind w:firstLine="640" w:firstLineChars="200"/>
        <w:rPr>
          <w:rFonts w:ascii="仿宋_GB2312" w:eastAsia="仿宋_GB2312"/>
          <w:sz w:val="32"/>
          <w:szCs w:val="32"/>
        </w:rPr>
      </w:pPr>
      <w:r>
        <w:rPr>
          <w:rFonts w:hint="eastAsia" w:ascii="楷体" w:hAnsi="楷体" w:eastAsia="楷体" w:cs="Times New Roman"/>
          <w:sz w:val="32"/>
          <w:szCs w:val="32"/>
        </w:rPr>
        <w:t>二是打造海洋综合管控“蓝色天网”。</w:t>
      </w:r>
      <w:r>
        <w:rPr>
          <w:rFonts w:hint="eastAsia" w:ascii="仿宋_GB2312" w:eastAsia="仿宋_GB2312"/>
          <w:sz w:val="32"/>
          <w:szCs w:val="32"/>
        </w:rPr>
        <w:t>建设海洋综合管控“蓝色天网”，是利用现代信息手段，实现对我区滨海岸线及部分海域的视频采集，同时建立收集、整合、分析海洋信息数据的框架体系，建成智慧海洋管理平台，</w:t>
      </w:r>
      <w:r>
        <w:rPr>
          <w:rFonts w:hint="eastAsia" w:ascii="仿宋_GB2312" w:hAnsi="Calibri" w:eastAsia="仿宋_GB2312"/>
          <w:sz w:val="32"/>
          <w:szCs w:val="32"/>
        </w:rPr>
        <w:t>实现海洋“一张图”管理；建设近岸海域视频监控网；加强海上目标探测能力建设；分步骤建设海洋环境监测网；建成海洋大数据中心；构建面向社会公众的海洋信息服务体系。</w:t>
      </w:r>
      <w:r>
        <w:rPr>
          <w:rFonts w:hint="eastAsia" w:ascii="仿宋_GB2312" w:eastAsia="仿宋_GB2312"/>
          <w:sz w:val="32"/>
          <w:szCs w:val="32"/>
        </w:rPr>
        <w:t>在全国层面实现了三个“率先”：率先打破海洋数据“信息烟囱”，率先实现海洋管理“一张图”，率先建成海洋综合管控“蓝色天网”。</w:t>
      </w:r>
    </w:p>
    <w:p>
      <w:pPr>
        <w:spacing w:line="560" w:lineRule="exact"/>
        <w:ind w:firstLine="640" w:firstLineChars="200"/>
        <w:rPr>
          <w:rFonts w:ascii="仿宋_GB2312" w:hAnsi="仿宋_GB2312" w:eastAsia="仿宋_GB2312" w:cs="仿宋_GB2312"/>
          <w:color w:val="000000"/>
          <w:sz w:val="32"/>
          <w:szCs w:val="32"/>
        </w:rPr>
      </w:pPr>
      <w:r>
        <w:rPr>
          <w:rFonts w:ascii="楷体" w:hAnsi="楷体" w:eastAsia="楷体" w:cs="Times New Roman"/>
          <w:sz w:val="32"/>
          <w:szCs w:val="32"/>
        </w:rPr>
        <w:t>三是</w:t>
      </w:r>
      <w:r>
        <w:rPr>
          <w:rFonts w:hint="eastAsia" w:ascii="楷体" w:hAnsi="楷体" w:eastAsia="楷体" w:cs="Times New Roman"/>
          <w:sz w:val="32"/>
          <w:szCs w:val="32"/>
        </w:rPr>
        <w:t>优化审批程序。</w:t>
      </w:r>
      <w:r>
        <w:rPr>
          <w:rFonts w:hint="eastAsia" w:ascii="仿宋_GB2312" w:hAnsi="仿宋_GB2312" w:eastAsia="仿宋_GB2312" w:cs="仿宋_GB2312"/>
          <w:color w:val="000000"/>
          <w:sz w:val="32"/>
          <w:szCs w:val="32"/>
        </w:rPr>
        <w:t>深入用海单位调研，梳理用海项目在审批过程遇到的问题，实施容缺办理，变多环节为一个环节，变逐级征求意见为同时征求意见，最大限度提高审批速度。目前，已完成 29 宗用海项目审批，为重大项目推进提供了高效服务。</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四是开展岸线调查。</w:t>
      </w:r>
      <w:r>
        <w:rPr>
          <w:rFonts w:hint="eastAsia" w:ascii="仿宋_GB2312" w:hAnsi="仿宋_GB2312" w:eastAsia="仿宋_GB2312" w:cs="仿宋_GB2312"/>
          <w:color w:val="000000"/>
          <w:sz w:val="32"/>
          <w:szCs w:val="32"/>
        </w:rPr>
        <w:t>对我区北至洋河口、南至甜水河的海岸线进行海岸线类型、长度、自然岸线保有率调查，划定我区海岸线走向、精确位置，全面查清海岸线两侧一定范围内的开发利用现状，形成我区海岸线矢量数据，取得由海域新划入陆域6万余亩的初步成果，待自然资源部批复后可为下一步重点项目建设预留更大空间。</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Times New Roman"/>
          <w:sz w:val="32"/>
          <w:szCs w:val="32"/>
        </w:rPr>
        <w:t>五是海洋生态文明建设成效显著。</w:t>
      </w:r>
      <w:r>
        <w:rPr>
          <w:rFonts w:hint="eastAsia" w:ascii="仿宋_GB2312" w:hAnsi="仿宋_GB2312" w:eastAsia="仿宋_GB2312" w:cs="仿宋_GB2312"/>
          <w:color w:val="000000"/>
          <w:sz w:val="32"/>
          <w:szCs w:val="32"/>
        </w:rPr>
        <w:t>在新区所辖海域北起胶州湾洋河入海口，南至黄家塘湾甜水河入海口，共布设监测站位28个；选取5处代表性渔港，积极开展海洋环境监测工作。蓝色海湾整治行动有序推进。规范开展海洋工程环境影响评价的受理和申报。全面推行湾长制工作，确保底数清楚措施有力、组织体系健全有力、精准施策管理有力、规范运行工作有力。及时启动浒苔处置应急响应，在金沙滩等重点海域设置了20000米浒苔拦截浮坝。出动巡查30余航次，打捞渔船450船次，共打捞浒苔33456余吨，实现了“日产日清、无异味、无腐烂、不过夜”的浒苔清理目标。同时，根据青岛市局要求，安排20条渔船协助市局对青岛沿海一线进行浒苔打捞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四、渔政渔港管理走在全省前列</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一是伏季休渔工作力度空前。</w:t>
      </w:r>
      <w:r>
        <w:rPr>
          <w:rFonts w:hint="eastAsia" w:ascii="仿宋_GB2312" w:eastAsia="仿宋_GB2312"/>
          <w:sz w:val="32"/>
          <w:szCs w:val="32"/>
        </w:rPr>
        <w:t>严格落实职责，创新管理方法，狠抓伏休执法巡查、渔船管控等重要环节，海陆并举抓执法，陆地出动执法人员5306人次、车辆1621车次，检查渔港码头停泊点83个、渔船2000余艘。海上出动执法人员3258人次、出动渔政船380艘次，检查渔船数467艘，查处违规渔船数383艘（同比增长275%）、罚款235.545万元（同比增长223%），没收渔获物数量3万余公斤，圆满完成了全年伏休管理任务。</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二是渔业安全工作平稳扎实。</w:t>
      </w:r>
      <w:r>
        <w:rPr>
          <w:rFonts w:hint="eastAsia" w:ascii="仿宋_GB2312" w:hAnsi="仿宋" w:eastAsia="仿宋_GB2312"/>
          <w:sz w:val="32"/>
          <w:szCs w:val="32"/>
        </w:rPr>
        <w:t>扎实推动海洋渔业领域扫黑除恶专项斗争，海洋渔业领域天清风正。抓好“两节”、四个季度安全月等安全生产专项整治，开展安全检查</w:t>
      </w:r>
      <w:r>
        <w:rPr>
          <w:rFonts w:ascii="仿宋_GB2312" w:hAnsi="仿宋" w:eastAsia="仿宋_GB2312"/>
          <w:sz w:val="32"/>
          <w:szCs w:val="32"/>
        </w:rPr>
        <w:t>31</w:t>
      </w:r>
      <w:r>
        <w:rPr>
          <w:rFonts w:hint="eastAsia" w:ascii="仿宋_GB2312" w:hAnsi="仿宋" w:eastAsia="仿宋_GB2312"/>
          <w:sz w:val="32"/>
          <w:szCs w:val="32"/>
        </w:rPr>
        <w:t>次，排查治理安全隐患</w:t>
      </w:r>
      <w:r>
        <w:rPr>
          <w:rFonts w:ascii="仿宋_GB2312" w:hAnsi="仿宋" w:eastAsia="仿宋_GB2312"/>
          <w:sz w:val="32"/>
          <w:szCs w:val="32"/>
        </w:rPr>
        <w:t>37</w:t>
      </w:r>
      <w:r>
        <w:rPr>
          <w:rFonts w:hint="eastAsia" w:ascii="仿宋_GB2312" w:hAnsi="仿宋" w:eastAsia="仿宋_GB2312"/>
          <w:sz w:val="32"/>
          <w:szCs w:val="32"/>
        </w:rPr>
        <w:t>起，为540艘渔船配备新型北斗、AIS船载终端。举办4期安全生产培训班，惠及10</w:t>
      </w:r>
      <w:r>
        <w:rPr>
          <w:rFonts w:ascii="仿宋_GB2312" w:hAnsi="仿宋" w:eastAsia="仿宋_GB2312"/>
          <w:sz w:val="32"/>
          <w:szCs w:val="32"/>
        </w:rPr>
        <w:t>00</w:t>
      </w:r>
      <w:r>
        <w:rPr>
          <w:rFonts w:hint="eastAsia" w:ascii="仿宋_GB2312" w:hAnsi="仿宋" w:eastAsia="仿宋_GB2312"/>
          <w:sz w:val="32"/>
          <w:szCs w:val="32"/>
        </w:rPr>
        <w:t>余人。做好应急值守工作，发布预警短信370万条。坚持作业渔船夜间点名制度，实施无隙监控，及时掌握作业动态。出动执法人数240余人次，检查养殖业户276家次，水产品质量抽检282批次，合格率100%，“守护舌尖行动”坚强有力。</w:t>
      </w:r>
    </w:p>
    <w:p>
      <w:pPr>
        <w:spacing w:line="560" w:lineRule="exact"/>
        <w:ind w:firstLine="640" w:firstLineChars="200"/>
        <w:rPr>
          <w:rFonts w:ascii="仿宋_GB2312" w:hAnsi="仿宋" w:eastAsia="仿宋_GB2312"/>
          <w:sz w:val="32"/>
          <w:szCs w:val="32"/>
        </w:rPr>
      </w:pPr>
      <w:r>
        <w:rPr>
          <w:rFonts w:hint="eastAsia" w:ascii="楷体" w:hAnsi="楷体" w:eastAsia="楷体"/>
          <w:sz w:val="32"/>
          <w:szCs w:val="32"/>
        </w:rPr>
        <w:t>三是做实船港监督管理。</w:t>
      </w:r>
      <w:r>
        <w:rPr>
          <w:rFonts w:hint="eastAsia" w:ascii="仿宋_GB2312" w:hAnsi="仿宋" w:eastAsia="仿宋_GB2312"/>
          <w:sz w:val="32"/>
          <w:szCs w:val="32"/>
        </w:rPr>
        <w:t>扎实开展渔港监督管理，立案查处违法行为9起，罚款1.25万元。落实渔船登记和年检工作，办理新增渔船国籍登记和所有权登记28艘，注销登记19艘。结合“美丽青岛”环保专项整治行动，加强渔港环境整治，在10处拟认定渔港内设置了含油</w:t>
      </w:r>
      <w:r>
        <w:rPr>
          <w:rFonts w:ascii="仿宋_GB2312" w:hAnsi="仿宋" w:eastAsia="仿宋_GB2312"/>
          <w:sz w:val="32"/>
          <w:szCs w:val="32"/>
        </w:rPr>
        <w:t>污水接收</w:t>
      </w:r>
      <w:r>
        <w:rPr>
          <w:rFonts w:hint="eastAsia" w:ascii="仿宋_GB2312" w:hAnsi="仿宋" w:eastAsia="仿宋_GB2312"/>
          <w:sz w:val="32"/>
          <w:szCs w:val="32"/>
        </w:rPr>
        <w:t>装置</w:t>
      </w:r>
      <w:r>
        <w:rPr>
          <w:rFonts w:ascii="仿宋_GB2312" w:hAnsi="仿宋" w:eastAsia="仿宋_GB2312"/>
          <w:sz w:val="32"/>
          <w:szCs w:val="32"/>
        </w:rPr>
        <w:t>、</w:t>
      </w:r>
      <w:r>
        <w:rPr>
          <w:rFonts w:hint="eastAsia" w:ascii="仿宋_GB2312" w:hAnsi="仿宋" w:eastAsia="仿宋_GB2312"/>
          <w:sz w:val="32"/>
          <w:szCs w:val="32"/>
        </w:rPr>
        <w:t>渔港垃圾收集设施，并责成渔港管理单位定时</w:t>
      </w:r>
      <w:r>
        <w:rPr>
          <w:rFonts w:ascii="仿宋_GB2312" w:hAnsi="仿宋" w:eastAsia="仿宋_GB2312"/>
          <w:sz w:val="32"/>
          <w:szCs w:val="32"/>
        </w:rPr>
        <w:t>转运</w:t>
      </w:r>
      <w:r>
        <w:rPr>
          <w:rFonts w:hint="eastAsia" w:ascii="仿宋_GB2312" w:hAnsi="仿宋" w:eastAsia="仿宋_GB2312"/>
          <w:sz w:val="32"/>
          <w:szCs w:val="32"/>
        </w:rPr>
        <w:t>和</w:t>
      </w:r>
      <w:r>
        <w:rPr>
          <w:rFonts w:ascii="仿宋_GB2312" w:hAnsi="仿宋" w:eastAsia="仿宋_GB2312"/>
          <w:sz w:val="32"/>
          <w:szCs w:val="32"/>
        </w:rPr>
        <w:t>处理</w:t>
      </w:r>
      <w:r>
        <w:rPr>
          <w:rFonts w:hint="eastAsia" w:ascii="仿宋_GB2312" w:hAnsi="仿宋" w:eastAsia="仿宋_GB2312"/>
          <w:sz w:val="32"/>
          <w:szCs w:val="32"/>
        </w:rPr>
        <w:t>。高质量做好渔船检验工作，共完成各类渔船检验2807艘，占全年业务量的95%。提升船员综合素质，全年举办船员培训班8期，培训船员783名。</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五、2019东亚海洋合作平台青岛论坛实现全面提升</w:t>
      </w:r>
    </w:p>
    <w:p>
      <w:pPr>
        <w:spacing w:line="560" w:lineRule="exact"/>
        <w:ind w:firstLine="640" w:firstLineChars="200"/>
        <w:rPr>
          <w:rFonts w:ascii="仿宋_GB2312" w:hAnsi="黑体" w:eastAsia="仿宋_GB2312" w:cs="仿宋_GB2312"/>
          <w:snapToGrid w:val="0"/>
          <w:kern w:val="0"/>
          <w:sz w:val="32"/>
          <w:szCs w:val="32"/>
        </w:rPr>
      </w:pPr>
      <w:r>
        <w:rPr>
          <w:rFonts w:hint="eastAsia" w:ascii="仿宋_GB2312" w:hAnsi="黑体" w:eastAsia="仿宋_GB2312" w:cs="仿宋_GB2312"/>
          <w:snapToGrid w:val="0"/>
          <w:kern w:val="0"/>
          <w:sz w:val="32"/>
          <w:szCs w:val="32"/>
        </w:rPr>
        <w:t>2019东亚海洋合作平台青岛论坛以“交流互鉴 开放融通”为主题，以“港口、贸易、航运、金融”为主线，突出国际化、专业化、成果化、品牌化，进行了多项改革创新，</w:t>
      </w:r>
      <w:r>
        <w:rPr>
          <w:rFonts w:hint="eastAsia" w:ascii="仿宋_GB2312" w:hAnsi="黑体" w:eastAsia="仿宋_GB2312" w:cs="仿宋_GB2312"/>
          <w:b/>
          <w:bCs/>
          <w:snapToGrid w:val="0"/>
          <w:kern w:val="0"/>
          <w:sz w:val="32"/>
          <w:szCs w:val="32"/>
        </w:rPr>
        <w:t>首次</w:t>
      </w:r>
      <w:r>
        <w:rPr>
          <w:rFonts w:hint="eastAsia" w:ascii="仿宋_GB2312" w:hAnsi="黑体" w:eastAsia="仿宋_GB2312" w:cs="仿宋_GB2312"/>
          <w:snapToGrid w:val="0"/>
          <w:kern w:val="0"/>
          <w:sz w:val="32"/>
          <w:szCs w:val="32"/>
        </w:rPr>
        <w:t>举办将“东亚商品展”提升为“东亚海博会”；</w:t>
      </w:r>
      <w:r>
        <w:rPr>
          <w:rFonts w:hint="eastAsia" w:ascii="仿宋_GB2312" w:hAnsi="黑体" w:eastAsia="仿宋_GB2312" w:cs="仿宋_GB2312"/>
          <w:b/>
          <w:bCs/>
          <w:snapToGrid w:val="0"/>
          <w:kern w:val="0"/>
          <w:sz w:val="32"/>
          <w:szCs w:val="32"/>
        </w:rPr>
        <w:t>首次</w:t>
      </w:r>
      <w:r>
        <w:rPr>
          <w:rFonts w:hint="eastAsia" w:ascii="仿宋_GB2312" w:hAnsi="黑体" w:eastAsia="仿宋_GB2312" w:cs="仿宋_GB2312"/>
          <w:snapToGrid w:val="0"/>
          <w:kern w:val="0"/>
          <w:sz w:val="32"/>
          <w:szCs w:val="32"/>
        </w:rPr>
        <w:t>邀请了5名国外现任副部级官员参会；</w:t>
      </w:r>
      <w:r>
        <w:rPr>
          <w:rFonts w:hint="eastAsia" w:ascii="仿宋_GB2312" w:hAnsi="黑体" w:eastAsia="仿宋_GB2312" w:cs="仿宋_GB2312"/>
          <w:b/>
          <w:bCs/>
          <w:snapToGrid w:val="0"/>
          <w:kern w:val="0"/>
          <w:sz w:val="32"/>
          <w:szCs w:val="32"/>
        </w:rPr>
        <w:t>首次</w:t>
      </w:r>
      <w:r>
        <w:rPr>
          <w:rFonts w:hint="eastAsia" w:ascii="仿宋_GB2312" w:hAnsi="黑体" w:eastAsia="仿宋_GB2312" w:cs="仿宋_GB2312"/>
          <w:snapToGrid w:val="0"/>
          <w:kern w:val="0"/>
          <w:sz w:val="32"/>
          <w:szCs w:val="32"/>
        </w:rPr>
        <w:t>邀请了东亚海环境管理伙伴关系组织等4个国际海洋组织负责人参加论坛。</w:t>
      </w:r>
      <w:r>
        <w:rPr>
          <w:rFonts w:hint="eastAsia" w:ascii="仿宋_GB2312" w:hAnsi="黑体" w:eastAsia="仿宋_GB2312" w:cs="仿宋_GB2312"/>
          <w:b/>
          <w:bCs/>
          <w:snapToGrid w:val="0"/>
          <w:kern w:val="0"/>
          <w:sz w:val="32"/>
          <w:szCs w:val="32"/>
        </w:rPr>
        <w:t>首次</w:t>
      </w:r>
      <w:r>
        <w:rPr>
          <w:rFonts w:hint="eastAsia" w:ascii="仿宋_GB2312" w:hAnsi="黑体" w:eastAsia="仿宋_GB2312" w:cs="仿宋_GB2312"/>
          <w:snapToGrid w:val="0"/>
          <w:kern w:val="0"/>
          <w:sz w:val="32"/>
          <w:szCs w:val="32"/>
        </w:rPr>
        <w:t>实现专业效益和经济效益双丰收，发布</w:t>
      </w:r>
      <w:r>
        <w:rPr>
          <w:rFonts w:hint="eastAsia" w:ascii="仿宋_GB2312" w:eastAsia="仿宋_GB2312"/>
          <w:sz w:val="32"/>
          <w:szCs w:val="32"/>
        </w:rPr>
        <w:t>4个重量级专业报告，集中签约了总投资373亿元的10个“双招双引”涉海重点项目</w:t>
      </w:r>
      <w:r>
        <w:rPr>
          <w:rFonts w:hint="eastAsia" w:ascii="仿宋_GB2312" w:eastAsia="仿宋_GB2312"/>
          <w:color w:val="000000"/>
          <w:sz w:val="32"/>
          <w:szCs w:val="32"/>
        </w:rPr>
        <w:t>，</w:t>
      </w:r>
      <w:r>
        <w:rPr>
          <w:rFonts w:hint="eastAsia" w:ascii="仿宋_GB2312" w:hAnsi="黑体" w:eastAsia="仿宋_GB2312" w:cs="仿宋_GB2312"/>
          <w:snapToGrid w:val="0"/>
          <w:kern w:val="0"/>
          <w:sz w:val="32"/>
          <w:szCs w:val="32"/>
        </w:rPr>
        <w:t>实现了层级、内容、规模和成果全面提升。</w:t>
      </w:r>
    </w:p>
    <w:p>
      <w:pPr>
        <w:spacing w:line="560" w:lineRule="exact"/>
        <w:ind w:firstLine="640" w:firstLineChars="200"/>
        <w:rPr>
          <w:rFonts w:ascii="黑体" w:hAnsi="黑体" w:eastAsia="黑体" w:cs="仿宋_GB2312"/>
          <w:snapToGrid w:val="0"/>
          <w:kern w:val="0"/>
          <w:sz w:val="32"/>
          <w:szCs w:val="32"/>
        </w:rPr>
      </w:pPr>
      <w:r>
        <w:rPr>
          <w:rFonts w:hint="eastAsia" w:ascii="黑体" w:hAnsi="黑体" w:eastAsia="黑体" w:cs="仿宋_GB2312"/>
          <w:snapToGrid w:val="0"/>
          <w:kern w:val="0"/>
          <w:sz w:val="32"/>
          <w:szCs w:val="32"/>
        </w:rPr>
        <w:t>六、2020工作打算</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cs="黑体"/>
          <w:sz w:val="32"/>
          <w:szCs w:val="32"/>
        </w:rPr>
        <w:t>一、实施海洋管治精准建设</w:t>
      </w:r>
    </w:p>
    <w:p>
      <w:pPr>
        <w:spacing w:line="560" w:lineRule="exact"/>
        <w:ind w:firstLine="640" w:firstLineChars="200"/>
        <w:rPr>
          <w:rFonts w:hint="eastAsia" w:ascii="仿宋_GB2312" w:hAnsi="Times New Roman" w:eastAsia="仿宋_GB2312"/>
          <w:sz w:val="32"/>
          <w:szCs w:val="32"/>
        </w:rPr>
      </w:pPr>
      <w:r>
        <w:rPr>
          <w:rFonts w:hint="eastAsia" w:ascii="仿宋_GB2312" w:hAnsi="仿宋_GB2312" w:eastAsia="仿宋_GB2312" w:cs="仿宋_GB2312"/>
          <w:sz w:val="32"/>
          <w:szCs w:val="32"/>
        </w:rPr>
        <w:t>全力服务重点项目建设，认真贯彻落实国家围填海管控管理办法，</w:t>
      </w:r>
      <w:r>
        <w:rPr>
          <w:rFonts w:hint="eastAsia" w:ascii="仿宋_GB2312" w:eastAsia="仿宋_GB2312" w:cs="仿宋_GB2312"/>
          <w:snapToGrid w:val="0"/>
          <w:kern w:val="0"/>
          <w:sz w:val="32"/>
          <w:szCs w:val="32"/>
        </w:rPr>
        <w:t>全力保障冷链物流、黄张路等重点项目建设。</w:t>
      </w:r>
      <w:r>
        <w:rPr>
          <w:rFonts w:hint="eastAsia" w:ascii="仿宋_GB2312" w:hAnsi="仿宋_GB2312" w:eastAsia="仿宋_GB2312" w:cs="仿宋_GB2312"/>
          <w:sz w:val="32"/>
          <w:szCs w:val="32"/>
        </w:rPr>
        <w:t>有序推进海岛生态修复。</w:t>
      </w:r>
      <w:r>
        <w:rPr>
          <w:rFonts w:hint="eastAsia" w:ascii="仿宋_GB2312" w:eastAsia="仿宋_GB2312" w:cs="仿宋_GB2312"/>
          <w:snapToGrid w:val="0"/>
          <w:kern w:val="0"/>
          <w:sz w:val="32"/>
          <w:szCs w:val="32"/>
        </w:rPr>
        <w:t>修改完善招拍挂办法，调整养殖用海审批流程，探索海域资源整体论证，探讨开展无人岛确权，积极配合海控、融控集团科学开展利用海域海岛资源。</w:t>
      </w:r>
    </w:p>
    <w:p>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二、激发海洋攻势澎湃动力</w:t>
      </w:r>
    </w:p>
    <w:p>
      <w:pPr>
        <w:spacing w:line="560" w:lineRule="exact"/>
        <w:ind w:firstLine="640" w:firstLineChars="200"/>
        <w:rPr>
          <w:rFonts w:hint="eastAsia" w:ascii="仿宋_GB2312" w:hAnsi="文星仿宋" w:eastAsia="仿宋_GB2312"/>
          <w:sz w:val="32"/>
          <w:szCs w:val="32"/>
        </w:rPr>
      </w:pPr>
      <w:r>
        <w:rPr>
          <w:rFonts w:hint="eastAsia" w:ascii="仿宋_GB2312" w:hAnsi="黑体" w:eastAsia="仿宋_GB2312" w:cs="仿宋_GB2312"/>
          <w:sz w:val="32"/>
          <w:szCs w:val="32"/>
        </w:rPr>
        <w:t>紧跟政策规划实施进程，</w:t>
      </w:r>
      <w:r>
        <w:rPr>
          <w:rFonts w:hint="eastAsia" w:ascii="仿宋_GB2312" w:hAnsi="楷体" w:eastAsia="仿宋_GB2312" w:cs="仿宋_GB2312"/>
          <w:sz w:val="32"/>
          <w:szCs w:val="32"/>
        </w:rPr>
        <w:t>全面落实海洋攻势</w:t>
      </w:r>
      <w:r>
        <w:rPr>
          <w:rFonts w:hint="eastAsia" w:ascii="仿宋_GB2312" w:eastAsia="仿宋_GB2312" w:cs="仿宋_GB2312"/>
          <w:sz w:val="32"/>
          <w:szCs w:val="32"/>
        </w:rPr>
        <w:t>，印发实施工作方案。研究确定</w:t>
      </w:r>
      <w:r>
        <w:rPr>
          <w:rFonts w:hint="eastAsia" w:ascii="仿宋_GB2312" w:hAnsi="楷体" w:eastAsia="仿宋_GB2312" w:cs="仿宋_GB2312"/>
          <w:sz w:val="32"/>
          <w:szCs w:val="32"/>
        </w:rPr>
        <w:t>“十四五”规划</w:t>
      </w:r>
      <w:r>
        <w:rPr>
          <w:rFonts w:hint="eastAsia" w:ascii="仿宋_GB2312" w:eastAsia="仿宋_GB2312" w:cs="仿宋_GB2312"/>
          <w:sz w:val="32"/>
          <w:szCs w:val="32"/>
        </w:rPr>
        <w:t>经费、招投标等工作。深入研究</w:t>
      </w:r>
      <w:r>
        <w:rPr>
          <w:rFonts w:hint="eastAsia" w:ascii="仿宋_GB2312" w:hAnsi="楷体" w:eastAsia="仿宋_GB2312" w:cs="仿宋_GB2312"/>
          <w:sz w:val="32"/>
          <w:szCs w:val="32"/>
        </w:rPr>
        <w:t>自贸区建设</w:t>
      </w:r>
      <w:r>
        <w:rPr>
          <w:rFonts w:hint="eastAsia" w:ascii="仿宋_GB2312" w:eastAsia="仿宋_GB2312" w:cs="仿宋_GB2312"/>
          <w:sz w:val="32"/>
          <w:szCs w:val="32"/>
        </w:rPr>
        <w:t>，积极</w:t>
      </w:r>
      <w:r>
        <w:rPr>
          <w:rFonts w:hint="eastAsia" w:ascii="仿宋_GB2312" w:hAnsi="楷体" w:eastAsia="仿宋_GB2312" w:cs="仿宋_GB2312"/>
          <w:sz w:val="32"/>
          <w:szCs w:val="32"/>
        </w:rPr>
        <w:t>做好新区海洋发展委员会相关工作。</w:t>
      </w:r>
      <w:r>
        <w:rPr>
          <w:rFonts w:hint="eastAsia" w:ascii="仿宋_GB2312" w:hAnsi="华文楷体" w:eastAsia="仿宋_GB2312" w:cs="仿宋_GB2312"/>
          <w:sz w:val="32"/>
          <w:szCs w:val="32"/>
        </w:rPr>
        <w:t>加强蓝色经济运行分析，</w:t>
      </w:r>
      <w:r>
        <w:rPr>
          <w:rFonts w:hint="eastAsia" w:ascii="仿宋_GB2312" w:hAnsi="文星仿宋" w:eastAsia="仿宋_GB2312" w:cs="仿宋_GB2312"/>
          <w:sz w:val="32"/>
          <w:szCs w:val="32"/>
        </w:rPr>
        <w:t>把握海洋经济运行走势，做好应对措施。建立海洋经济企业调度系统，完善企业名录。筛选涉海企业，建立海洋经济重点监控企业库。加大双招双引工作力度，</w:t>
      </w:r>
      <w:r>
        <w:rPr>
          <w:rFonts w:hint="eastAsia" w:ascii="仿宋_GB2312" w:hAnsi="华文楷体" w:eastAsia="仿宋_GB2312" w:cs="仿宋_GB2312"/>
          <w:sz w:val="32"/>
          <w:szCs w:val="32"/>
        </w:rPr>
        <w:t>加强项目调度管理，</w:t>
      </w:r>
      <w:r>
        <w:rPr>
          <w:rFonts w:hint="eastAsia" w:ascii="仿宋_GB2312" w:hAnsi="文星仿宋" w:eastAsia="仿宋_GB2312" w:cs="仿宋_GB2312"/>
          <w:sz w:val="32"/>
          <w:szCs w:val="32"/>
        </w:rPr>
        <w:t>成立海洋经济产业集群和海工装备产业链专业招商团队</w:t>
      </w:r>
      <w:r>
        <w:rPr>
          <w:rFonts w:hint="eastAsia" w:ascii="仿宋_GB2312" w:eastAsia="仿宋_GB2312" w:cs="仿宋_GB2312"/>
          <w:sz w:val="32"/>
          <w:szCs w:val="32"/>
        </w:rPr>
        <w:t>。</w:t>
      </w:r>
      <w:r>
        <w:rPr>
          <w:rFonts w:hint="eastAsia" w:ascii="仿宋_GB2312" w:hAnsi="华文楷体" w:eastAsia="仿宋_GB2312" w:cs="仿宋_GB2312"/>
          <w:sz w:val="32"/>
          <w:szCs w:val="32"/>
        </w:rPr>
        <w:t>加强海洋经济发展综合考核，</w:t>
      </w:r>
      <w:r>
        <w:rPr>
          <w:rFonts w:hint="eastAsia" w:ascii="仿宋_GB2312" w:hAnsi="文星仿宋" w:eastAsia="仿宋_GB2312" w:cs="仿宋_GB2312"/>
          <w:sz w:val="32"/>
          <w:szCs w:val="32"/>
        </w:rPr>
        <w:t>细分指标，增加</w:t>
      </w:r>
      <w:r>
        <w:rPr>
          <w:rFonts w:hint="eastAsia" w:ascii="仿宋_GB2312" w:hAnsi="仿宋" w:eastAsia="仿宋_GB2312" w:cs="仿宋_GB2312"/>
          <w:sz w:val="32"/>
          <w:szCs w:val="32"/>
        </w:rPr>
        <w:t>考核权重，调动全区经略海洋的积极性和主动性。</w:t>
      </w:r>
    </w:p>
    <w:p>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三、加快渔业项目稳步推进</w:t>
      </w:r>
    </w:p>
    <w:p>
      <w:pPr>
        <w:spacing w:line="560" w:lineRule="exact"/>
        <w:ind w:firstLine="640" w:firstLineChars="200"/>
        <w:rPr>
          <w:rFonts w:hint="eastAsia" w:ascii="仿宋_GB2312" w:hAnsi="仿宋" w:eastAsia="仿宋_GB2312"/>
          <w:sz w:val="32"/>
          <w:szCs w:val="32"/>
        </w:rPr>
      </w:pPr>
      <w:r>
        <w:rPr>
          <w:rFonts w:hint="eastAsia" w:ascii="仿宋_GB2312" w:hAnsi="楷体" w:eastAsia="仿宋_GB2312" w:cs="仿宋_GB2312"/>
          <w:sz w:val="32"/>
          <w:szCs w:val="32"/>
        </w:rPr>
        <w:t>加快推动国家级海洋牧场示范区建设</w:t>
      </w:r>
      <w:r>
        <w:rPr>
          <w:rFonts w:hint="eastAsia" w:ascii="仿宋_GB2312" w:hAnsi="仿宋_GB2312" w:eastAsia="仿宋_GB2312" w:cs="仿宋_GB2312"/>
          <w:sz w:val="32"/>
          <w:szCs w:val="32"/>
        </w:rPr>
        <w:t>，争取</w:t>
      </w:r>
      <w:r>
        <w:rPr>
          <w:rFonts w:hint="eastAsia" w:ascii="仿宋_GB2312" w:hAnsi="仿宋" w:eastAsia="仿宋_GB2312" w:cs="仿宋_GB2312"/>
          <w:sz w:val="32"/>
          <w:szCs w:val="32"/>
        </w:rPr>
        <w:t>新创建2-3处国家级海洋牧场示范区，完成投资700万元，投放礁体10万空方，建设海洋牧场观测网2-3套，发展深水抗风浪网箱110个，进一步促进深水网箱养殖效益。</w:t>
      </w:r>
      <w:r>
        <w:rPr>
          <w:rFonts w:hint="eastAsia" w:ascii="仿宋_GB2312" w:hAnsi="楷体" w:eastAsia="仿宋_GB2312" w:cs="仿宋_GB2312"/>
          <w:sz w:val="32"/>
          <w:szCs w:val="32"/>
        </w:rPr>
        <w:t>加快推进“黄海冷水团”绿色养殖项目建设。积极做好水产良种繁育体系建设。</w:t>
      </w:r>
      <w:r>
        <w:rPr>
          <w:rFonts w:hint="eastAsia" w:ascii="仿宋_GB2312" w:hAnsi="仿宋" w:eastAsia="仿宋_GB2312" w:cs="仿宋_GB2312"/>
          <w:sz w:val="32"/>
          <w:szCs w:val="32"/>
        </w:rPr>
        <w:t>持续推进瑞滋“参优1号”海参、“黄条</w:t>
      </w:r>
      <w:r>
        <w:rPr>
          <w:rFonts w:hint="eastAsia" w:ascii="仿宋_GB2312" w:hAnsi="宋体" w:cs="宋体"/>
          <w:sz w:val="32"/>
          <w:szCs w:val="32"/>
        </w:rPr>
        <w:t>鰤</w:t>
      </w:r>
      <w:r>
        <w:rPr>
          <w:rFonts w:hint="eastAsia" w:ascii="仿宋_GB2312" w:hAnsi="仿宋_GB2312" w:eastAsia="仿宋_GB2312" w:cs="仿宋_GB2312"/>
          <w:sz w:val="32"/>
          <w:szCs w:val="32"/>
        </w:rPr>
        <w:t>”等新品种繁育和推广工作。</w:t>
      </w:r>
    </w:p>
    <w:p>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四、高标准推动平台筹建工作</w:t>
      </w:r>
    </w:p>
    <w:p>
      <w:pPr>
        <w:spacing w:line="560" w:lineRule="exact"/>
        <w:ind w:firstLine="480" w:firstLineChars="150"/>
        <w:rPr>
          <w:rFonts w:hint="eastAsia" w:ascii="仿宋_GB2312" w:hAnsi="黑体" w:eastAsia="仿宋_GB2312"/>
          <w:sz w:val="32"/>
          <w:szCs w:val="32"/>
        </w:rPr>
      </w:pPr>
      <w:r>
        <w:rPr>
          <w:rFonts w:hint="eastAsia" w:ascii="仿宋_GB2312" w:eastAsia="仿宋_GB2312" w:cs="仿宋_GB2312"/>
          <w:sz w:val="32"/>
          <w:szCs w:val="32"/>
        </w:rPr>
        <w:t>着力推进平台理事会和秘书处成立，实现与国际海洋组织的合作，协助建设平台常设性办事机构，正式入驻平台永久性会址中铁青岛世界博览城办公。高标准做好2020青岛论坛筹备工作，进一步优化论坛总体方案，坚持关口前置，高标准做好各项准备工作，确保青岛论坛</w:t>
      </w:r>
      <w:r>
        <w:rPr>
          <w:rStyle w:val="10"/>
          <w:rFonts w:hint="eastAsia" w:ascii="仿宋_GB2312" w:eastAsia="仿宋_GB2312" w:cs="仿宋_GB2312"/>
          <w:sz w:val="32"/>
          <w:szCs w:val="32"/>
        </w:rPr>
        <w:t>办出影响、办出成果、办出水平</w:t>
      </w:r>
      <w:r>
        <w:rPr>
          <w:rFonts w:hint="eastAsia" w:ascii="仿宋_GB2312" w:eastAsia="仿宋_GB2312" w:cs="仿宋_GB2312"/>
          <w:sz w:val="32"/>
          <w:szCs w:val="32"/>
        </w:rPr>
        <w:t>。</w:t>
      </w:r>
      <w:r>
        <w:rPr>
          <w:rFonts w:hint="eastAsia" w:ascii="仿宋_GB2312" w:hAnsi="楷体" w:eastAsia="仿宋_GB2312" w:cs="仿宋_GB2312"/>
          <w:sz w:val="32"/>
          <w:szCs w:val="32"/>
        </w:rPr>
        <w:t>加强东亚海洋合作平台网站建设</w:t>
      </w:r>
      <w:r>
        <w:rPr>
          <w:rFonts w:hint="eastAsia" w:ascii="仿宋_GB2312" w:eastAsia="仿宋_GB2312" w:cs="仿宋_GB2312"/>
          <w:sz w:val="32"/>
          <w:szCs w:val="32"/>
        </w:rPr>
        <w:t>，提升平台及论坛宣传推介能力。</w:t>
      </w:r>
    </w:p>
    <w:p>
      <w:pPr>
        <w:spacing w:line="560" w:lineRule="exact"/>
        <w:ind w:firstLine="640" w:firstLineChars="200"/>
        <w:rPr>
          <w:rFonts w:hint="eastAsia" w:ascii="楷体_GB2312" w:hAnsi="黑体" w:eastAsia="楷体_GB2312" w:cs="黑体"/>
          <w:sz w:val="32"/>
          <w:szCs w:val="32"/>
        </w:rPr>
      </w:pPr>
      <w:r>
        <w:rPr>
          <w:rFonts w:hint="eastAsia" w:ascii="楷体_GB2312" w:hAnsi="黑体" w:eastAsia="楷体_GB2312" w:cs="黑体"/>
          <w:sz w:val="32"/>
          <w:szCs w:val="32"/>
        </w:rPr>
        <w:t>五、强化渔业安全底线思维</w:t>
      </w:r>
    </w:p>
    <w:p>
      <w:pPr>
        <w:spacing w:line="560" w:lineRule="exact"/>
        <w:ind w:firstLine="640" w:firstLineChars="200"/>
        <w:rPr>
          <w:rFonts w:hint="eastAsia" w:ascii="仿宋_GB2312" w:hAnsi="Times New Roman" w:eastAsia="仿宋_GB2312"/>
          <w:sz w:val="32"/>
          <w:szCs w:val="32"/>
        </w:rPr>
      </w:pPr>
      <w:r>
        <w:rPr>
          <w:rFonts w:hint="eastAsia" w:ascii="仿宋_GB2312" w:hAnsi="楷体" w:eastAsia="仿宋_GB2312" w:cs="仿宋_GB2312"/>
          <w:sz w:val="32"/>
          <w:szCs w:val="32"/>
        </w:rPr>
        <w:t>继续加大对违规渔具专项整治力度，</w:t>
      </w:r>
      <w:r>
        <w:rPr>
          <w:rFonts w:hint="eastAsia" w:ascii="仿宋_GB2312" w:hAnsi="仿宋" w:eastAsia="仿宋_GB2312" w:cs="仿宋_GB2312"/>
          <w:sz w:val="32"/>
          <w:szCs w:val="32"/>
        </w:rPr>
        <w:t>持续开展“清网”行动，切实保护渔业资源。</w:t>
      </w:r>
      <w:r>
        <w:rPr>
          <w:rFonts w:hint="eastAsia" w:ascii="仿宋_GB2312" w:hAnsi="楷体" w:eastAsia="仿宋_GB2312" w:cs="仿宋_GB2312"/>
          <w:sz w:val="32"/>
          <w:szCs w:val="32"/>
        </w:rPr>
        <w:t>保持伏季休渔高压管理力度</w:t>
      </w:r>
      <w:r>
        <w:rPr>
          <w:rFonts w:hint="eastAsia" w:ascii="仿宋_GB2312" w:hAnsi="仿宋" w:eastAsia="仿宋_GB2312" w:cs="仿宋_GB2312"/>
          <w:sz w:val="32"/>
          <w:szCs w:val="32"/>
        </w:rPr>
        <w:t>，不断强化措施，严格落实职责，创新管理方法，确保休渔管理任务圆满完成。</w:t>
      </w:r>
      <w:r>
        <w:rPr>
          <w:rFonts w:hint="eastAsia" w:ascii="仿宋_GB2312" w:hAnsi="楷体" w:eastAsia="仿宋_GB2312" w:cs="仿宋_GB2312"/>
          <w:sz w:val="32"/>
          <w:szCs w:val="32"/>
        </w:rPr>
        <w:t>加强海洋领域扫黑除恶治理，</w:t>
      </w:r>
      <w:r>
        <w:rPr>
          <w:rFonts w:hint="eastAsia" w:ascii="仿宋_GB2312" w:eastAsia="仿宋_GB2312" w:cs="仿宋_GB2312"/>
          <w:sz w:val="32"/>
          <w:szCs w:val="32"/>
        </w:rPr>
        <w:t>持续保持对黑恶势力严打高压态势，推动涉黑涉恶问题源头治理取得实效。</w:t>
      </w:r>
    </w:p>
    <w:p>
      <w:pPr>
        <w:spacing w:line="560" w:lineRule="exact"/>
        <w:ind w:firstLine="640" w:firstLineChars="200"/>
        <w:jc w:val="right"/>
        <w:rPr>
          <w:rFonts w:hint="eastAsia" w:ascii="仿宋_GB2312" w:hAnsi="仿宋"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702391"/>
      <w:docPartObj>
        <w:docPartGallery w:val="autotext"/>
      </w:docPartObj>
    </w:sdtPr>
    <w:sdtEndPr>
      <w:rPr>
        <w:sz w:val="28"/>
        <w:szCs w:val="28"/>
      </w:rPr>
    </w:sdtEndPr>
    <w:sdtContent>
      <w:p>
        <w:pPr>
          <w:pStyle w:val="3"/>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zMzU4MDMwZjY3N2RmNTg0ZWYyODZkODc1YmY5YjkifQ=="/>
  </w:docVars>
  <w:rsids>
    <w:rsidRoot w:val="00714CC1"/>
    <w:rsid w:val="0002644C"/>
    <w:rsid w:val="00033CAD"/>
    <w:rsid w:val="00060E1C"/>
    <w:rsid w:val="00092CA3"/>
    <w:rsid w:val="000A5906"/>
    <w:rsid w:val="000C516A"/>
    <w:rsid w:val="000D4CD7"/>
    <w:rsid w:val="00146135"/>
    <w:rsid w:val="001661FC"/>
    <w:rsid w:val="001D6933"/>
    <w:rsid w:val="001E65E9"/>
    <w:rsid w:val="001E6861"/>
    <w:rsid w:val="002156A1"/>
    <w:rsid w:val="00255007"/>
    <w:rsid w:val="002A6C7F"/>
    <w:rsid w:val="002B55CA"/>
    <w:rsid w:val="002C1CF3"/>
    <w:rsid w:val="002E0186"/>
    <w:rsid w:val="00336840"/>
    <w:rsid w:val="00361C8F"/>
    <w:rsid w:val="003749C1"/>
    <w:rsid w:val="00391C44"/>
    <w:rsid w:val="00395C3B"/>
    <w:rsid w:val="003A3A04"/>
    <w:rsid w:val="003C1BB4"/>
    <w:rsid w:val="003E6AAC"/>
    <w:rsid w:val="00432C5E"/>
    <w:rsid w:val="0046759D"/>
    <w:rsid w:val="004720F3"/>
    <w:rsid w:val="00472C52"/>
    <w:rsid w:val="00481189"/>
    <w:rsid w:val="00492966"/>
    <w:rsid w:val="004A6D76"/>
    <w:rsid w:val="004F7E5C"/>
    <w:rsid w:val="00571E26"/>
    <w:rsid w:val="00587798"/>
    <w:rsid w:val="005936CA"/>
    <w:rsid w:val="005F1DC3"/>
    <w:rsid w:val="0062001A"/>
    <w:rsid w:val="00640C50"/>
    <w:rsid w:val="00644163"/>
    <w:rsid w:val="0067365A"/>
    <w:rsid w:val="00694F10"/>
    <w:rsid w:val="006D3BC7"/>
    <w:rsid w:val="00714CC1"/>
    <w:rsid w:val="00733653"/>
    <w:rsid w:val="00784B20"/>
    <w:rsid w:val="00795C4E"/>
    <w:rsid w:val="007F5DD0"/>
    <w:rsid w:val="00833457"/>
    <w:rsid w:val="008379A1"/>
    <w:rsid w:val="008529B7"/>
    <w:rsid w:val="00875C07"/>
    <w:rsid w:val="008A2C0B"/>
    <w:rsid w:val="00951175"/>
    <w:rsid w:val="009556EA"/>
    <w:rsid w:val="00960481"/>
    <w:rsid w:val="009B244B"/>
    <w:rsid w:val="009D046A"/>
    <w:rsid w:val="009D3193"/>
    <w:rsid w:val="009E4A65"/>
    <w:rsid w:val="009E4B58"/>
    <w:rsid w:val="009F34C6"/>
    <w:rsid w:val="00A27CCA"/>
    <w:rsid w:val="00A30F1B"/>
    <w:rsid w:val="00A463C4"/>
    <w:rsid w:val="00A56106"/>
    <w:rsid w:val="00A6752A"/>
    <w:rsid w:val="00AE22E9"/>
    <w:rsid w:val="00AF2B01"/>
    <w:rsid w:val="00B1482C"/>
    <w:rsid w:val="00B26C70"/>
    <w:rsid w:val="00B3084B"/>
    <w:rsid w:val="00B75581"/>
    <w:rsid w:val="00BE3F84"/>
    <w:rsid w:val="00BE5C69"/>
    <w:rsid w:val="00C04A89"/>
    <w:rsid w:val="00C8526E"/>
    <w:rsid w:val="00C93A04"/>
    <w:rsid w:val="00CC1C0E"/>
    <w:rsid w:val="00CE5920"/>
    <w:rsid w:val="00CF68A1"/>
    <w:rsid w:val="00D13C58"/>
    <w:rsid w:val="00D14A50"/>
    <w:rsid w:val="00D65BDB"/>
    <w:rsid w:val="00D722C6"/>
    <w:rsid w:val="00D94BC5"/>
    <w:rsid w:val="00DE1EE4"/>
    <w:rsid w:val="00E17D6E"/>
    <w:rsid w:val="00E2012B"/>
    <w:rsid w:val="00E57945"/>
    <w:rsid w:val="00E916C4"/>
    <w:rsid w:val="00EA14B1"/>
    <w:rsid w:val="00EF68DC"/>
    <w:rsid w:val="00F0055F"/>
    <w:rsid w:val="00F340BA"/>
    <w:rsid w:val="00F36C50"/>
    <w:rsid w:val="00F61C1A"/>
    <w:rsid w:val="00F66D8F"/>
    <w:rsid w:val="00F97D05"/>
    <w:rsid w:val="00FA131F"/>
    <w:rsid w:val="00FA1B5C"/>
    <w:rsid w:val="11C02F7E"/>
    <w:rsid w:val="312A6D2E"/>
    <w:rsid w:val="3F037B8F"/>
    <w:rsid w:val="476652A4"/>
    <w:rsid w:val="6F9B60A7"/>
    <w:rsid w:val="72E40BE2"/>
    <w:rsid w:val="75B6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NormalCharacter"/>
    <w:qFormat/>
    <w:uiPriority w:val="99"/>
  </w:style>
  <w:style w:type="paragraph" w:customStyle="1" w:styleId="11">
    <w:name w:val="*正文"/>
    <w:basedOn w:val="1"/>
    <w:qFormat/>
    <w:uiPriority w:val="0"/>
    <w:pPr>
      <w:spacing w:line="360" w:lineRule="auto"/>
      <w:ind w:firstLine="482"/>
    </w:pPr>
    <w:rPr>
      <w:rFonts w:ascii="宋体" w:hAnsi="宋体" w:eastAsia="宋体" w:cs="Times New Roman"/>
      <w:kern w:val="0"/>
      <w:sz w:val="24"/>
      <w:szCs w:val="24"/>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5906</Words>
  <Characters>6122</Characters>
  <Lines>43</Lines>
  <Paragraphs>12</Paragraphs>
  <TotalTime>8</TotalTime>
  <ScaleCrop>false</ScaleCrop>
  <LinksUpToDate>false</LinksUpToDate>
  <CharactersWithSpaces>6127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2019-12-25T05:45:00Z</dcterms:created>
  <dc:creator>Windows 用户</dc:creator>
  <cp:lastModifiedBy>这</cp:lastModifiedBy>
  <cp:lastPrinted>2019-12-12T06:58:00Z</cp:lastPrinted>
  <dcterms:modified xsi:type="dcterms:W3CDTF">2023-10-18T07:03:55Z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2879FE2185814B7D8387657150EEB6E7_12</vt:lpwstr>
  </property>
</Properties>
</file>