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4CFC3">
      <w:pPr>
        <w:spacing w:line="560" w:lineRule="exact"/>
        <w:jc w:val="left"/>
        <w:rPr>
          <w:rFonts w:eastAsia="方正小标宋_GBK"/>
          <w:sz w:val="44"/>
          <w:szCs w:val="44"/>
        </w:rPr>
      </w:pPr>
      <w:r>
        <w:rPr>
          <w:rFonts w:hint="eastAsia" w:eastAsia="方正小标宋_GBK"/>
          <w:sz w:val="44"/>
          <w:szCs w:val="44"/>
        </w:rPr>
        <w:t>青岛西海岸新区</w:t>
      </w:r>
      <w:r>
        <w:rPr>
          <w:rFonts w:eastAsia="方正小标宋_GBK"/>
          <w:sz w:val="44"/>
          <w:szCs w:val="44"/>
        </w:rPr>
        <w:t>海洋特色产业</w:t>
      </w:r>
      <w:r>
        <w:rPr>
          <w:rFonts w:hint="eastAsia" w:eastAsia="方正小标宋_GBK"/>
          <w:sz w:val="44"/>
          <w:szCs w:val="44"/>
        </w:rPr>
        <w:t>集聚区（园区）</w:t>
      </w:r>
    </w:p>
    <w:p w14:paraId="0006571B">
      <w:pPr>
        <w:spacing w:line="560" w:lineRule="exact"/>
        <w:jc w:val="center"/>
        <w:rPr>
          <w:rFonts w:hint="eastAsia" w:eastAsia="黑体"/>
          <w:sz w:val="36"/>
        </w:rPr>
      </w:pPr>
      <w:r>
        <w:rPr>
          <w:rFonts w:hint="eastAsia" w:eastAsia="方正小标宋_GBK"/>
          <w:sz w:val="44"/>
          <w:szCs w:val="44"/>
        </w:rPr>
        <w:t>认定与</w:t>
      </w:r>
      <w:r>
        <w:rPr>
          <w:rFonts w:eastAsia="方正小标宋_GBK"/>
          <w:sz w:val="44"/>
          <w:szCs w:val="44"/>
        </w:rPr>
        <w:t>管理办法</w:t>
      </w:r>
    </w:p>
    <w:p w14:paraId="6E0DBA5C">
      <w:pPr>
        <w:widowControl/>
        <w:shd w:val="clear" w:color="auto" w:fill="FFFFFF"/>
        <w:adjustRightInd w:val="0"/>
        <w:snapToGrid w:val="0"/>
        <w:spacing w:line="560" w:lineRule="exact"/>
        <w:jc w:val="center"/>
        <w:rPr>
          <w:rFonts w:hint="eastAsia" w:ascii="仿宋_GB2312"/>
          <w:szCs w:val="32"/>
          <w:lang w:eastAsia="zh-CN"/>
        </w:rPr>
      </w:pPr>
      <w:r>
        <w:rPr>
          <w:rFonts w:hint="eastAsia" w:ascii="仿宋_GB2312"/>
          <w:szCs w:val="32"/>
          <w:lang w:eastAsia="zh-CN"/>
        </w:rPr>
        <w:t>（征求意见稿）</w:t>
      </w:r>
    </w:p>
    <w:p w14:paraId="7CEE1FFF">
      <w:pPr>
        <w:widowControl/>
        <w:shd w:val="clear" w:color="auto" w:fill="FFFFFF"/>
        <w:adjustRightInd w:val="0"/>
        <w:snapToGrid w:val="0"/>
        <w:spacing w:line="560" w:lineRule="exact"/>
        <w:jc w:val="center"/>
        <w:rPr>
          <w:rFonts w:hint="eastAsia" w:ascii="仿宋_GB2312"/>
          <w:szCs w:val="32"/>
          <w:lang w:eastAsia="zh-CN"/>
        </w:rPr>
      </w:pPr>
    </w:p>
    <w:p w14:paraId="3A4B1E65">
      <w:pPr>
        <w:snapToGrid w:val="0"/>
        <w:spacing w:line="560" w:lineRule="exact"/>
        <w:jc w:val="center"/>
        <w:rPr>
          <w:rFonts w:eastAsia="黑体"/>
          <w:szCs w:val="32"/>
        </w:rPr>
      </w:pPr>
      <w:r>
        <w:rPr>
          <w:rFonts w:eastAsia="黑体"/>
          <w:szCs w:val="32"/>
        </w:rPr>
        <w:t>第一章 总则</w:t>
      </w:r>
    </w:p>
    <w:p w14:paraId="35E56B47">
      <w:pPr>
        <w:snapToGrid w:val="0"/>
        <w:spacing w:line="560" w:lineRule="exact"/>
        <w:jc w:val="center"/>
        <w:rPr>
          <w:szCs w:val="32"/>
        </w:rPr>
      </w:pPr>
    </w:p>
    <w:p w14:paraId="1EE4C7E1">
      <w:pPr>
        <w:adjustRightInd w:val="0"/>
        <w:snapToGrid w:val="0"/>
        <w:spacing w:line="560" w:lineRule="exact"/>
        <w:ind w:firstLine="640" w:firstLineChars="200"/>
        <w:rPr>
          <w:rFonts w:ascii="仿宋_GB2312" w:hAnsi="仿宋_GB2312" w:cs="仿宋_GB2312"/>
          <w:kern w:val="0"/>
          <w:szCs w:val="32"/>
        </w:rPr>
      </w:pPr>
      <w:r>
        <w:rPr>
          <w:rFonts w:eastAsia="楷体"/>
          <w:szCs w:val="32"/>
        </w:rPr>
        <w:t xml:space="preserve">第一条  </w:t>
      </w:r>
      <w:r>
        <w:rPr>
          <w:rFonts w:ascii="仿宋_GB2312" w:hAnsi="仿宋_GB2312" w:cs="仿宋_GB2312"/>
          <w:kern w:val="0"/>
          <w:szCs w:val="32"/>
        </w:rPr>
        <w:t>为</w:t>
      </w:r>
      <w:r>
        <w:rPr>
          <w:rFonts w:hint="eastAsia" w:ascii="仿宋_GB2312" w:hAnsi="仿宋_GB2312" w:cs="仿宋_GB2312"/>
          <w:kern w:val="0"/>
          <w:szCs w:val="32"/>
        </w:rPr>
        <w:t>了</w:t>
      </w:r>
      <w:r>
        <w:rPr>
          <w:rFonts w:ascii="仿宋_GB2312" w:hAnsi="仿宋_GB2312" w:cs="仿宋_GB2312"/>
          <w:kern w:val="0"/>
          <w:szCs w:val="32"/>
        </w:rPr>
        <w:t>持续优化现代海洋产业结构，推动</w:t>
      </w:r>
      <w:r>
        <w:rPr>
          <w:rFonts w:hint="eastAsia" w:ascii="仿宋_GB2312" w:hAnsi="仿宋_GB2312" w:cs="仿宋_GB2312"/>
          <w:kern w:val="0"/>
          <w:szCs w:val="32"/>
        </w:rPr>
        <w:t>青岛西海岸新区（以下简称“新区”）</w:t>
      </w:r>
      <w:r>
        <w:rPr>
          <w:rFonts w:ascii="仿宋_GB2312" w:hAnsi="仿宋_GB2312" w:cs="仿宋_GB2312"/>
          <w:kern w:val="0"/>
          <w:szCs w:val="32"/>
        </w:rPr>
        <w:t>海洋产业特色化、集聚</w:t>
      </w:r>
      <w:r>
        <w:rPr>
          <w:rFonts w:hint="eastAsia" w:ascii="仿宋_GB2312" w:hAnsi="仿宋_GB2312" w:cs="仿宋_GB2312"/>
          <w:kern w:val="0"/>
          <w:szCs w:val="32"/>
        </w:rPr>
        <w:t>化、高端化</w:t>
      </w:r>
      <w:r>
        <w:rPr>
          <w:rFonts w:ascii="仿宋_GB2312" w:hAnsi="仿宋_GB2312" w:cs="仿宋_GB2312"/>
          <w:kern w:val="0"/>
          <w:szCs w:val="32"/>
        </w:rPr>
        <w:t>发展，培育</w:t>
      </w:r>
      <w:r>
        <w:rPr>
          <w:rFonts w:hint="eastAsia" w:ascii="仿宋_GB2312" w:hAnsi="仿宋_GB2312" w:cs="仿宋_GB2312"/>
          <w:kern w:val="0"/>
          <w:szCs w:val="32"/>
        </w:rPr>
        <w:t>建设</w:t>
      </w:r>
      <w:r>
        <w:rPr>
          <w:rFonts w:ascii="仿宋_GB2312" w:hAnsi="仿宋_GB2312" w:cs="仿宋_GB2312"/>
          <w:kern w:val="0"/>
          <w:szCs w:val="32"/>
        </w:rPr>
        <w:t>一批海洋特色产业集聚区</w:t>
      </w:r>
      <w:r>
        <w:rPr>
          <w:rFonts w:hint="eastAsia" w:ascii="仿宋_GB2312" w:hAnsi="仿宋_GB2312" w:cs="仿宋_GB2312"/>
          <w:kern w:val="0"/>
          <w:szCs w:val="32"/>
        </w:rPr>
        <w:t>（园区）</w:t>
      </w:r>
      <w:r>
        <w:rPr>
          <w:rFonts w:ascii="仿宋_GB2312" w:hAnsi="仿宋_GB2312" w:cs="仿宋_GB2312"/>
          <w:kern w:val="0"/>
          <w:szCs w:val="32"/>
        </w:rPr>
        <w:t>（以下简称</w:t>
      </w:r>
      <w:r>
        <w:rPr>
          <w:rFonts w:hint="eastAsia" w:ascii="仿宋_GB2312" w:hAnsi="仿宋_GB2312" w:cs="仿宋_GB2312"/>
          <w:kern w:val="0"/>
          <w:szCs w:val="32"/>
        </w:rPr>
        <w:t>“集聚区”</w:t>
      </w:r>
      <w:r>
        <w:rPr>
          <w:rFonts w:ascii="仿宋_GB2312" w:hAnsi="仿宋_GB2312" w:cs="仿宋_GB2312"/>
          <w:kern w:val="0"/>
          <w:szCs w:val="32"/>
        </w:rPr>
        <w:t>），加快建设海洋经济发展引领区，制定本办法。</w:t>
      </w:r>
    </w:p>
    <w:p w14:paraId="37059987">
      <w:pPr>
        <w:pStyle w:val="51"/>
        <w:adjustRightInd w:val="0"/>
        <w:snapToGrid w:val="0"/>
        <w:rPr>
          <w:rFonts w:ascii="仿宋_GB2312" w:hAnsi="仿宋_GB2312" w:cs="仿宋_GB2312"/>
          <w:kern w:val="0"/>
          <w:szCs w:val="32"/>
        </w:rPr>
      </w:pPr>
      <w:r>
        <w:rPr>
          <w:rFonts w:eastAsia="楷体"/>
          <w:szCs w:val="32"/>
        </w:rPr>
        <w:t xml:space="preserve">第二条  </w:t>
      </w:r>
      <w:r>
        <w:rPr>
          <w:rFonts w:hint="eastAsia" w:ascii="仿宋_GB2312" w:hAnsi="仿宋_GB2312" w:cs="仿宋_GB2312"/>
          <w:kern w:val="0"/>
          <w:szCs w:val="32"/>
        </w:rPr>
        <w:t>以“特色引领、错位竞争、链主带动、集聚发展”为原则，根据新区产业发展基础，</w:t>
      </w:r>
      <w:r>
        <w:rPr>
          <w:rFonts w:ascii="仿宋_GB2312" w:hAnsi="仿宋_GB2312" w:cs="仿宋_GB2312"/>
          <w:kern w:val="0"/>
          <w:szCs w:val="32"/>
        </w:rPr>
        <w:t>聚焦“1+3+3+1”重点产业</w:t>
      </w:r>
      <w:r>
        <w:rPr>
          <w:rFonts w:hint="eastAsia" w:ascii="楷体_GB2312" w:hAnsi="楷体_GB2312" w:eastAsia="楷体_GB2312" w:cs="楷体_GB2312"/>
          <w:kern w:val="0"/>
          <w:sz w:val="28"/>
          <w:szCs w:val="28"/>
        </w:rPr>
        <w:t>（“1”个关键产业：海洋新材料，“3”个优势产业：海洋装备制造业、现代渔业、港口航运，“3”个新兴产业：海洋药物及生物制品业、海水淡化及综合利用业、海洋新能源，“1”个未来产业：海洋电子信息）</w:t>
      </w:r>
      <w:r>
        <w:rPr>
          <w:rFonts w:hint="eastAsia" w:ascii="仿宋_GB2312" w:hAnsi="仿宋_GB2312" w:cs="仿宋_GB2312"/>
          <w:kern w:val="0"/>
          <w:szCs w:val="32"/>
        </w:rPr>
        <w:t>，结合区域功能定位，系统谋划船舶海工、海洋生物医药、海洋电子信息等海洋特色产业集聚区培育工作，构建特色鲜明、专业突出、集聚明显、承载功能较强的产业集聚区。原则上每个重点产业培育建设1-2个集聚区。</w:t>
      </w:r>
    </w:p>
    <w:p w14:paraId="5CDE1FC3">
      <w:pPr>
        <w:pStyle w:val="51"/>
        <w:adjustRightInd w:val="0"/>
        <w:snapToGrid w:val="0"/>
        <w:rPr>
          <w:kern w:val="0"/>
          <w:szCs w:val="32"/>
        </w:rPr>
      </w:pPr>
      <w:r>
        <w:rPr>
          <w:rFonts w:eastAsia="楷体"/>
          <w:szCs w:val="32"/>
        </w:rPr>
        <w:t xml:space="preserve">第三条  </w:t>
      </w:r>
      <w:r>
        <w:rPr>
          <w:rFonts w:hint="eastAsia" w:ascii="仿宋_GB2312" w:hAnsi="仿宋_GB2312" w:cs="仿宋_GB2312"/>
          <w:kern w:val="0"/>
          <w:szCs w:val="32"/>
        </w:rPr>
        <w:t>集聚区</w:t>
      </w:r>
      <w:r>
        <w:rPr>
          <w:rFonts w:ascii="仿宋_GB2312" w:hAnsi="仿宋_GB2312" w:cs="仿宋_GB2312"/>
          <w:kern w:val="0"/>
          <w:szCs w:val="32"/>
        </w:rPr>
        <w:t>培育建设坚持因地制宜、分类实施，立足区域要素资源禀赋，发挥产业比较优势，拓展多元化培育路径。坚持创新驱动、高效开发，推动</w:t>
      </w:r>
      <w:r>
        <w:rPr>
          <w:rFonts w:hint="eastAsia" w:ascii="仿宋_GB2312" w:hAnsi="仿宋_GB2312" w:cs="仿宋_GB2312"/>
          <w:kern w:val="0"/>
          <w:szCs w:val="32"/>
        </w:rPr>
        <w:t>集聚区专业化、特色化、差异化发展，</w:t>
      </w:r>
      <w:r>
        <w:rPr>
          <w:rFonts w:ascii="仿宋_GB2312" w:hAnsi="仿宋_GB2312" w:cs="仿宋_GB2312"/>
          <w:kern w:val="0"/>
          <w:szCs w:val="32"/>
        </w:rPr>
        <w:t>建设高端化、数字化、绿色化、国际化</w:t>
      </w:r>
      <w:r>
        <w:rPr>
          <w:rFonts w:hint="eastAsia" w:ascii="仿宋_GB2312" w:hAnsi="仿宋_GB2312" w:cs="仿宋_GB2312"/>
          <w:kern w:val="0"/>
          <w:szCs w:val="32"/>
        </w:rPr>
        <w:t>集聚区</w:t>
      </w:r>
      <w:r>
        <w:rPr>
          <w:rFonts w:ascii="仿宋_GB2312" w:hAnsi="仿宋_GB2312" w:cs="仿宋_GB2312"/>
          <w:kern w:val="0"/>
          <w:szCs w:val="32"/>
        </w:rPr>
        <w:t>。</w:t>
      </w:r>
    </w:p>
    <w:p w14:paraId="288927CC">
      <w:pPr>
        <w:adjustRightInd w:val="0"/>
        <w:snapToGrid w:val="0"/>
        <w:spacing w:line="560" w:lineRule="exact"/>
        <w:ind w:firstLine="640" w:firstLineChars="200"/>
        <w:rPr>
          <w:rFonts w:ascii="仿宋_GB2312" w:hAnsi="仿宋_GB2312" w:cs="仿宋_GB2312"/>
          <w:kern w:val="0"/>
          <w:szCs w:val="32"/>
        </w:rPr>
      </w:pPr>
      <w:r>
        <w:rPr>
          <w:rFonts w:eastAsia="楷体"/>
          <w:kern w:val="0"/>
          <w:szCs w:val="32"/>
        </w:rPr>
        <w:t>第</w:t>
      </w:r>
      <w:r>
        <w:rPr>
          <w:rFonts w:hint="eastAsia" w:eastAsia="楷体"/>
          <w:kern w:val="0"/>
          <w:szCs w:val="32"/>
        </w:rPr>
        <w:t>四</w:t>
      </w:r>
      <w:r>
        <w:rPr>
          <w:rFonts w:eastAsia="楷体"/>
          <w:kern w:val="0"/>
          <w:szCs w:val="32"/>
        </w:rPr>
        <w:t xml:space="preserve">条  </w:t>
      </w:r>
      <w:r>
        <w:rPr>
          <w:rFonts w:ascii="仿宋_GB2312" w:hAnsi="仿宋_GB2312" w:cs="仿宋_GB2312"/>
          <w:kern w:val="0"/>
          <w:szCs w:val="32"/>
        </w:rPr>
        <w:t>坚持市场主导、政府引导，优化政府服务职能，统筹规划制定、要素供给、政策支持，引导企业参与</w:t>
      </w:r>
      <w:r>
        <w:rPr>
          <w:rFonts w:hint="eastAsia" w:ascii="仿宋_GB2312" w:hAnsi="仿宋_GB2312" w:cs="仿宋_GB2312"/>
          <w:kern w:val="0"/>
          <w:szCs w:val="32"/>
        </w:rPr>
        <w:t>集聚区</w:t>
      </w:r>
      <w:r>
        <w:rPr>
          <w:rFonts w:ascii="仿宋_GB2312" w:hAnsi="仿宋_GB2312" w:cs="仿宋_GB2312"/>
          <w:kern w:val="0"/>
          <w:szCs w:val="32"/>
        </w:rPr>
        <w:t>全周期建设，实现政府、市场“两只手”有效互补。</w:t>
      </w:r>
    </w:p>
    <w:p w14:paraId="0C2C47D2">
      <w:pPr>
        <w:pStyle w:val="51"/>
        <w:adjustRightInd w:val="0"/>
        <w:snapToGrid w:val="0"/>
        <w:rPr>
          <w:szCs w:val="32"/>
        </w:rPr>
      </w:pPr>
      <w:r>
        <w:rPr>
          <w:rFonts w:eastAsia="楷体"/>
          <w:szCs w:val="32"/>
        </w:rPr>
        <w:t>第</w:t>
      </w:r>
      <w:r>
        <w:rPr>
          <w:rFonts w:hint="eastAsia" w:eastAsia="楷体"/>
          <w:szCs w:val="32"/>
        </w:rPr>
        <w:t>五</w:t>
      </w:r>
      <w:r>
        <w:rPr>
          <w:rFonts w:eastAsia="楷体"/>
          <w:szCs w:val="32"/>
        </w:rPr>
        <w:t xml:space="preserve">条  </w:t>
      </w:r>
      <w:r>
        <w:rPr>
          <w:rFonts w:hint="eastAsia" w:ascii="仿宋_GB2312" w:hAnsi="仿宋_GB2312" w:cs="仿宋_GB2312"/>
          <w:kern w:val="0"/>
          <w:szCs w:val="32"/>
        </w:rPr>
        <w:t>集聚区</w:t>
      </w:r>
      <w:r>
        <w:rPr>
          <w:rFonts w:ascii="仿宋_GB2312" w:hAnsi="仿宋_GB2312" w:cs="仿宋_GB2312"/>
          <w:kern w:val="0"/>
          <w:szCs w:val="32"/>
        </w:rPr>
        <w:t>实行动态管理方式</w:t>
      </w:r>
      <w:r>
        <w:rPr>
          <w:rFonts w:hint="eastAsia" w:ascii="仿宋_GB2312" w:hAnsi="仿宋_GB2312" w:cs="仿宋_GB2312"/>
          <w:kern w:val="0"/>
          <w:szCs w:val="32"/>
        </w:rPr>
        <w:t>。</w:t>
      </w:r>
      <w:r>
        <w:rPr>
          <w:rFonts w:ascii="仿宋_GB2312" w:hAnsi="仿宋_GB2312" w:cs="仿宋_GB2312"/>
          <w:kern w:val="0"/>
          <w:szCs w:val="32"/>
        </w:rPr>
        <w:t>对于新申报建设的</w:t>
      </w:r>
      <w:r>
        <w:rPr>
          <w:rFonts w:hint="eastAsia" w:ascii="仿宋_GB2312" w:hAnsi="仿宋_GB2312" w:cs="仿宋_GB2312"/>
          <w:kern w:val="0"/>
          <w:szCs w:val="32"/>
        </w:rPr>
        <w:t>集聚区</w:t>
      </w:r>
      <w:r>
        <w:rPr>
          <w:rFonts w:ascii="仿宋_GB2312" w:hAnsi="仿宋_GB2312" w:cs="仿宋_GB2312"/>
          <w:kern w:val="0"/>
          <w:szCs w:val="32"/>
        </w:rPr>
        <w:t>，将根据</w:t>
      </w:r>
      <w:r>
        <w:rPr>
          <w:rFonts w:hint="eastAsia" w:ascii="仿宋_GB2312" w:hAnsi="仿宋_GB2312" w:cs="仿宋_GB2312"/>
          <w:kern w:val="0"/>
          <w:szCs w:val="32"/>
        </w:rPr>
        <w:t>市场</w:t>
      </w:r>
      <w:r>
        <w:rPr>
          <w:rFonts w:ascii="仿宋_GB2312" w:hAnsi="仿宋_GB2312" w:cs="仿宋_GB2312"/>
          <w:kern w:val="0"/>
          <w:szCs w:val="32"/>
        </w:rPr>
        <w:t>需要</w:t>
      </w:r>
      <w:r>
        <w:rPr>
          <w:rFonts w:hint="eastAsia" w:ascii="仿宋_GB2312" w:hAnsi="仿宋_GB2312" w:cs="仿宋_GB2312"/>
          <w:kern w:val="0"/>
          <w:szCs w:val="32"/>
        </w:rPr>
        <w:t>与产业</w:t>
      </w:r>
      <w:r>
        <w:rPr>
          <w:rFonts w:ascii="仿宋_GB2312" w:hAnsi="仿宋_GB2312" w:cs="仿宋_GB2312"/>
          <w:kern w:val="0"/>
          <w:szCs w:val="32"/>
        </w:rPr>
        <w:t>培育基础条件</w:t>
      </w:r>
      <w:r>
        <w:rPr>
          <w:rFonts w:hint="eastAsia" w:ascii="仿宋_GB2312" w:hAnsi="仿宋_GB2312" w:cs="仿宋_GB2312"/>
          <w:kern w:val="0"/>
          <w:szCs w:val="32"/>
        </w:rPr>
        <w:t>进行</w:t>
      </w:r>
      <w:r>
        <w:rPr>
          <w:rFonts w:ascii="仿宋_GB2312" w:hAnsi="仿宋_GB2312" w:cs="仿宋_GB2312"/>
          <w:kern w:val="0"/>
          <w:szCs w:val="32"/>
        </w:rPr>
        <w:t>储备</w:t>
      </w:r>
      <w:r>
        <w:rPr>
          <w:rFonts w:hint="eastAsia" w:ascii="仿宋_GB2312" w:hAnsi="仿宋_GB2312" w:cs="仿宋_GB2312"/>
          <w:kern w:val="0"/>
          <w:szCs w:val="32"/>
        </w:rPr>
        <w:t>，</w:t>
      </w:r>
      <w:r>
        <w:rPr>
          <w:rFonts w:ascii="仿宋_GB2312" w:hAnsi="仿宋_GB2312" w:cs="仿宋_GB2312"/>
          <w:kern w:val="0"/>
          <w:szCs w:val="32"/>
        </w:rPr>
        <w:t>并</w:t>
      </w:r>
      <w:r>
        <w:rPr>
          <w:rFonts w:hint="eastAsia" w:ascii="仿宋_GB2312" w:hAnsi="仿宋_GB2312" w:cs="仿宋_GB2312"/>
          <w:kern w:val="0"/>
          <w:szCs w:val="32"/>
        </w:rPr>
        <w:t>按照“成熟一个、启动一个”的原则</w:t>
      </w:r>
      <w:r>
        <w:rPr>
          <w:rFonts w:ascii="仿宋_GB2312" w:hAnsi="仿宋_GB2312" w:cs="仿宋_GB2312"/>
          <w:kern w:val="0"/>
          <w:szCs w:val="32"/>
        </w:rPr>
        <w:t>，</w:t>
      </w:r>
      <w:r>
        <w:rPr>
          <w:rFonts w:hint="eastAsia" w:ascii="仿宋_GB2312" w:hAnsi="仿宋_GB2312" w:cs="仿宋_GB2312"/>
          <w:kern w:val="0"/>
          <w:szCs w:val="32"/>
        </w:rPr>
        <w:t>实施特色产业集聚区梯度培育行动，</w:t>
      </w:r>
      <w:r>
        <w:rPr>
          <w:rFonts w:ascii="仿宋_GB2312" w:hAnsi="仿宋_GB2312" w:cs="仿宋_GB2312"/>
          <w:kern w:val="0"/>
          <w:szCs w:val="32"/>
        </w:rPr>
        <w:t>适时开展</w:t>
      </w:r>
      <w:r>
        <w:rPr>
          <w:rFonts w:hint="eastAsia" w:ascii="仿宋_GB2312" w:hAnsi="仿宋_GB2312" w:cs="仿宋_GB2312"/>
          <w:kern w:val="0"/>
          <w:szCs w:val="32"/>
        </w:rPr>
        <w:t>组织申报</w:t>
      </w:r>
      <w:r>
        <w:rPr>
          <w:rFonts w:ascii="仿宋_GB2312" w:hAnsi="仿宋_GB2312" w:cs="仿宋_GB2312"/>
          <w:kern w:val="0"/>
          <w:szCs w:val="32"/>
        </w:rPr>
        <w:t>工作</w:t>
      </w:r>
      <w:r>
        <w:rPr>
          <w:rFonts w:hint="eastAsia" w:ascii="仿宋_GB2312" w:hAnsi="仿宋_GB2312" w:cs="仿宋_GB2312"/>
          <w:kern w:val="0"/>
          <w:szCs w:val="32"/>
        </w:rPr>
        <w:t>。</w:t>
      </w:r>
      <w:r>
        <w:rPr>
          <w:rFonts w:ascii="仿宋_GB2312" w:hAnsi="仿宋_GB2312" w:cs="仿宋_GB2312"/>
          <w:kern w:val="0"/>
          <w:szCs w:val="32"/>
        </w:rPr>
        <w:t>对于不能满足标准条件的</w:t>
      </w:r>
      <w:r>
        <w:rPr>
          <w:rFonts w:hint="eastAsia" w:ascii="仿宋_GB2312" w:hAnsi="仿宋_GB2312" w:cs="仿宋_GB2312"/>
          <w:kern w:val="0"/>
          <w:szCs w:val="32"/>
        </w:rPr>
        <w:t>集聚区</w:t>
      </w:r>
      <w:r>
        <w:rPr>
          <w:rFonts w:ascii="仿宋_GB2312" w:hAnsi="仿宋_GB2312" w:cs="仿宋_GB2312"/>
          <w:kern w:val="0"/>
          <w:szCs w:val="32"/>
        </w:rPr>
        <w:t>，将给予动态</w:t>
      </w:r>
      <w:r>
        <w:rPr>
          <w:rFonts w:hint="eastAsia" w:ascii="仿宋_GB2312" w:hAnsi="仿宋_GB2312" w:cs="仿宋_GB2312"/>
          <w:kern w:val="0"/>
          <w:szCs w:val="32"/>
        </w:rPr>
        <w:t>调整</w:t>
      </w:r>
      <w:r>
        <w:rPr>
          <w:rFonts w:ascii="仿宋_GB2312" w:hAnsi="仿宋_GB2312" w:cs="仿宋_GB2312"/>
          <w:kern w:val="0"/>
          <w:szCs w:val="32"/>
        </w:rPr>
        <w:t>。</w:t>
      </w:r>
    </w:p>
    <w:p w14:paraId="6444264A">
      <w:pPr>
        <w:adjustRightInd w:val="0"/>
        <w:snapToGrid w:val="0"/>
        <w:spacing w:line="560" w:lineRule="exact"/>
        <w:ind w:firstLine="640" w:firstLineChars="200"/>
        <w:rPr>
          <w:rFonts w:eastAsia="黑体"/>
          <w:szCs w:val="32"/>
        </w:rPr>
      </w:pPr>
    </w:p>
    <w:p w14:paraId="1C0A1F1B">
      <w:pPr>
        <w:snapToGrid w:val="0"/>
        <w:spacing w:line="560" w:lineRule="exact"/>
        <w:jc w:val="center"/>
        <w:rPr>
          <w:rFonts w:eastAsia="黑体"/>
          <w:szCs w:val="32"/>
        </w:rPr>
      </w:pPr>
      <w:r>
        <w:rPr>
          <w:rFonts w:eastAsia="黑体"/>
          <w:szCs w:val="32"/>
        </w:rPr>
        <w:t xml:space="preserve">第二章 </w:t>
      </w:r>
      <w:r>
        <w:rPr>
          <w:rFonts w:hint="eastAsia" w:eastAsia="黑体"/>
          <w:szCs w:val="32"/>
        </w:rPr>
        <w:t>申报标准</w:t>
      </w:r>
    </w:p>
    <w:p w14:paraId="6728D344">
      <w:pPr>
        <w:pStyle w:val="17"/>
        <w:adjustRightInd w:val="0"/>
        <w:snapToGrid w:val="0"/>
        <w:spacing w:after="0" w:line="560" w:lineRule="exact"/>
        <w:ind w:firstLine="640" w:firstLineChars="200"/>
        <w:rPr>
          <w:rFonts w:eastAsia="楷体"/>
          <w:kern w:val="0"/>
          <w:szCs w:val="32"/>
        </w:rPr>
      </w:pPr>
    </w:p>
    <w:p w14:paraId="5642143E">
      <w:pPr>
        <w:pStyle w:val="51"/>
        <w:numPr>
          <w:ilvl w:val="0"/>
          <w:numId w:val="1"/>
        </w:numPr>
        <w:adjustRightInd w:val="0"/>
        <w:snapToGrid w:val="0"/>
        <w:rPr>
          <w:rFonts w:eastAsia="楷体"/>
          <w:kern w:val="0"/>
          <w:szCs w:val="32"/>
        </w:rPr>
      </w:pPr>
      <w:r>
        <w:rPr>
          <w:rFonts w:eastAsia="楷体"/>
          <w:kern w:val="0"/>
          <w:szCs w:val="32"/>
        </w:rPr>
        <w:t xml:space="preserve"> </w:t>
      </w:r>
      <w:r>
        <w:rPr>
          <w:rFonts w:hint="eastAsia" w:ascii="仿宋_GB2312" w:hAnsi="仿宋_GB2312" w:cs="仿宋_GB2312"/>
          <w:kern w:val="0"/>
          <w:szCs w:val="32"/>
        </w:rPr>
        <w:t>集聚区</w:t>
      </w:r>
      <w:r>
        <w:rPr>
          <w:rFonts w:ascii="仿宋_GB2312" w:hAnsi="仿宋_GB2312" w:cs="仿宋_GB2312"/>
          <w:kern w:val="0"/>
          <w:szCs w:val="32"/>
        </w:rPr>
        <w:t>建设类型、</w:t>
      </w:r>
      <w:r>
        <w:rPr>
          <w:rFonts w:hint="eastAsia" w:ascii="仿宋_GB2312" w:hAnsi="仿宋_GB2312" w:cs="仿宋_GB2312"/>
          <w:kern w:val="0"/>
          <w:szCs w:val="32"/>
        </w:rPr>
        <w:t>建设</w:t>
      </w:r>
      <w:r>
        <w:rPr>
          <w:rFonts w:ascii="仿宋_GB2312" w:hAnsi="仿宋_GB2312" w:cs="仿宋_GB2312"/>
          <w:kern w:val="0"/>
          <w:szCs w:val="32"/>
        </w:rPr>
        <w:t>周期及培育</w:t>
      </w:r>
      <w:r>
        <w:rPr>
          <w:rFonts w:hint="eastAsia" w:ascii="仿宋_GB2312" w:hAnsi="仿宋_GB2312" w:cs="仿宋_GB2312"/>
          <w:kern w:val="0"/>
          <w:szCs w:val="32"/>
        </w:rPr>
        <w:t>进程</w:t>
      </w:r>
      <w:r>
        <w:rPr>
          <w:rFonts w:ascii="仿宋_GB2312" w:hAnsi="仿宋_GB2312" w:cs="仿宋_GB2312"/>
          <w:kern w:val="0"/>
          <w:szCs w:val="32"/>
        </w:rPr>
        <w:t>明确</w:t>
      </w:r>
      <w:r>
        <w:rPr>
          <w:rFonts w:hint="eastAsia" w:ascii="仿宋_GB2312" w:hAnsi="仿宋_GB2312" w:cs="仿宋_GB2312"/>
          <w:kern w:val="0"/>
          <w:szCs w:val="32"/>
        </w:rPr>
        <w:t>明晰</w:t>
      </w:r>
      <w:r>
        <w:rPr>
          <w:rFonts w:ascii="仿宋_GB2312" w:hAnsi="仿宋_GB2312" w:cs="仿宋_GB2312"/>
          <w:kern w:val="0"/>
          <w:szCs w:val="32"/>
        </w:rPr>
        <w:t>，空间布局</w:t>
      </w:r>
      <w:r>
        <w:rPr>
          <w:rFonts w:hint="eastAsia" w:ascii="仿宋_GB2312" w:hAnsi="仿宋_GB2312" w:cs="仿宋_GB2312"/>
          <w:kern w:val="0"/>
          <w:szCs w:val="32"/>
        </w:rPr>
        <w:t>、</w:t>
      </w:r>
      <w:r>
        <w:rPr>
          <w:rFonts w:ascii="仿宋_GB2312" w:hAnsi="仿宋_GB2312" w:cs="仿宋_GB2312"/>
          <w:kern w:val="0"/>
          <w:szCs w:val="32"/>
          <w:lang w:val="zh-CN"/>
        </w:rPr>
        <w:t>地块现状</w:t>
      </w:r>
      <w:r>
        <w:rPr>
          <w:rFonts w:hint="eastAsia" w:ascii="仿宋_GB2312" w:hAnsi="仿宋_GB2312" w:cs="仿宋_GB2312"/>
          <w:kern w:val="0"/>
          <w:szCs w:val="32"/>
          <w:lang w:val="zh-CN"/>
        </w:rPr>
        <w:t>、</w:t>
      </w:r>
      <w:r>
        <w:rPr>
          <w:rFonts w:hint="eastAsia" w:ascii="仿宋_GB2312" w:hAnsi="仿宋_GB2312" w:cs="仿宋_GB2312"/>
          <w:kern w:val="0"/>
          <w:szCs w:val="32"/>
        </w:rPr>
        <w:t>产业规划、建设规划等精细详实；投资强度、亩均税收、容积率等符合相应建设标准；</w:t>
      </w:r>
      <w:r>
        <w:rPr>
          <w:rFonts w:ascii="仿宋_GB2312" w:hAnsi="仿宋_GB2312" w:cs="仿宋_GB2312"/>
          <w:kern w:val="0"/>
          <w:szCs w:val="32"/>
        </w:rPr>
        <w:t>产业链配套及重点产业环节</w:t>
      </w:r>
      <w:r>
        <w:rPr>
          <w:rFonts w:hint="eastAsia" w:ascii="仿宋_GB2312" w:hAnsi="仿宋_GB2312" w:cs="仿宋_GB2312"/>
          <w:kern w:val="0"/>
          <w:szCs w:val="32"/>
        </w:rPr>
        <w:t>等</w:t>
      </w:r>
      <w:r>
        <w:rPr>
          <w:rFonts w:ascii="仿宋_GB2312" w:hAnsi="仿宋_GB2312" w:cs="仿宋_GB2312"/>
          <w:kern w:val="0"/>
          <w:szCs w:val="32"/>
        </w:rPr>
        <w:t>功能区块布局合理</w:t>
      </w:r>
      <w:r>
        <w:rPr>
          <w:rFonts w:hint="eastAsia" w:ascii="仿宋_GB2312" w:hAnsi="仿宋_GB2312" w:cs="仿宋_GB2312"/>
          <w:kern w:val="0"/>
          <w:szCs w:val="32"/>
        </w:rPr>
        <w:t>。</w:t>
      </w:r>
    </w:p>
    <w:p w14:paraId="3CA603D8">
      <w:pPr>
        <w:pStyle w:val="51"/>
        <w:adjustRightInd w:val="0"/>
        <w:snapToGrid w:val="0"/>
        <w:rPr>
          <w:rFonts w:ascii="仿宋_GB2312" w:hAnsi="仿宋_GB2312" w:cs="仿宋_GB2312"/>
          <w:kern w:val="0"/>
          <w:szCs w:val="32"/>
        </w:rPr>
      </w:pPr>
      <w:r>
        <w:rPr>
          <w:rFonts w:hint="eastAsia" w:eastAsia="楷体"/>
          <w:kern w:val="0"/>
          <w:szCs w:val="32"/>
        </w:rPr>
        <w:t xml:space="preserve">第七条 </w:t>
      </w:r>
      <w:r>
        <w:rPr>
          <w:rFonts w:hint="eastAsia"/>
          <w:kern w:val="0"/>
        </w:rPr>
        <w:t xml:space="preserve"> </w:t>
      </w:r>
      <w:r>
        <w:rPr>
          <w:rFonts w:hint="eastAsia" w:ascii="仿宋_GB2312" w:hAnsi="仿宋_GB2312" w:cs="仿宋_GB2312"/>
          <w:kern w:val="0"/>
          <w:szCs w:val="32"/>
        </w:rPr>
        <w:t>集聚区持续导入创新资源，集聚国际国内一流的研究机构、高层次人才和创新团队、创新服务平台、科技金融等各类创新要素资源；大力引进建设重点实验室、技术创新中心、企业技术中心、工程研究中心等多层次平台，着重打通科技成果转化重要环节，实现产业链创新链深度耦合。</w:t>
      </w:r>
    </w:p>
    <w:p w14:paraId="4E53213D">
      <w:pPr>
        <w:pStyle w:val="51"/>
        <w:adjustRightInd w:val="0"/>
        <w:snapToGrid w:val="0"/>
        <w:rPr>
          <w:rFonts w:ascii="仿宋_GB2312" w:hAnsi="仿宋_GB2312" w:cs="仿宋_GB2312"/>
          <w:kern w:val="0"/>
          <w:szCs w:val="32"/>
        </w:rPr>
      </w:pPr>
      <w:r>
        <w:rPr>
          <w:rFonts w:eastAsia="楷体"/>
          <w:kern w:val="0"/>
          <w:szCs w:val="32"/>
        </w:rPr>
        <w:t>第</w:t>
      </w:r>
      <w:r>
        <w:rPr>
          <w:rFonts w:hint="eastAsia" w:eastAsia="楷体"/>
          <w:kern w:val="0"/>
          <w:szCs w:val="32"/>
        </w:rPr>
        <w:t>八</w:t>
      </w:r>
      <w:r>
        <w:rPr>
          <w:rFonts w:eastAsia="楷体"/>
          <w:kern w:val="0"/>
          <w:szCs w:val="32"/>
        </w:rPr>
        <w:t xml:space="preserve">条 </w:t>
      </w:r>
      <w:r>
        <w:rPr>
          <w:kern w:val="0"/>
          <w:szCs w:val="32"/>
        </w:rPr>
        <w:t xml:space="preserve"> </w:t>
      </w:r>
      <w:r>
        <w:rPr>
          <w:rFonts w:hint="eastAsia" w:ascii="仿宋_GB2312" w:hAnsi="仿宋_GB2312" w:cs="仿宋_GB2312"/>
          <w:kern w:val="0"/>
          <w:szCs w:val="32"/>
        </w:rPr>
        <w:t>集聚区应当建立</w:t>
      </w:r>
      <w:r>
        <w:rPr>
          <w:rFonts w:ascii="仿宋_GB2312" w:hAnsi="仿宋_GB2312" w:cs="仿宋_GB2312"/>
          <w:kern w:val="0"/>
          <w:szCs w:val="32"/>
        </w:rPr>
        <w:t>“</w:t>
      </w:r>
      <w:r>
        <w:rPr>
          <w:rFonts w:hint="eastAsia" w:ascii="仿宋_GB2312" w:hAnsi="仿宋_GB2312" w:cs="仿宋_GB2312"/>
          <w:kern w:val="0"/>
          <w:szCs w:val="32"/>
        </w:rPr>
        <w:t>5</w:t>
      </w:r>
      <w:r>
        <w:rPr>
          <w:rFonts w:ascii="仿宋_GB2312" w:hAnsi="仿宋_GB2312" w:cs="仿宋_GB2312"/>
          <w:kern w:val="0"/>
          <w:szCs w:val="32"/>
        </w:rPr>
        <w:t>个1”工作机制，即：1个</w:t>
      </w:r>
      <w:r>
        <w:rPr>
          <w:rFonts w:hint="eastAsia" w:ascii="仿宋_GB2312" w:hAnsi="仿宋_GB2312" w:cs="仿宋_GB2312"/>
          <w:kern w:val="0"/>
          <w:szCs w:val="32"/>
        </w:rPr>
        <w:t>管理团队</w:t>
      </w:r>
      <w:r>
        <w:rPr>
          <w:rFonts w:ascii="仿宋_GB2312" w:hAnsi="仿宋_GB2312" w:cs="仿宋_GB2312"/>
          <w:kern w:val="0"/>
          <w:szCs w:val="32"/>
        </w:rPr>
        <w:t>、1个发展</w:t>
      </w:r>
      <w:r>
        <w:rPr>
          <w:rFonts w:hint="eastAsia" w:ascii="仿宋_GB2312" w:hAnsi="仿宋_GB2312" w:cs="仿宋_GB2312"/>
          <w:kern w:val="0"/>
          <w:szCs w:val="32"/>
        </w:rPr>
        <w:t>方案、</w:t>
      </w:r>
      <w:r>
        <w:rPr>
          <w:rFonts w:ascii="仿宋_GB2312" w:hAnsi="仿宋_GB2312" w:cs="仿宋_GB2312"/>
          <w:kern w:val="0"/>
          <w:szCs w:val="32"/>
        </w:rPr>
        <w:t>1家龙头企业、1支招商队伍、1</w:t>
      </w:r>
      <w:r>
        <w:rPr>
          <w:rFonts w:hint="eastAsia" w:ascii="仿宋_GB2312" w:hAnsi="仿宋_GB2312" w:cs="仿宋_GB2312"/>
          <w:kern w:val="0"/>
          <w:szCs w:val="32"/>
        </w:rPr>
        <w:t>批</w:t>
      </w:r>
      <w:r>
        <w:rPr>
          <w:rFonts w:ascii="仿宋_GB2312" w:hAnsi="仿宋_GB2312" w:cs="仿宋_GB2312"/>
          <w:kern w:val="0"/>
          <w:szCs w:val="32"/>
        </w:rPr>
        <w:t>重点项目</w:t>
      </w:r>
      <w:r>
        <w:rPr>
          <w:rFonts w:hint="eastAsia" w:ascii="仿宋_GB2312" w:hAnsi="仿宋_GB2312" w:cs="仿宋_GB2312"/>
          <w:kern w:val="0"/>
          <w:szCs w:val="32"/>
        </w:rPr>
        <w:t>，合力实现集聚区</w:t>
      </w:r>
      <w:r>
        <w:rPr>
          <w:rFonts w:ascii="仿宋_GB2312" w:hAnsi="仿宋_GB2312" w:cs="仿宋_GB2312"/>
          <w:kern w:val="0"/>
          <w:szCs w:val="32"/>
        </w:rPr>
        <w:t>产业延链、补链、强链，推动</w:t>
      </w:r>
      <w:r>
        <w:rPr>
          <w:rFonts w:hint="eastAsia" w:ascii="仿宋_GB2312" w:hAnsi="仿宋_GB2312" w:cs="仿宋_GB2312"/>
          <w:kern w:val="0"/>
          <w:szCs w:val="32"/>
        </w:rPr>
        <w:t>园内</w:t>
      </w:r>
      <w:r>
        <w:rPr>
          <w:rFonts w:ascii="仿宋_GB2312" w:hAnsi="仿宋_GB2312" w:cs="仿宋_GB2312"/>
          <w:kern w:val="0"/>
          <w:szCs w:val="32"/>
        </w:rPr>
        <w:t>海洋产业链群化发展。</w:t>
      </w:r>
    </w:p>
    <w:p w14:paraId="603306DD">
      <w:pPr>
        <w:pStyle w:val="51"/>
        <w:adjustRightInd w:val="0"/>
        <w:snapToGrid w:val="0"/>
        <w:rPr>
          <w:rFonts w:ascii="仿宋_GB2312" w:hAnsi="仿宋_GB2312" w:cs="仿宋_GB2312"/>
          <w:kern w:val="0"/>
          <w:szCs w:val="32"/>
        </w:rPr>
      </w:pPr>
      <w:r>
        <w:rPr>
          <w:rFonts w:eastAsia="楷体"/>
          <w:kern w:val="0"/>
          <w:szCs w:val="32"/>
        </w:rPr>
        <w:t>第</w:t>
      </w:r>
      <w:r>
        <w:rPr>
          <w:rFonts w:hint="eastAsia" w:eastAsia="楷体"/>
          <w:kern w:val="0"/>
          <w:szCs w:val="32"/>
        </w:rPr>
        <w:t>九</w:t>
      </w:r>
      <w:r>
        <w:rPr>
          <w:rFonts w:eastAsia="楷体"/>
          <w:kern w:val="0"/>
          <w:szCs w:val="32"/>
        </w:rPr>
        <w:t xml:space="preserve">条 </w:t>
      </w:r>
      <w:r>
        <w:rPr>
          <w:rFonts w:hint="eastAsia" w:ascii="仿宋_GB2312" w:hAnsi="仿宋_GB2312" w:cs="仿宋_GB2312"/>
          <w:kern w:val="0"/>
          <w:szCs w:val="32"/>
        </w:rPr>
        <w:t xml:space="preserve"> 集聚区分为创建类和认定类。对新建和腾换的集聚区，可以申报创建类特色产业集聚区，按照特色产业发展规划精准招商，促进产业链上下游企业集聚。对集聚区面积规模较大、运营管理水平和产业集聚度较高、示范带动能力较强的集聚区，可以申报认定类特色产业集聚区。</w:t>
      </w:r>
    </w:p>
    <w:p w14:paraId="50B10BF5">
      <w:pPr>
        <w:adjustRightInd w:val="0"/>
        <w:snapToGrid w:val="0"/>
        <w:spacing w:line="560" w:lineRule="exact"/>
        <w:ind w:firstLine="640" w:firstLineChars="200"/>
        <w:rPr>
          <w:rFonts w:hint="eastAsia" w:ascii="仿宋_GB2312" w:hAnsi="仿宋_GB2312" w:cs="仿宋_GB2312"/>
          <w:kern w:val="0"/>
          <w:szCs w:val="32"/>
        </w:rPr>
      </w:pPr>
      <w:r>
        <w:rPr>
          <w:rFonts w:eastAsia="楷体"/>
          <w:kern w:val="0"/>
          <w:szCs w:val="32"/>
        </w:rPr>
        <w:t>第</w:t>
      </w:r>
      <w:r>
        <w:rPr>
          <w:rFonts w:hint="eastAsia" w:eastAsia="楷体"/>
          <w:kern w:val="0"/>
          <w:szCs w:val="32"/>
        </w:rPr>
        <w:t>十</w:t>
      </w:r>
      <w:r>
        <w:rPr>
          <w:rFonts w:eastAsia="楷体"/>
          <w:kern w:val="0"/>
          <w:szCs w:val="32"/>
        </w:rPr>
        <w:t>条</w:t>
      </w:r>
      <w:r>
        <w:rPr>
          <w:kern w:val="0"/>
          <w:szCs w:val="32"/>
          <w:lang w:bidi="zh-CN"/>
        </w:rPr>
        <w:t xml:space="preserve">  </w:t>
      </w:r>
      <w:r>
        <w:rPr>
          <w:rFonts w:hint="eastAsia" w:ascii="仿宋_GB2312" w:hAnsi="仿宋_GB2312" w:cs="仿宋_GB2312"/>
          <w:kern w:val="0"/>
          <w:szCs w:val="32"/>
        </w:rPr>
        <w:t>集聚区同时符合以下条件的，可以申报创建类特色产业集聚区：</w:t>
      </w:r>
    </w:p>
    <w:p w14:paraId="4BCD69E9">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（一）集聚区申报单位应当健全管理制度，能够有效组织开展园区的建设、管理和运营；</w:t>
      </w:r>
    </w:p>
    <w:p w14:paraId="22412F45">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（二）集聚区四至边界清晰，符合国民经济和社会发展规划、国土空间及区域产业发展规划等；</w:t>
      </w:r>
    </w:p>
    <w:p w14:paraId="20F804B6">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（三）</w:t>
      </w:r>
      <w:r>
        <w:rPr>
          <w:rFonts w:hint="eastAsia" w:ascii="仿宋_GB2312" w:hAnsi="仿宋_GB2312" w:cs="仿宋_GB2312"/>
          <w:kern w:val="0"/>
          <w:szCs w:val="32"/>
          <w:lang w:val="zh-CN"/>
        </w:rPr>
        <w:t>集聚区</w:t>
      </w:r>
      <w:r>
        <w:rPr>
          <w:rFonts w:hint="eastAsia" w:ascii="仿宋_GB2312" w:hAnsi="仿宋_GB2312" w:cs="仿宋_GB2312"/>
          <w:kern w:val="0"/>
          <w:szCs w:val="32"/>
        </w:rPr>
        <w:t>生态承载能力强，有完善的水、电、气、网等基础设施，消防、安全、节能、环保等符合相关规定且三年内未发生重大事故，可以提供适合企业发展的工作环境、配套设施和服务功能；</w:t>
      </w:r>
    </w:p>
    <w:p w14:paraId="52BD1A0E">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（四）集聚区未纳入城市更新、土地储备年度实施计划或五年专项规划，通过租赁或受托管理方式取得集聚区管理权限的，剩余租赁或受托管理期限不少于5年，且在租赁期限内不得改变集聚区使用功能；</w:t>
      </w:r>
    </w:p>
    <w:p w14:paraId="031975FE">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（五）集聚区可以用于招商引资的建筑面积原则上占总建筑面积比重不低于50%。</w:t>
      </w:r>
    </w:p>
    <w:p w14:paraId="287822A6">
      <w:pPr>
        <w:adjustRightInd w:val="0"/>
        <w:snapToGrid w:val="0"/>
        <w:spacing w:line="560" w:lineRule="exact"/>
        <w:ind w:firstLine="640" w:firstLineChars="200"/>
        <w:rPr>
          <w:rFonts w:hint="eastAsia" w:ascii="仿宋_GB2312" w:hAnsi="仿宋_GB2312" w:cs="仿宋_GB2312"/>
          <w:kern w:val="0"/>
          <w:szCs w:val="32"/>
        </w:rPr>
      </w:pPr>
      <w:r>
        <w:rPr>
          <w:rFonts w:hint="eastAsia" w:eastAsia="楷体"/>
          <w:kern w:val="0"/>
          <w:szCs w:val="32"/>
        </w:rPr>
        <w:t>第十一条</w:t>
      </w:r>
      <w:r>
        <w:rPr>
          <w:rFonts w:hint="eastAsia"/>
        </w:rPr>
        <w:t xml:space="preserve">  </w:t>
      </w:r>
      <w:r>
        <w:rPr>
          <w:rFonts w:hint="eastAsia" w:ascii="仿宋_GB2312" w:hAnsi="仿宋_GB2312" w:cs="仿宋_GB2312"/>
          <w:kern w:val="0"/>
          <w:szCs w:val="32"/>
        </w:rPr>
        <w:t>对符合本办法第十条（一）至（四）项要求，且同时满足以下条件的集聚区，可以申报认定类特色产业集聚区：</w:t>
      </w:r>
    </w:p>
    <w:p w14:paraId="5BEAD018">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（一）集聚区内主导产业原则上不得超过2个；</w:t>
      </w:r>
    </w:p>
    <w:p w14:paraId="52E64E55">
      <w:pPr>
        <w:adjustRightInd w:val="0"/>
        <w:snapToGrid w:val="0"/>
        <w:spacing w:line="560" w:lineRule="exact"/>
        <w:ind w:firstLine="640" w:firstLineChars="200"/>
        <w:rPr>
          <w:rFonts w:ascii="仿宋_GB2312" w:hAnsi="仿宋_GB2312" w:cs="仿宋_GB2312"/>
          <w:kern w:val="0"/>
          <w:szCs w:val="32"/>
        </w:rPr>
      </w:pPr>
      <w:r>
        <w:rPr>
          <w:rFonts w:hint="eastAsia" w:ascii="仿宋_GB2312" w:hAnsi="仿宋_GB2312" w:cs="仿宋_GB2312"/>
          <w:kern w:val="0"/>
          <w:szCs w:val="32"/>
        </w:rPr>
        <w:t>（二）集聚区内具有总投资不少于10亿元的标志性、引领型项目，或产品技术达到国际领先水平，或行业领军型企业投资的项目；</w:t>
      </w:r>
    </w:p>
    <w:p w14:paraId="6D9A1AA5">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（三）集聚区已入驻3家以上符合主导产业发展方向的规模以上企业；</w:t>
      </w:r>
    </w:p>
    <w:p w14:paraId="36EA2F26">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（四）集聚区产业规划目标明确，产业链条较为完整，龙头企业带动作用明显，集聚度达50%以上；</w:t>
      </w:r>
    </w:p>
    <w:p w14:paraId="6AFA7B0D">
      <w:pPr>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（五）集聚区研究与试验发展(R&amp;D)经费支出占主营业务收入比重不低于3%，规模以上企业设立研发机构比例不少于90%。</w:t>
      </w:r>
    </w:p>
    <w:p w14:paraId="63E98F34">
      <w:pPr>
        <w:pStyle w:val="17"/>
        <w:adjustRightInd w:val="0"/>
        <w:snapToGrid w:val="0"/>
        <w:spacing w:after="0" w:line="560" w:lineRule="exact"/>
        <w:ind w:firstLine="640" w:firstLineChars="200"/>
        <w:rPr>
          <w:rFonts w:ascii="仿宋_GB2312" w:hAnsi="仿宋_GB2312" w:cs="仿宋_GB2312"/>
          <w:kern w:val="0"/>
          <w:szCs w:val="32"/>
        </w:rPr>
      </w:pPr>
      <w:r>
        <w:rPr>
          <w:rFonts w:eastAsia="楷体"/>
          <w:kern w:val="0"/>
          <w:szCs w:val="32"/>
        </w:rPr>
        <w:t>第</w:t>
      </w:r>
      <w:r>
        <w:rPr>
          <w:rFonts w:hint="eastAsia" w:eastAsia="楷体"/>
          <w:kern w:val="0"/>
          <w:szCs w:val="32"/>
        </w:rPr>
        <w:t>十二</w:t>
      </w:r>
      <w:r>
        <w:rPr>
          <w:rFonts w:eastAsia="楷体"/>
          <w:kern w:val="0"/>
          <w:szCs w:val="32"/>
        </w:rPr>
        <w:t xml:space="preserve">条  </w:t>
      </w:r>
      <w:r>
        <w:rPr>
          <w:rFonts w:hint="eastAsia" w:ascii="仿宋_GB2312" w:hAnsi="仿宋_GB2312" w:cs="仿宋_GB2312"/>
          <w:kern w:val="0"/>
          <w:szCs w:val="32"/>
        </w:rPr>
        <w:t>认定类特色产业集聚区自批复之日起，两年内应当实现“5个6”目标，即实现在谈项目6个以上，新签约项目6个以上，新开工项目6个以上，新投产项目6个以上，新引进高层次人才团队6个以上。</w:t>
      </w:r>
    </w:p>
    <w:p w14:paraId="522B9E5F">
      <w:pPr>
        <w:adjustRightInd w:val="0"/>
        <w:snapToGrid w:val="0"/>
        <w:spacing w:line="560" w:lineRule="exact"/>
        <w:rPr>
          <w:rFonts w:eastAsia="黑体"/>
          <w:szCs w:val="32"/>
        </w:rPr>
      </w:pPr>
    </w:p>
    <w:p w14:paraId="024B83DD">
      <w:pPr>
        <w:snapToGrid w:val="0"/>
        <w:spacing w:line="560" w:lineRule="exact"/>
        <w:jc w:val="center"/>
        <w:rPr>
          <w:rFonts w:eastAsia="黑体"/>
          <w:szCs w:val="32"/>
        </w:rPr>
      </w:pPr>
      <w:r>
        <w:rPr>
          <w:rFonts w:eastAsia="黑体"/>
          <w:szCs w:val="32"/>
        </w:rPr>
        <w:t>第三章  申报程序</w:t>
      </w:r>
    </w:p>
    <w:p w14:paraId="6B4425B0">
      <w:pPr>
        <w:pStyle w:val="9"/>
        <w:adjustRightInd w:val="0"/>
        <w:snapToGrid w:val="0"/>
        <w:spacing w:line="560" w:lineRule="exact"/>
        <w:ind w:firstLine="640" w:firstLineChars="200"/>
        <w:rPr>
          <w:rFonts w:hint="eastAsia" w:ascii="Times New Roman"/>
          <w:kern w:val="0"/>
          <w:szCs w:val="32"/>
          <w:lang w:bidi="zh-CN"/>
        </w:rPr>
      </w:pPr>
    </w:p>
    <w:p w14:paraId="12E3BFC8">
      <w:pPr>
        <w:pStyle w:val="9"/>
        <w:adjustRightInd w:val="0"/>
        <w:snapToGrid w:val="0"/>
        <w:spacing w:line="560" w:lineRule="exact"/>
        <w:ind w:firstLine="640" w:firstLineChars="200"/>
        <w:rPr>
          <w:rFonts w:hAnsi="仿宋_GB2312" w:cs="仿宋_GB2312"/>
          <w:kern w:val="0"/>
          <w:szCs w:val="32"/>
        </w:rPr>
      </w:pPr>
      <w:r>
        <w:rPr>
          <w:rFonts w:hint="eastAsia" w:ascii="Times New Roman" w:eastAsia="楷体"/>
          <w:kern w:val="0"/>
          <w:szCs w:val="32"/>
        </w:rPr>
        <w:t xml:space="preserve">第十三条 </w:t>
      </w:r>
      <w:r>
        <w:rPr>
          <w:rFonts w:hint="eastAsia" w:ascii="Times New Roman"/>
          <w:kern w:val="0"/>
          <w:szCs w:val="32"/>
          <w:lang w:bidi="zh-CN"/>
        </w:rPr>
        <w:t xml:space="preserve"> </w:t>
      </w:r>
      <w:r>
        <w:rPr>
          <w:rFonts w:hint="eastAsia" w:hAnsi="仿宋_GB2312" w:cs="仿宋_GB2312"/>
          <w:kern w:val="0"/>
          <w:szCs w:val="32"/>
        </w:rPr>
        <w:t>组织申报。</w:t>
      </w:r>
      <w:r>
        <w:rPr>
          <w:rFonts w:hAnsi="仿宋_GB2312" w:cs="仿宋_GB2312"/>
          <w:kern w:val="0"/>
          <w:szCs w:val="32"/>
        </w:rPr>
        <w:t>原则上每年申报一次，由</w:t>
      </w:r>
      <w:r>
        <w:rPr>
          <w:rFonts w:hint="eastAsia" w:hAnsi="仿宋_GB2312" w:cs="仿宋_GB2312"/>
          <w:kern w:val="0"/>
          <w:szCs w:val="32"/>
        </w:rPr>
        <w:t>申报单位</w:t>
      </w:r>
      <w:r>
        <w:rPr>
          <w:rFonts w:hAnsi="仿宋_GB2312" w:cs="仿宋_GB2312"/>
          <w:kern w:val="0"/>
          <w:szCs w:val="32"/>
        </w:rPr>
        <w:t>向</w:t>
      </w:r>
      <w:r>
        <w:rPr>
          <w:rFonts w:hint="eastAsia" w:hAnsi="仿宋_GB2312" w:cs="仿宋_GB2312"/>
          <w:kern w:val="0"/>
          <w:szCs w:val="32"/>
        </w:rPr>
        <w:t>工委科海委办公室</w:t>
      </w:r>
      <w:r>
        <w:rPr>
          <w:rFonts w:hAnsi="仿宋_GB2312" w:cs="仿宋_GB2312"/>
          <w:kern w:val="0"/>
          <w:szCs w:val="32"/>
        </w:rPr>
        <w:t>提出申请。申报材料包括</w:t>
      </w:r>
      <w:r>
        <w:rPr>
          <w:rFonts w:hint="eastAsia" w:hAnsi="仿宋_GB2312" w:cs="仿宋_GB2312"/>
          <w:kern w:val="0"/>
          <w:szCs w:val="32"/>
        </w:rPr>
        <w:t>申报区域发展基础、发展思路、建设目标、项目支撑</w:t>
      </w:r>
      <w:r>
        <w:rPr>
          <w:rFonts w:hAnsi="仿宋_GB2312" w:cs="仿宋_GB2312"/>
          <w:kern w:val="0"/>
          <w:szCs w:val="32"/>
        </w:rPr>
        <w:t>及有关支撑材料。</w:t>
      </w:r>
    </w:p>
    <w:p w14:paraId="3CC64B22">
      <w:pPr>
        <w:adjustRightInd w:val="0"/>
        <w:snapToGrid w:val="0"/>
        <w:spacing w:line="560" w:lineRule="exact"/>
        <w:ind w:firstLine="640" w:firstLineChars="200"/>
        <w:rPr>
          <w:rFonts w:hint="eastAsia" w:ascii="仿宋_GB2312" w:hAnsi="仿宋_GB2312" w:cs="仿宋_GB2312"/>
          <w:kern w:val="0"/>
          <w:szCs w:val="32"/>
        </w:rPr>
      </w:pPr>
      <w:r>
        <w:rPr>
          <w:rFonts w:hint="eastAsia" w:eastAsia="楷体"/>
          <w:kern w:val="0"/>
          <w:szCs w:val="32"/>
        </w:rPr>
        <w:t xml:space="preserve">第十四条 </w:t>
      </w:r>
      <w:r>
        <w:rPr>
          <w:rFonts w:hint="eastAsia"/>
          <w:kern w:val="0"/>
          <w:szCs w:val="32"/>
          <w:lang w:bidi="zh-CN"/>
        </w:rPr>
        <w:t xml:space="preserve"> </w:t>
      </w:r>
      <w:r>
        <w:rPr>
          <w:rFonts w:hint="eastAsia" w:ascii="仿宋_GB2312" w:hAnsi="仿宋_GB2312" w:cs="仿宋_GB2312"/>
          <w:kern w:val="0"/>
          <w:szCs w:val="32"/>
        </w:rPr>
        <w:t>开展联审。工委科海委办公室</w:t>
      </w:r>
      <w:r>
        <w:rPr>
          <w:rFonts w:ascii="仿宋_GB2312" w:hAnsi="仿宋_GB2312" w:cs="仿宋_GB2312"/>
          <w:kern w:val="0"/>
          <w:szCs w:val="32"/>
        </w:rPr>
        <w:t>结合</w:t>
      </w:r>
      <w:r>
        <w:rPr>
          <w:rFonts w:hint="eastAsia" w:ascii="仿宋_GB2312" w:hAnsi="仿宋_GB2312" w:cs="仿宋_GB2312"/>
          <w:kern w:val="0"/>
          <w:szCs w:val="32"/>
        </w:rPr>
        <w:t>集聚区</w:t>
      </w:r>
      <w:r>
        <w:rPr>
          <w:rFonts w:ascii="仿宋_GB2312" w:hAnsi="仿宋_GB2312" w:cs="仿宋_GB2312"/>
          <w:kern w:val="0"/>
          <w:szCs w:val="32"/>
        </w:rPr>
        <w:t>产业实际情况，联合</w:t>
      </w:r>
      <w:r>
        <w:rPr>
          <w:rFonts w:hint="eastAsia" w:ascii="仿宋_GB2312" w:hAnsi="仿宋_GB2312" w:cs="仿宋_GB2312"/>
          <w:kern w:val="0"/>
          <w:szCs w:val="32"/>
        </w:rPr>
        <w:t>发改、工信、自然资源、住建、商务、应急、市场监管、综合执法、环保、税务、招才等相关部门，对申报材料进行审查。视情况组织专家对申报材料进行综合评审。</w:t>
      </w:r>
    </w:p>
    <w:p w14:paraId="5FB6276D">
      <w:pPr>
        <w:adjustRightInd w:val="0"/>
        <w:snapToGrid w:val="0"/>
        <w:spacing w:line="560" w:lineRule="exact"/>
        <w:ind w:firstLine="640" w:firstLineChars="200"/>
        <w:rPr>
          <w:rFonts w:ascii="仿宋_GB2312" w:hAnsi="仿宋_GB2312" w:cs="仿宋_GB2312"/>
          <w:kern w:val="0"/>
          <w:szCs w:val="32"/>
        </w:rPr>
      </w:pPr>
      <w:r>
        <w:rPr>
          <w:rFonts w:hint="eastAsia" w:eastAsia="楷体"/>
          <w:kern w:val="0"/>
          <w:szCs w:val="32"/>
        </w:rPr>
        <w:t xml:space="preserve">第十五条  </w:t>
      </w:r>
      <w:r>
        <w:rPr>
          <w:rFonts w:hint="eastAsia" w:ascii="仿宋_GB2312" w:hAnsi="仿宋_GB2312" w:cs="仿宋_GB2312"/>
          <w:kern w:val="0"/>
          <w:szCs w:val="32"/>
        </w:rPr>
        <w:t>批复。</w:t>
      </w:r>
      <w:r>
        <w:rPr>
          <w:rFonts w:ascii="仿宋_GB2312" w:hAnsi="仿宋_GB2312" w:cs="仿宋_GB2312"/>
          <w:kern w:val="0"/>
          <w:szCs w:val="32"/>
        </w:rPr>
        <w:t>对通过</w:t>
      </w:r>
      <w:r>
        <w:rPr>
          <w:rFonts w:hint="eastAsia" w:ascii="仿宋_GB2312" w:hAnsi="仿宋_GB2312" w:cs="仿宋_GB2312"/>
          <w:kern w:val="0"/>
          <w:szCs w:val="32"/>
        </w:rPr>
        <w:t>联审</w:t>
      </w:r>
      <w:r>
        <w:rPr>
          <w:rFonts w:ascii="仿宋_GB2312" w:hAnsi="仿宋_GB2312" w:cs="仿宋_GB2312"/>
          <w:kern w:val="0"/>
          <w:szCs w:val="32"/>
        </w:rPr>
        <w:t>的产业</w:t>
      </w:r>
      <w:r>
        <w:rPr>
          <w:rFonts w:hint="eastAsia" w:ascii="仿宋_GB2312" w:hAnsi="仿宋_GB2312" w:cs="仿宋_GB2312"/>
          <w:kern w:val="0"/>
          <w:szCs w:val="32"/>
        </w:rPr>
        <w:t>集聚区</w:t>
      </w:r>
      <w:r>
        <w:rPr>
          <w:rFonts w:ascii="仿宋_GB2312" w:hAnsi="仿宋_GB2312" w:cs="仿宋_GB2312"/>
          <w:kern w:val="0"/>
          <w:szCs w:val="32"/>
        </w:rPr>
        <w:t>，由</w:t>
      </w:r>
      <w:r>
        <w:rPr>
          <w:rFonts w:hint="eastAsia" w:ascii="仿宋_GB2312" w:hAnsi="仿宋_GB2312" w:cs="仿宋_GB2312"/>
          <w:kern w:val="0"/>
          <w:szCs w:val="32"/>
        </w:rPr>
        <w:t>工委科海委办公室报请工委科海委专题会议研究通过后予以批复</w:t>
      </w:r>
      <w:r>
        <w:rPr>
          <w:rFonts w:ascii="仿宋_GB2312" w:hAnsi="仿宋_GB2312" w:cs="仿宋_GB2312"/>
          <w:kern w:val="0"/>
          <w:szCs w:val="32"/>
        </w:rPr>
        <w:t>。</w:t>
      </w:r>
    </w:p>
    <w:p w14:paraId="2B6122CF">
      <w:pPr>
        <w:adjustRightInd w:val="0"/>
        <w:snapToGrid w:val="0"/>
        <w:spacing w:line="560" w:lineRule="exact"/>
        <w:rPr>
          <w:kern w:val="0"/>
          <w:szCs w:val="32"/>
          <w:lang w:bidi="zh-CN"/>
        </w:rPr>
      </w:pPr>
    </w:p>
    <w:p w14:paraId="18FEF4FA">
      <w:pPr>
        <w:snapToGrid w:val="0"/>
        <w:spacing w:line="560" w:lineRule="exact"/>
        <w:jc w:val="center"/>
        <w:rPr>
          <w:rFonts w:eastAsia="黑体"/>
          <w:szCs w:val="32"/>
        </w:rPr>
      </w:pPr>
      <w:r>
        <w:rPr>
          <w:rFonts w:hint="eastAsia" w:eastAsia="黑体"/>
          <w:szCs w:val="32"/>
        </w:rPr>
        <w:t>第四章</w:t>
      </w:r>
      <w:r>
        <w:rPr>
          <w:rFonts w:eastAsia="黑体"/>
          <w:szCs w:val="32"/>
        </w:rPr>
        <w:t xml:space="preserve"> </w:t>
      </w:r>
      <w:r>
        <w:rPr>
          <w:rFonts w:hint="eastAsia" w:eastAsia="黑体"/>
          <w:szCs w:val="32"/>
        </w:rPr>
        <w:t>服务保障</w:t>
      </w:r>
    </w:p>
    <w:p w14:paraId="339A6194">
      <w:pPr>
        <w:adjustRightInd w:val="0"/>
        <w:snapToGrid w:val="0"/>
        <w:spacing w:line="560" w:lineRule="exact"/>
      </w:pPr>
    </w:p>
    <w:p w14:paraId="6B81CB06">
      <w:pPr>
        <w:autoSpaceDE w:val="0"/>
        <w:autoSpaceDN w:val="0"/>
        <w:adjustRightInd w:val="0"/>
        <w:snapToGrid w:val="0"/>
        <w:spacing w:line="560" w:lineRule="exact"/>
        <w:ind w:firstLine="641"/>
        <w:rPr>
          <w:rFonts w:ascii="仿宋_GB2312" w:hAnsi="仿宋_GB2312" w:cs="仿宋_GB2312"/>
          <w:kern w:val="0"/>
          <w:szCs w:val="32"/>
        </w:rPr>
      </w:pPr>
      <w:r>
        <w:rPr>
          <w:rFonts w:hint="eastAsia" w:eastAsia="楷体"/>
          <w:kern w:val="0"/>
          <w:szCs w:val="32"/>
        </w:rPr>
        <w:t xml:space="preserve">第十六条  </w:t>
      </w:r>
      <w:r>
        <w:rPr>
          <w:rFonts w:hint="eastAsia" w:ascii="仿宋_GB2312" w:hAnsi="仿宋_GB2312" w:cs="仿宋_GB2312"/>
          <w:kern w:val="0"/>
          <w:szCs w:val="32"/>
        </w:rPr>
        <w:t>建立完善集聚区主导产业培育机制。工委科海委成员单位按照“从上到下”的原则，推荐特色鲜明、集聚明显、专业突出的集聚区争创省级、市级海洋特色产业集聚区；将集聚区内项目纳入新区海洋项目库，符合条件的重点项目推荐纳入海洋强省建设重点项目，强化项目资金、用地用海保障。集聚区管理机构应当统筹</w:t>
      </w:r>
      <w:r>
        <w:rPr>
          <w:rFonts w:ascii="仿宋_GB2312" w:hAnsi="仿宋_GB2312" w:cs="仿宋_GB2312"/>
          <w:kern w:val="0"/>
          <w:szCs w:val="32"/>
        </w:rPr>
        <w:t>推进</w:t>
      </w:r>
      <w:r>
        <w:rPr>
          <w:rFonts w:hint="eastAsia" w:ascii="仿宋_GB2312" w:hAnsi="仿宋_GB2312" w:cs="仿宋_GB2312"/>
          <w:kern w:val="0"/>
          <w:szCs w:val="32"/>
        </w:rPr>
        <w:t>集聚区</w:t>
      </w:r>
      <w:r>
        <w:rPr>
          <w:rFonts w:ascii="仿宋_GB2312" w:hAnsi="仿宋_GB2312" w:cs="仿宋_GB2312"/>
          <w:kern w:val="0"/>
          <w:szCs w:val="32"/>
        </w:rPr>
        <w:t>建设日常管理服务工作，积极探索创新管理体制机制，制定</w:t>
      </w:r>
      <w:r>
        <w:rPr>
          <w:rFonts w:hint="eastAsia" w:ascii="仿宋_GB2312" w:hAnsi="仿宋_GB2312" w:cs="仿宋_GB2312"/>
          <w:kern w:val="0"/>
          <w:szCs w:val="32"/>
        </w:rPr>
        <w:t>集聚区</w:t>
      </w:r>
      <w:r>
        <w:rPr>
          <w:rFonts w:ascii="仿宋_GB2312" w:hAnsi="仿宋_GB2312" w:cs="仿宋_GB2312"/>
          <w:kern w:val="0"/>
          <w:szCs w:val="32"/>
        </w:rPr>
        <w:t>产业规划、建设规划、</w:t>
      </w:r>
      <w:r>
        <w:rPr>
          <w:rFonts w:hint="eastAsia" w:ascii="仿宋_GB2312" w:hAnsi="仿宋_GB2312" w:cs="仿宋_GB2312"/>
          <w:kern w:val="0"/>
          <w:szCs w:val="32"/>
        </w:rPr>
        <w:t>工作计划。探索建立注册申报、知识产权、人才服务、投融资等一站式服务中心，做好集聚区企业发展保障工作。</w:t>
      </w:r>
    </w:p>
    <w:p w14:paraId="05E51CA3">
      <w:pPr>
        <w:adjustRightInd w:val="0"/>
        <w:snapToGrid w:val="0"/>
        <w:spacing w:line="560" w:lineRule="exact"/>
        <w:ind w:firstLine="640" w:firstLineChars="200"/>
        <w:rPr>
          <w:rFonts w:hint="eastAsia" w:ascii="仿宋_GB2312" w:hAnsi="仿宋_GB2312" w:cs="仿宋_GB2312"/>
          <w:kern w:val="0"/>
          <w:szCs w:val="32"/>
        </w:rPr>
      </w:pPr>
      <w:r>
        <w:rPr>
          <w:rFonts w:hint="eastAsia" w:ascii="楷体" w:hAnsi="楷体" w:eastAsia="楷体" w:cs="楷体"/>
          <w:kern w:val="0"/>
        </w:rPr>
        <w:t xml:space="preserve">第十七条  </w:t>
      </w:r>
      <w:r>
        <w:rPr>
          <w:rFonts w:hint="eastAsia" w:ascii="仿宋_GB2312" w:hAnsi="仿宋_GB2312" w:cs="仿宋_GB2312"/>
          <w:kern w:val="0"/>
          <w:szCs w:val="32"/>
        </w:rPr>
        <w:t>做好项目招引落地。各招商单位创新</w:t>
      </w:r>
      <w:r>
        <w:rPr>
          <w:rFonts w:ascii="仿宋_GB2312" w:hAnsi="仿宋_GB2312" w:cs="仿宋_GB2312"/>
          <w:kern w:val="0"/>
          <w:szCs w:val="32"/>
          <w:lang w:val="zh-CN"/>
        </w:rPr>
        <w:t>产业链招商</w:t>
      </w:r>
      <w:r>
        <w:rPr>
          <w:rFonts w:hint="eastAsia" w:ascii="仿宋_GB2312" w:hAnsi="仿宋_GB2312" w:cs="仿宋_GB2312"/>
          <w:kern w:val="0"/>
          <w:szCs w:val="32"/>
        </w:rPr>
        <w:t>模式</w:t>
      </w:r>
      <w:r>
        <w:rPr>
          <w:rFonts w:ascii="仿宋_GB2312" w:hAnsi="仿宋_GB2312" w:cs="仿宋_GB2312"/>
          <w:kern w:val="0"/>
          <w:szCs w:val="32"/>
          <w:lang w:val="zh-CN"/>
        </w:rPr>
        <w:t>，注重发挥龙头企业、</w:t>
      </w:r>
      <w:r>
        <w:rPr>
          <w:rFonts w:hint="eastAsia" w:ascii="仿宋_GB2312" w:hAnsi="仿宋_GB2312" w:cs="仿宋_GB2312"/>
          <w:kern w:val="0"/>
          <w:szCs w:val="32"/>
        </w:rPr>
        <w:t>专精特新</w:t>
      </w:r>
      <w:r>
        <w:rPr>
          <w:rFonts w:ascii="仿宋_GB2312" w:hAnsi="仿宋_GB2312" w:cs="仿宋_GB2312"/>
          <w:kern w:val="0"/>
          <w:szCs w:val="32"/>
          <w:lang w:val="zh-CN"/>
        </w:rPr>
        <w:t>企业</w:t>
      </w:r>
      <w:r>
        <w:rPr>
          <w:rFonts w:hint="eastAsia" w:ascii="仿宋_GB2312" w:hAnsi="仿宋_GB2312" w:cs="仿宋_GB2312"/>
          <w:kern w:val="0"/>
          <w:szCs w:val="32"/>
        </w:rPr>
        <w:t>的产业集群招商矩阵作用，积极</w:t>
      </w:r>
      <w:r>
        <w:rPr>
          <w:rFonts w:ascii="仿宋_GB2312" w:hAnsi="仿宋_GB2312" w:cs="仿宋_GB2312"/>
          <w:kern w:val="0"/>
          <w:szCs w:val="32"/>
          <w:lang w:val="zh-CN"/>
        </w:rPr>
        <w:t>开展以商招商、基金招商、中介招商</w:t>
      </w:r>
      <w:r>
        <w:rPr>
          <w:rFonts w:hint="eastAsia" w:ascii="仿宋_GB2312" w:hAnsi="仿宋_GB2312" w:cs="仿宋_GB2312"/>
          <w:kern w:val="0"/>
          <w:szCs w:val="32"/>
          <w:lang w:val="zh-CN"/>
        </w:rPr>
        <w:t>，</w:t>
      </w:r>
      <w:r>
        <w:rPr>
          <w:rFonts w:hint="eastAsia" w:ascii="仿宋_GB2312" w:hAnsi="仿宋_GB2312" w:cs="仿宋_GB2312"/>
          <w:kern w:val="0"/>
          <w:szCs w:val="32"/>
        </w:rPr>
        <w:t>延伸集聚产业链条。鼓励集聚区龙头企业整合产业链上下游资源，牵头组建产业链发展联盟，常态化开展与上下游科技型中小企业、专精特新中小企业供需见面会、路演推介、座谈沙龙等系列活动。</w:t>
      </w:r>
    </w:p>
    <w:p w14:paraId="0E901920">
      <w:pPr>
        <w:adjustRightInd w:val="0"/>
        <w:snapToGrid w:val="0"/>
        <w:spacing w:line="560" w:lineRule="exact"/>
        <w:ind w:firstLine="640" w:firstLineChars="200"/>
        <w:rPr>
          <w:rFonts w:ascii="仿宋_GB2312" w:hAnsi="仿宋_GB2312" w:cs="仿宋_GB2312"/>
          <w:kern w:val="0"/>
          <w:szCs w:val="32"/>
        </w:rPr>
      </w:pPr>
      <w:r>
        <w:rPr>
          <w:rFonts w:hint="eastAsia" w:ascii="楷体" w:hAnsi="楷体" w:eastAsia="楷体" w:cs="楷体"/>
          <w:kern w:val="0"/>
        </w:rPr>
        <w:t xml:space="preserve">第十八条 </w:t>
      </w:r>
      <w:r>
        <w:rPr>
          <w:rFonts w:hint="eastAsia" w:ascii="仿宋_GB2312" w:hAnsi="仿宋_GB2312" w:cs="仿宋_GB2312"/>
          <w:kern w:val="0"/>
          <w:szCs w:val="32"/>
        </w:rPr>
        <w:t xml:space="preserve"> 加强创新资源集聚。支持集聚区企业加强新技术、新产品、新工艺研发，搭建集聚区企业与涉海高校和科研院所合作桥梁，大力引建概念验证、中小试基地、检验检测、标准验证、设备共享等各类公共服务平台；鼓励集聚区龙头企业牵头组建创新联合体，高水平建设重点实验室、技术创新中心、企业技术中心、工程研究中心等创新平台；鼓励集聚区扩容提升高水平技术经理人库，面向海洋领域引育储备一批高水平技术经理人；支持集聚区申报高层次人才，梯度化引育海洋人才，打造“海洋科技成果转化+创新孵化+高层次人才集聚”的海洋创新创业共同体，建立起“产业需求+技术攻关+成果转化及产业化”的创新生态链。</w:t>
      </w:r>
    </w:p>
    <w:p w14:paraId="07179A0C">
      <w:pPr>
        <w:adjustRightInd w:val="0"/>
        <w:snapToGrid w:val="0"/>
        <w:spacing w:line="560" w:lineRule="exact"/>
        <w:ind w:firstLine="640" w:firstLineChars="200"/>
        <w:rPr>
          <w:rFonts w:hint="eastAsia" w:ascii="仿宋_GB2312" w:hAnsi="仿宋_GB2312" w:cs="仿宋_GB2312"/>
          <w:kern w:val="0"/>
          <w:szCs w:val="32"/>
        </w:rPr>
      </w:pPr>
      <w:r>
        <w:rPr>
          <w:rFonts w:hint="eastAsia" w:ascii="楷体" w:hAnsi="楷体" w:eastAsia="楷体" w:cs="楷体"/>
          <w:kern w:val="0"/>
        </w:rPr>
        <w:t xml:space="preserve">第十九条  </w:t>
      </w:r>
      <w:r>
        <w:rPr>
          <w:rFonts w:hint="eastAsia" w:ascii="仿宋_GB2312" w:hAnsi="仿宋_GB2312" w:cs="仿宋_GB2312"/>
          <w:kern w:val="0"/>
          <w:szCs w:val="32"/>
        </w:rPr>
        <w:t>强化基础设施保障。按照集聚区产业发展需要，强化给排水、供电、供暖、燃气、通讯、路网、垃圾处理等基础设施配套，提高集聚区产业承载能力。积极实施数字赋能行动，鼓励集聚区内开展数字化产业平台、数字工厂车间建设，加快5G、千兆网、大数据、云计算、物联网等新型基础设施建设，鼓励集聚区制造业企业开展数字化转型试点，打造一批典型应用场景。</w:t>
      </w:r>
    </w:p>
    <w:p w14:paraId="1E098251">
      <w:pPr>
        <w:adjustRightInd w:val="0"/>
        <w:snapToGrid w:val="0"/>
        <w:spacing w:line="560" w:lineRule="exact"/>
        <w:ind w:firstLine="640" w:firstLineChars="200"/>
        <w:rPr>
          <w:rFonts w:hint="eastAsia" w:ascii="仿宋_GB2312" w:hAnsi="仿宋_GB2312" w:cs="仿宋_GB2312"/>
          <w:kern w:val="0"/>
          <w:szCs w:val="32"/>
        </w:rPr>
      </w:pPr>
      <w:r>
        <w:rPr>
          <w:rFonts w:hint="eastAsia" w:ascii="楷体" w:hAnsi="楷体" w:eastAsia="楷体" w:cs="楷体"/>
          <w:kern w:val="0"/>
        </w:rPr>
        <w:t xml:space="preserve">第二十条  </w:t>
      </w:r>
      <w:r>
        <w:rPr>
          <w:rFonts w:hint="eastAsia" w:ascii="仿宋_GB2312" w:hAnsi="仿宋_GB2312" w:cs="仿宋_GB2312"/>
          <w:kern w:val="0"/>
          <w:szCs w:val="32"/>
        </w:rPr>
        <w:t>建立集聚区咨询服务机构。依托海洋经济创新发展联盟，组建专家顾问组，为集聚区建设提供全周期咨询服务。引导集聚区改革创新，引进落地重大产业攻关或关键技术攻关产业化示范项目，推动集聚区实现高质量发展。</w:t>
      </w:r>
    </w:p>
    <w:p w14:paraId="08B5811B">
      <w:pPr>
        <w:adjustRightInd w:val="0"/>
        <w:snapToGrid w:val="0"/>
        <w:spacing w:line="560" w:lineRule="exact"/>
        <w:ind w:firstLine="640" w:firstLineChars="200"/>
        <w:rPr>
          <w:rFonts w:hint="eastAsia" w:ascii="仿宋_GB2312" w:hAnsi="仿宋_GB2312" w:cs="仿宋_GB2312"/>
          <w:kern w:val="0"/>
          <w:szCs w:val="32"/>
        </w:rPr>
      </w:pPr>
      <w:r>
        <w:rPr>
          <w:rFonts w:hint="eastAsia" w:ascii="楷体" w:hAnsi="楷体" w:eastAsia="楷体" w:cs="楷体"/>
          <w:kern w:val="0"/>
        </w:rPr>
        <w:t xml:space="preserve">第二十一条  </w:t>
      </w:r>
      <w:r>
        <w:rPr>
          <w:rFonts w:hint="eastAsia" w:ascii="仿宋_GB2312" w:hAnsi="仿宋_GB2312" w:cs="仿宋_GB2312"/>
          <w:kern w:val="0"/>
          <w:szCs w:val="32"/>
        </w:rPr>
        <w:t>实施集聚区节能降碳减污示范工程。支持集聚区建设绿色建筑，打造一批绿色工厂、绿色集聚区、绿色供应链管理企业，探索打造零碳集聚区，实现集聚区智慧化、绿色化、高端化建设管理。强化集聚区污染综合整治，做好集聚区废水、废气、废渣的长效监管、规范治理，健全资源循环利用体系。</w:t>
      </w:r>
    </w:p>
    <w:p w14:paraId="5F49EBB7">
      <w:pPr>
        <w:autoSpaceDE w:val="0"/>
        <w:autoSpaceDN w:val="0"/>
        <w:adjustRightInd w:val="0"/>
        <w:snapToGrid w:val="0"/>
        <w:spacing w:line="560" w:lineRule="exact"/>
        <w:ind w:firstLine="640"/>
        <w:rPr>
          <w:rFonts w:hint="eastAsia" w:ascii="仿宋_GB2312" w:hAnsi="仿宋_GB2312" w:cs="仿宋_GB2312"/>
          <w:kern w:val="0"/>
          <w:szCs w:val="32"/>
        </w:rPr>
      </w:pPr>
      <w:r>
        <w:rPr>
          <w:rFonts w:hint="eastAsia" w:ascii="楷体" w:hAnsi="楷体" w:eastAsia="楷体" w:cs="楷体"/>
          <w:kern w:val="0"/>
        </w:rPr>
        <w:t xml:space="preserve">第二十二条  </w:t>
      </w:r>
      <w:r>
        <w:rPr>
          <w:rFonts w:hint="eastAsia" w:ascii="仿宋_GB2312" w:hAnsi="仿宋_GB2312" w:cs="仿宋_GB2312"/>
          <w:kern w:val="0"/>
          <w:szCs w:val="32"/>
        </w:rPr>
        <w:t>强化资金要素保障。统筹利用中央省市区各类海洋产业扶持资金支持集聚区建设，落实股权投资、设备奖补、技改专项贷、省海洋服务业高质量发展项目等政策；引导产业基金、政府基金加大对海洋项目、企业支持力度，推动新区海洋产业发展。引导辖区内银行机构针对海洋产业加大信贷支持，结合产业特点和需求开发专属金融产品，提升金融服务能力。积极争取中央各类专项资金、超长期国债以及地方政府专项债券，推动城镇公共服务设施向集聚区延伸覆盖。</w:t>
      </w:r>
    </w:p>
    <w:p w14:paraId="28DBE4D8">
      <w:pPr>
        <w:pStyle w:val="9"/>
        <w:spacing w:line="560" w:lineRule="exact"/>
      </w:pPr>
    </w:p>
    <w:p w14:paraId="1D3F4410">
      <w:pPr>
        <w:snapToGrid w:val="0"/>
        <w:spacing w:line="560" w:lineRule="exact"/>
        <w:jc w:val="center"/>
        <w:rPr>
          <w:rFonts w:hint="eastAsia" w:eastAsia="黑体"/>
          <w:szCs w:val="32"/>
        </w:rPr>
      </w:pPr>
      <w:r>
        <w:rPr>
          <w:rFonts w:hint="eastAsia" w:eastAsia="黑体"/>
          <w:szCs w:val="32"/>
        </w:rPr>
        <w:t>第五章  监督管理</w:t>
      </w:r>
    </w:p>
    <w:p w14:paraId="17F2A02C">
      <w:pPr>
        <w:pStyle w:val="9"/>
        <w:adjustRightInd w:val="0"/>
        <w:snapToGrid w:val="0"/>
        <w:spacing w:line="560" w:lineRule="exact"/>
        <w:rPr>
          <w:rFonts w:hint="eastAsia" w:ascii="Times New Roman" w:eastAsia="楷体"/>
          <w:szCs w:val="32"/>
        </w:rPr>
      </w:pPr>
    </w:p>
    <w:p w14:paraId="41ABFCC3">
      <w:pPr>
        <w:pStyle w:val="9"/>
        <w:adjustRightInd w:val="0"/>
        <w:snapToGrid w:val="0"/>
        <w:spacing w:line="560" w:lineRule="exact"/>
        <w:ind w:firstLine="640" w:firstLineChars="200"/>
        <w:rPr>
          <w:rFonts w:hint="eastAsia" w:hAnsi="仿宋_GB2312" w:cs="仿宋_GB2312"/>
          <w:kern w:val="0"/>
          <w:szCs w:val="32"/>
        </w:rPr>
      </w:pPr>
      <w:r>
        <w:rPr>
          <w:rFonts w:hint="eastAsia" w:ascii="Times New Roman" w:eastAsia="楷体"/>
          <w:szCs w:val="32"/>
        </w:rPr>
        <w:t>第二十</w:t>
      </w:r>
      <w:r>
        <w:rPr>
          <w:rFonts w:hint="eastAsia" w:ascii="Times New Roman" w:eastAsia="楷体"/>
          <w:kern w:val="0"/>
          <w:szCs w:val="32"/>
          <w:lang w:bidi="zh-CN"/>
        </w:rPr>
        <w:t>三</w:t>
      </w:r>
      <w:r>
        <w:rPr>
          <w:rFonts w:hint="eastAsia" w:ascii="Times New Roman" w:eastAsia="楷体"/>
          <w:szCs w:val="32"/>
        </w:rPr>
        <w:t xml:space="preserve">条  </w:t>
      </w:r>
      <w:r>
        <w:rPr>
          <w:rFonts w:hint="eastAsia" w:hAnsi="仿宋_GB2312" w:cs="仿宋_GB2312"/>
          <w:kern w:val="0"/>
          <w:szCs w:val="32"/>
        </w:rPr>
        <w:t>建立集聚区信息报送机制。集聚区管理机构及时向工委科海委办公室报送年度发展自评报告等相关材料，并对材料和数据的真实性负主体责任。</w:t>
      </w:r>
    </w:p>
    <w:p w14:paraId="7A48AE41">
      <w:pPr>
        <w:pStyle w:val="9"/>
        <w:adjustRightInd w:val="0"/>
        <w:snapToGrid w:val="0"/>
        <w:spacing w:line="560" w:lineRule="exact"/>
        <w:ind w:firstLine="640" w:firstLineChars="200"/>
        <w:rPr>
          <w:rFonts w:hAnsi="仿宋_GB2312" w:cs="仿宋_GB2312"/>
          <w:kern w:val="0"/>
          <w:szCs w:val="32"/>
        </w:rPr>
      </w:pPr>
      <w:r>
        <w:rPr>
          <w:rFonts w:hint="eastAsia" w:ascii="Times New Roman" w:eastAsia="楷体"/>
          <w:szCs w:val="32"/>
        </w:rPr>
        <w:t>第二十</w:t>
      </w:r>
      <w:r>
        <w:rPr>
          <w:rFonts w:hint="eastAsia" w:ascii="Times New Roman" w:eastAsia="楷体"/>
          <w:kern w:val="0"/>
          <w:szCs w:val="32"/>
          <w:lang w:bidi="zh-CN"/>
        </w:rPr>
        <w:t>四</w:t>
      </w:r>
      <w:r>
        <w:rPr>
          <w:rFonts w:hint="eastAsia" w:ascii="Times New Roman" w:eastAsia="楷体"/>
          <w:szCs w:val="32"/>
        </w:rPr>
        <w:t xml:space="preserve">条  </w:t>
      </w:r>
      <w:r>
        <w:rPr>
          <w:rFonts w:hint="eastAsia" w:hAnsi="仿宋_GB2312" w:cs="仿宋_GB2312"/>
          <w:kern w:val="0"/>
          <w:szCs w:val="32"/>
        </w:rPr>
        <w:t>工委科海委办公室每年定期启动集聚区评价工作，对集聚区的年度发展情况进行评价。</w:t>
      </w:r>
    </w:p>
    <w:p w14:paraId="06880163">
      <w:pPr>
        <w:adjustRightInd w:val="0"/>
        <w:snapToGrid w:val="0"/>
        <w:spacing w:line="560" w:lineRule="exact"/>
        <w:ind w:firstLine="640" w:firstLineChars="200"/>
        <w:rPr>
          <w:rFonts w:ascii="仿宋_GB2312" w:hAnsi="仿宋_GB2312" w:cs="仿宋_GB2312"/>
          <w:kern w:val="0"/>
          <w:szCs w:val="32"/>
        </w:rPr>
      </w:pPr>
      <w:r>
        <w:rPr>
          <w:rFonts w:hint="eastAsia" w:ascii="楷体" w:hAnsi="楷体" w:eastAsia="楷体" w:cs="楷体"/>
          <w:kern w:val="0"/>
        </w:rPr>
        <w:t>第二十</w:t>
      </w:r>
      <w:r>
        <w:rPr>
          <w:rFonts w:hint="eastAsia" w:eastAsia="楷体"/>
          <w:kern w:val="0"/>
          <w:szCs w:val="32"/>
          <w:lang w:bidi="zh-CN"/>
        </w:rPr>
        <w:t>五</w:t>
      </w:r>
      <w:r>
        <w:rPr>
          <w:rFonts w:hint="eastAsia" w:ascii="楷体" w:hAnsi="楷体" w:eastAsia="楷体" w:cs="楷体"/>
          <w:kern w:val="0"/>
        </w:rPr>
        <w:t xml:space="preserve">条  </w:t>
      </w:r>
      <w:r>
        <w:rPr>
          <w:rFonts w:hint="eastAsia" w:ascii="仿宋_GB2312" w:hAnsi="仿宋_GB2312" w:cs="仿宋_GB2312"/>
          <w:kern w:val="0"/>
          <w:szCs w:val="32"/>
        </w:rPr>
        <w:t>集聚区经批复后，其发展思路、建设目标等原则上不予调整。确需调整的，由集聚区管理机构提出申请，经工委科海委办公室审核后，报工委科海委专题会议研究决定。</w:t>
      </w:r>
    </w:p>
    <w:p w14:paraId="010BC7BC">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eastAsia="楷体"/>
          <w:kern w:val="0"/>
          <w:szCs w:val="32"/>
          <w:lang w:bidi="zh-CN"/>
        </w:rPr>
        <w:t xml:space="preserve">第二十六条 </w:t>
      </w:r>
      <w:r>
        <w:rPr>
          <w:rFonts w:hint="eastAsia" w:ascii="仿宋_GB2312" w:hAnsi="仿宋_GB2312" w:cs="仿宋_GB2312"/>
          <w:kern w:val="0"/>
          <w:szCs w:val="32"/>
        </w:rPr>
        <w:t xml:space="preserve"> 对于有下列情况之一的集聚区，报请工委科海委专题会议研究后，予以撤销。</w:t>
      </w:r>
    </w:p>
    <w:p w14:paraId="28BF4486">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（一）连续两年评价不合格；</w:t>
      </w:r>
    </w:p>
    <w:p w14:paraId="391A2DFC">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（二）未能落实集聚区建设规划，集聚区内竣工投产的用地产业项目在投资强度、亩均税收、容积率等指标上均低于既定目标；</w:t>
      </w:r>
    </w:p>
    <w:p w14:paraId="76F830C1">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（三）集聚区主导产业未能形成集聚态势，且引进项目与集聚区产业规划方向相关性较低；</w:t>
      </w:r>
    </w:p>
    <w:p w14:paraId="12CFF473">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（四）发生重大安全生产、环境污染等事故；</w:t>
      </w:r>
    </w:p>
    <w:p w14:paraId="712FA84A">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（五）无故不按规定提供评价材料，拒绝参加评价工作；</w:t>
      </w:r>
    </w:p>
    <w:p w14:paraId="3AAF9BFD">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（六）集聚区申报数据或考核材料存在重大虚报瞒报情况；</w:t>
      </w:r>
    </w:p>
    <w:p w14:paraId="70E8E3CB">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（七）管理机构被依法终止；</w:t>
      </w:r>
    </w:p>
    <w:p w14:paraId="15D6621B">
      <w:pPr>
        <w:autoSpaceDE w:val="0"/>
        <w:autoSpaceDN w:val="0"/>
        <w:adjustRightInd w:val="0"/>
        <w:snapToGrid w:val="0"/>
        <w:spacing w:line="560" w:lineRule="exact"/>
        <w:ind w:firstLine="640" w:firstLineChars="200"/>
        <w:rPr>
          <w:rFonts w:hint="eastAsia" w:ascii="仿宋_GB2312" w:hAnsi="仿宋_GB2312" w:cs="仿宋_GB2312"/>
          <w:kern w:val="0"/>
          <w:szCs w:val="32"/>
        </w:rPr>
      </w:pPr>
      <w:r>
        <w:rPr>
          <w:rFonts w:hint="eastAsia" w:ascii="仿宋_GB2312" w:hAnsi="仿宋_GB2312" w:cs="仿宋_GB2312"/>
          <w:kern w:val="0"/>
          <w:szCs w:val="32"/>
        </w:rPr>
        <w:t>（八）其他违反国家、省市法律法规有关情况的。</w:t>
      </w:r>
    </w:p>
    <w:p w14:paraId="5DE734F3">
      <w:pPr>
        <w:adjustRightInd w:val="0"/>
        <w:snapToGrid w:val="0"/>
        <w:spacing w:line="560" w:lineRule="exact"/>
        <w:rPr>
          <w:kern w:val="0"/>
          <w:szCs w:val="32"/>
        </w:rPr>
      </w:pPr>
    </w:p>
    <w:p w14:paraId="29BF5E65">
      <w:pPr>
        <w:snapToGrid w:val="0"/>
        <w:spacing w:line="560" w:lineRule="exact"/>
        <w:jc w:val="center"/>
        <w:rPr>
          <w:rFonts w:hint="eastAsia" w:eastAsia="黑体"/>
          <w:szCs w:val="32"/>
        </w:rPr>
      </w:pPr>
      <w:r>
        <w:rPr>
          <w:rFonts w:hint="eastAsia" w:eastAsia="黑体"/>
          <w:szCs w:val="32"/>
        </w:rPr>
        <w:t>第六章  附则</w:t>
      </w:r>
    </w:p>
    <w:p w14:paraId="0AEE7388">
      <w:pPr>
        <w:autoSpaceDE w:val="0"/>
        <w:autoSpaceDN w:val="0"/>
        <w:adjustRightInd w:val="0"/>
        <w:snapToGrid w:val="0"/>
        <w:spacing w:line="560" w:lineRule="exact"/>
        <w:ind w:firstLine="640"/>
        <w:rPr>
          <w:rFonts w:eastAsia="楷体"/>
          <w:kern w:val="0"/>
          <w:szCs w:val="32"/>
          <w:lang w:bidi="zh-CN"/>
        </w:rPr>
      </w:pPr>
    </w:p>
    <w:p w14:paraId="53BB92DF">
      <w:pPr>
        <w:autoSpaceDE w:val="0"/>
        <w:autoSpaceDN w:val="0"/>
        <w:adjustRightInd w:val="0"/>
        <w:snapToGrid w:val="0"/>
        <w:spacing w:line="560" w:lineRule="exact"/>
        <w:ind w:firstLine="640"/>
        <w:rPr>
          <w:rFonts w:ascii="仿宋_GB2312" w:hAnsi="仿宋_GB2312" w:cs="仿宋_GB2312"/>
          <w:kern w:val="0"/>
          <w:szCs w:val="32"/>
        </w:rPr>
      </w:pPr>
      <w:r>
        <w:rPr>
          <w:rFonts w:eastAsia="楷体"/>
          <w:kern w:val="0"/>
          <w:szCs w:val="32"/>
          <w:lang w:bidi="zh-CN"/>
        </w:rPr>
        <w:t>第</w:t>
      </w:r>
      <w:r>
        <w:rPr>
          <w:rFonts w:hint="eastAsia" w:eastAsia="楷体"/>
          <w:kern w:val="0"/>
          <w:szCs w:val="32"/>
          <w:lang w:bidi="zh-CN"/>
        </w:rPr>
        <w:t>二十七</w:t>
      </w:r>
      <w:r>
        <w:rPr>
          <w:rFonts w:eastAsia="楷体"/>
          <w:kern w:val="0"/>
          <w:szCs w:val="32"/>
          <w:lang w:bidi="zh-CN"/>
        </w:rPr>
        <w:t>条</w:t>
      </w:r>
      <w:r>
        <w:rPr>
          <w:rFonts w:hint="eastAsia" w:eastAsia="楷体"/>
          <w:kern w:val="0"/>
          <w:szCs w:val="32"/>
          <w:lang w:bidi="zh-CN"/>
        </w:rPr>
        <w:t xml:space="preserve"> </w:t>
      </w:r>
      <w:r>
        <w:rPr>
          <w:rFonts w:eastAsia="楷体"/>
          <w:kern w:val="0"/>
          <w:szCs w:val="32"/>
          <w:lang w:bidi="zh-CN"/>
        </w:rPr>
        <w:t xml:space="preserve"> </w:t>
      </w:r>
      <w:r>
        <w:rPr>
          <w:rFonts w:hint="eastAsia" w:ascii="仿宋_GB2312" w:hAnsi="仿宋_GB2312" w:cs="仿宋_GB2312"/>
          <w:kern w:val="0"/>
          <w:szCs w:val="32"/>
        </w:rPr>
        <w:t>可以</w:t>
      </w:r>
      <w:r>
        <w:rPr>
          <w:rFonts w:ascii="仿宋_GB2312" w:hAnsi="仿宋_GB2312" w:cs="仿宋_GB2312"/>
          <w:kern w:val="0"/>
          <w:szCs w:val="32"/>
        </w:rPr>
        <w:t>用于招商的建筑面积是指</w:t>
      </w:r>
      <w:r>
        <w:rPr>
          <w:rFonts w:hint="eastAsia" w:ascii="仿宋_GB2312" w:hAnsi="仿宋_GB2312" w:cs="仿宋_GB2312"/>
          <w:kern w:val="0"/>
          <w:szCs w:val="32"/>
        </w:rPr>
        <w:t>集聚区</w:t>
      </w:r>
      <w:r>
        <w:rPr>
          <w:rFonts w:ascii="仿宋_GB2312" w:hAnsi="仿宋_GB2312" w:cs="仿宋_GB2312"/>
          <w:kern w:val="0"/>
          <w:szCs w:val="32"/>
        </w:rPr>
        <w:t>工业厂房和研发办公用房建筑面积之和。</w:t>
      </w:r>
    </w:p>
    <w:p w14:paraId="02EBBB46">
      <w:pPr>
        <w:autoSpaceDE w:val="0"/>
        <w:autoSpaceDN w:val="0"/>
        <w:adjustRightInd w:val="0"/>
        <w:snapToGrid w:val="0"/>
        <w:spacing w:line="560" w:lineRule="exact"/>
        <w:ind w:firstLine="640"/>
        <w:rPr>
          <w:rFonts w:hint="eastAsia" w:ascii="仿宋_GB2312" w:hAnsi="仿宋_GB2312" w:cs="仿宋_GB2312"/>
          <w:kern w:val="0"/>
          <w:szCs w:val="32"/>
        </w:rPr>
      </w:pPr>
      <w:r>
        <w:rPr>
          <w:rFonts w:eastAsia="楷体"/>
          <w:kern w:val="0"/>
          <w:szCs w:val="32"/>
          <w:lang w:bidi="zh-CN"/>
        </w:rPr>
        <w:t>第</w:t>
      </w:r>
      <w:r>
        <w:rPr>
          <w:rFonts w:hint="eastAsia" w:eastAsia="楷体"/>
          <w:kern w:val="0"/>
          <w:szCs w:val="32"/>
          <w:lang w:bidi="zh-CN"/>
        </w:rPr>
        <w:t>二十八</w:t>
      </w:r>
      <w:r>
        <w:rPr>
          <w:rFonts w:eastAsia="楷体"/>
          <w:kern w:val="0"/>
          <w:szCs w:val="32"/>
          <w:lang w:bidi="zh-CN"/>
        </w:rPr>
        <w:t>条</w:t>
      </w:r>
      <w:r>
        <w:rPr>
          <w:rFonts w:hint="eastAsia" w:eastAsia="楷体"/>
          <w:kern w:val="0"/>
          <w:szCs w:val="32"/>
          <w:lang w:bidi="zh-CN"/>
        </w:rPr>
        <w:t xml:space="preserve"> </w:t>
      </w:r>
      <w:r>
        <w:rPr>
          <w:rFonts w:eastAsia="楷体"/>
          <w:kern w:val="0"/>
          <w:szCs w:val="32"/>
          <w:lang w:bidi="zh-CN"/>
        </w:rPr>
        <w:t xml:space="preserve"> </w:t>
      </w:r>
      <w:r>
        <w:rPr>
          <w:rFonts w:ascii="仿宋_GB2312" w:hAnsi="仿宋_GB2312" w:cs="仿宋_GB2312"/>
          <w:kern w:val="0"/>
          <w:szCs w:val="32"/>
        </w:rPr>
        <w:t>产业集聚度是指</w:t>
      </w:r>
      <w:r>
        <w:rPr>
          <w:rFonts w:hint="eastAsia" w:ascii="仿宋_GB2312" w:hAnsi="仿宋_GB2312" w:cs="仿宋_GB2312"/>
          <w:kern w:val="0"/>
          <w:szCs w:val="32"/>
        </w:rPr>
        <w:t>集聚区</w:t>
      </w:r>
      <w:r>
        <w:rPr>
          <w:rFonts w:ascii="仿宋_GB2312" w:hAnsi="仿宋_GB2312" w:cs="仿宋_GB2312"/>
          <w:kern w:val="0"/>
          <w:szCs w:val="32"/>
        </w:rPr>
        <w:t>内从事同一产业及与之关联的配套产业的企业上年度营业收入总额占</w:t>
      </w:r>
      <w:r>
        <w:rPr>
          <w:rFonts w:hint="eastAsia" w:ascii="仿宋_GB2312" w:hAnsi="仿宋_GB2312" w:cs="仿宋_GB2312"/>
          <w:kern w:val="0"/>
          <w:szCs w:val="32"/>
        </w:rPr>
        <w:t>集聚区</w:t>
      </w:r>
      <w:r>
        <w:rPr>
          <w:rFonts w:ascii="仿宋_GB2312" w:hAnsi="仿宋_GB2312" w:cs="仿宋_GB2312"/>
          <w:kern w:val="0"/>
          <w:szCs w:val="32"/>
        </w:rPr>
        <w:t>内所有企业上年度营业收入总额的比重，或</w:t>
      </w:r>
      <w:r>
        <w:rPr>
          <w:rFonts w:hint="eastAsia" w:ascii="仿宋_GB2312" w:hAnsi="仿宋_GB2312" w:cs="仿宋_GB2312"/>
          <w:kern w:val="0"/>
          <w:szCs w:val="32"/>
        </w:rPr>
        <w:t>集聚区</w:t>
      </w:r>
      <w:r>
        <w:rPr>
          <w:rFonts w:ascii="仿宋_GB2312" w:hAnsi="仿宋_GB2312" w:cs="仿宋_GB2312"/>
          <w:kern w:val="0"/>
          <w:szCs w:val="32"/>
        </w:rPr>
        <w:t>内从事同一产业及与之关联的配套产业的企业所使用的建筑面积占</w:t>
      </w:r>
      <w:r>
        <w:rPr>
          <w:rFonts w:hint="eastAsia" w:ascii="仿宋_GB2312" w:hAnsi="仿宋_GB2312" w:cs="仿宋_GB2312"/>
          <w:kern w:val="0"/>
          <w:szCs w:val="32"/>
        </w:rPr>
        <w:t>集聚区</w:t>
      </w:r>
      <w:r>
        <w:rPr>
          <w:rFonts w:ascii="仿宋_GB2312" w:hAnsi="仿宋_GB2312" w:cs="仿宋_GB2312"/>
          <w:kern w:val="0"/>
          <w:szCs w:val="32"/>
        </w:rPr>
        <w:t>总建筑面积的比重</w:t>
      </w:r>
      <w:r>
        <w:rPr>
          <w:rFonts w:hint="eastAsia" w:ascii="仿宋_GB2312" w:hAnsi="仿宋_GB2312" w:cs="仿宋_GB2312"/>
          <w:kern w:val="0"/>
          <w:szCs w:val="32"/>
        </w:rPr>
        <w:t>。</w:t>
      </w:r>
    </w:p>
    <w:p w14:paraId="7D9555CF">
      <w:pPr>
        <w:autoSpaceDE w:val="0"/>
        <w:autoSpaceDN w:val="0"/>
        <w:adjustRightInd w:val="0"/>
        <w:snapToGrid w:val="0"/>
        <w:spacing w:line="560" w:lineRule="exact"/>
        <w:ind w:firstLine="640"/>
        <w:rPr>
          <w:rFonts w:hint="eastAsia" w:ascii="仿宋_GB2312" w:hAnsi="仿宋_GB2312" w:cs="仿宋_GB2312"/>
          <w:kern w:val="0"/>
          <w:szCs w:val="32"/>
        </w:rPr>
      </w:pPr>
      <w:r>
        <w:rPr>
          <w:rFonts w:hint="eastAsia" w:eastAsia="楷体"/>
          <w:kern w:val="0"/>
          <w:szCs w:val="32"/>
          <w:lang w:bidi="zh-CN"/>
        </w:rPr>
        <w:t xml:space="preserve">第二十九条  </w:t>
      </w:r>
      <w:r>
        <w:rPr>
          <w:rFonts w:hint="eastAsia" w:ascii="仿宋_GB2312" w:hAnsi="仿宋_GB2312" w:cs="仿宋_GB2312"/>
          <w:kern w:val="0"/>
          <w:szCs w:val="32"/>
        </w:rPr>
        <w:t>本办法自2025年□□月□□日起实施，有效期至□□□□年□□月□□日。</w:t>
      </w:r>
    </w:p>
    <w:p w14:paraId="0D5730B7">
      <w:pPr>
        <w:rPr>
          <w:rFonts w:hint="eastAsia"/>
        </w:rPr>
      </w:pPr>
    </w:p>
    <w:p w14:paraId="0091C5DD">
      <w:pPr>
        <w:adjustRightInd w:val="0"/>
        <w:snapToGrid w:val="0"/>
        <w:spacing w:line="420" w:lineRule="exact"/>
        <w:rPr>
          <w:rFonts w:hint="eastAsia" w:ascii="仿宋_GB2312"/>
          <w:sz w:val="28"/>
          <w:szCs w:val="28"/>
        </w:rPr>
      </w:pPr>
    </w:p>
    <w:p w14:paraId="015C8A61">
      <w:pPr>
        <w:adjustRightInd w:val="0"/>
        <w:snapToGrid w:val="0"/>
        <w:spacing w:line="420" w:lineRule="exact"/>
        <w:rPr>
          <w:rFonts w:hint="eastAsia" w:ascii="仿宋_GB2312"/>
          <w:sz w:val="28"/>
          <w:szCs w:val="28"/>
        </w:rPr>
      </w:pPr>
    </w:p>
    <w:p w14:paraId="3C82F50B">
      <w:pPr>
        <w:adjustRightInd w:val="0"/>
        <w:snapToGrid w:val="0"/>
        <w:spacing w:line="420" w:lineRule="exact"/>
        <w:rPr>
          <w:rFonts w:hint="eastAsia" w:ascii="仿宋_GB2312"/>
          <w:sz w:val="28"/>
          <w:szCs w:val="28"/>
        </w:rPr>
      </w:pPr>
    </w:p>
    <w:p w14:paraId="0A2C4565">
      <w:pPr>
        <w:adjustRightInd w:val="0"/>
        <w:snapToGrid w:val="0"/>
        <w:spacing w:line="420" w:lineRule="exact"/>
        <w:rPr>
          <w:rFonts w:hint="eastAsia" w:ascii="仿宋_GB2312"/>
          <w:sz w:val="28"/>
          <w:szCs w:val="28"/>
        </w:rPr>
      </w:pPr>
    </w:p>
    <w:p w14:paraId="2944D6AA">
      <w:pPr>
        <w:adjustRightInd w:val="0"/>
        <w:snapToGrid w:val="0"/>
        <w:spacing w:line="420" w:lineRule="exact"/>
        <w:rPr>
          <w:rFonts w:hint="eastAsia" w:ascii="仿宋_GB2312"/>
          <w:sz w:val="28"/>
          <w:szCs w:val="28"/>
        </w:rPr>
      </w:pPr>
    </w:p>
    <w:p w14:paraId="3CA4E60E">
      <w:pPr>
        <w:adjustRightInd w:val="0"/>
        <w:snapToGrid w:val="0"/>
        <w:spacing w:line="420" w:lineRule="exact"/>
        <w:rPr>
          <w:rFonts w:hint="eastAsia" w:ascii="仿宋_GB2312"/>
          <w:sz w:val="28"/>
          <w:szCs w:val="28"/>
        </w:rPr>
      </w:pPr>
    </w:p>
    <w:p w14:paraId="455EEC05">
      <w:pPr>
        <w:adjustRightInd w:val="0"/>
        <w:snapToGrid w:val="0"/>
        <w:spacing w:line="420" w:lineRule="exact"/>
        <w:rPr>
          <w:rFonts w:hint="eastAsia" w:ascii="仿宋_GB2312"/>
          <w:sz w:val="28"/>
          <w:szCs w:val="28"/>
        </w:rPr>
      </w:pPr>
    </w:p>
    <w:p w14:paraId="0675B943">
      <w:pPr>
        <w:adjustRightInd w:val="0"/>
        <w:snapToGrid w:val="0"/>
        <w:spacing w:line="420" w:lineRule="exact"/>
        <w:rPr>
          <w:rFonts w:hint="eastAsia" w:ascii="仿宋_GB2312"/>
          <w:sz w:val="28"/>
          <w:szCs w:val="28"/>
        </w:rPr>
      </w:pPr>
    </w:p>
    <w:p w14:paraId="6B3C2341">
      <w:pPr>
        <w:adjustRightInd w:val="0"/>
        <w:snapToGrid w:val="0"/>
        <w:spacing w:line="420" w:lineRule="exact"/>
        <w:rPr>
          <w:rFonts w:hint="eastAsia" w:ascii="仿宋_GB2312"/>
          <w:sz w:val="28"/>
          <w:szCs w:val="28"/>
        </w:rPr>
      </w:pPr>
    </w:p>
    <w:p w14:paraId="35D45FF4">
      <w:pPr>
        <w:adjustRightInd w:val="0"/>
        <w:snapToGrid w:val="0"/>
        <w:spacing w:line="420" w:lineRule="exact"/>
        <w:rPr>
          <w:rFonts w:hint="eastAsia" w:ascii="仿宋_GB2312"/>
          <w:sz w:val="28"/>
          <w:szCs w:val="28"/>
        </w:rPr>
      </w:pPr>
    </w:p>
    <w:p w14:paraId="7F42115F">
      <w:pPr>
        <w:adjustRightInd w:val="0"/>
        <w:snapToGrid w:val="0"/>
        <w:spacing w:line="420" w:lineRule="exact"/>
        <w:rPr>
          <w:rFonts w:hint="eastAsia" w:ascii="仿宋_GB2312"/>
          <w:sz w:val="28"/>
          <w:szCs w:val="28"/>
        </w:rPr>
      </w:pPr>
    </w:p>
    <w:p w14:paraId="76188364">
      <w:pPr>
        <w:adjustRightInd w:val="0"/>
        <w:snapToGrid w:val="0"/>
        <w:spacing w:line="420" w:lineRule="exact"/>
        <w:rPr>
          <w:rFonts w:hint="eastAsia" w:ascii="仿宋_GB2312"/>
          <w:sz w:val="28"/>
          <w:szCs w:val="28"/>
        </w:rPr>
      </w:pPr>
    </w:p>
    <w:p w14:paraId="4791A520">
      <w:pPr>
        <w:adjustRightInd w:val="0"/>
        <w:snapToGrid w:val="0"/>
        <w:spacing w:line="420" w:lineRule="exact"/>
        <w:rPr>
          <w:rFonts w:hint="eastAsia" w:ascii="仿宋_GB2312"/>
          <w:sz w:val="28"/>
          <w:szCs w:val="28"/>
        </w:rPr>
      </w:pPr>
    </w:p>
    <w:p w14:paraId="5049956D">
      <w:pPr>
        <w:adjustRightInd w:val="0"/>
        <w:snapToGrid w:val="0"/>
        <w:spacing w:line="420" w:lineRule="exact"/>
        <w:rPr>
          <w:rFonts w:hint="eastAsia" w:ascii="仿宋_GB2312"/>
          <w:sz w:val="28"/>
          <w:szCs w:val="28"/>
        </w:rPr>
      </w:pPr>
      <w:bookmarkStart w:id="0" w:name="_GoBack"/>
      <w:bookmarkEnd w:id="0"/>
    </w:p>
    <w:sectPr>
      <w:headerReference r:id="rId3" w:type="default"/>
      <w:footerReference r:id="rId5" w:type="default"/>
      <w:headerReference r:id="rId4" w:type="even"/>
      <w:footerReference r:id="rId6" w:type="even"/>
      <w:pgSz w:w="11907" w:h="16840"/>
      <w:pgMar w:top="2098" w:right="1474" w:bottom="1985" w:left="1588" w:header="851" w:footer="1588" w:gutter="0"/>
      <w:cols w:space="720" w:num="1"/>
      <w:docGrid w:linePitch="554"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星简小标宋">
    <w:altName w:val="方正小标宋简体"/>
    <w:panose1 w:val="00000000000000000000"/>
    <w:charset w:val="00"/>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Verdana">
    <w:altName w:val="UKIJ Inchike"/>
    <w:panose1 w:val="020B0604030504040204"/>
    <w:charset w:val="00"/>
    <w:family w:val="swiss"/>
    <w:pitch w:val="default"/>
    <w:sig w:usb0="00000000" w:usb1="00000000" w:usb2="00000010" w:usb3="00000000" w:csb0="0000019F" w:csb1="00000000"/>
  </w:font>
  <w:font w:name="UKIJ Inchike">
    <w:panose1 w:val="020B0604030504040204"/>
    <w:charset w:val="00"/>
    <w:family w:val="auto"/>
    <w:pitch w:val="default"/>
    <w:sig w:usb0="00006287" w:usb1="80000000" w:usb2="00000008" w:usb3="00000000" w:csb0="200000DF" w:csb1="20080000"/>
  </w:font>
  <w:font w:name="Tahoma">
    <w:altName w:val="noto sans thai"/>
    <w:panose1 w:val="020B0604030504040204"/>
    <w:charset w:val="00"/>
    <w:family w:val="swiss"/>
    <w:pitch w:val="default"/>
    <w:sig w:usb0="00000000" w:usb1="00000000" w:usb2="00000029" w:usb3="00000000" w:csb0="000101FF" w:csb1="00000000"/>
  </w:font>
  <w:font w:name="noto sans thai">
    <w:panose1 w:val="020B0502040504020204"/>
    <w:charset w:val="00"/>
    <w:family w:val="auto"/>
    <w:pitch w:val="default"/>
    <w:sig w:usb0="81000063" w:usb1="00002000" w:usb2="00000000" w:usb3="00000000" w:csb0="00010000" w:csb1="00000000"/>
  </w:font>
  <w:font w:name="仿宋">
    <w:altName w:val="仿宋_GB2312"/>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FED93">
    <w:pPr>
      <w:pStyle w:val="11"/>
      <w:ind w:right="360" w:firstLine="360"/>
      <w:jc w:val="right"/>
      <w:rPr>
        <w:rFonts w:hint="eastAsia" w:ascii="宋体" w:hAnsi="宋体" w:eastAsia="宋体"/>
        <w:sz w:val="28"/>
        <w:szCs w:val="28"/>
      </w:rPr>
    </w:pPr>
    <w:r>
      <w:rPr>
        <w:rFonts w:hint="eastAsia" w:ascii="宋体" w:hAnsi="宋体" w:eastAsia="宋体"/>
        <w:sz w:val="28"/>
        <w:szCs w:val="28"/>
      </w:rPr>
      <w:t xml:space="preserve">— </w:t>
    </w:r>
    <w:r>
      <w:rPr>
        <w:rStyle w:val="22"/>
        <w:rFonts w:ascii="宋体" w:hAnsi="宋体" w:eastAsia="宋体"/>
        <w:sz w:val="28"/>
        <w:szCs w:val="28"/>
      </w:rPr>
      <w:fldChar w:fldCharType="begin"/>
    </w:r>
    <w:r>
      <w:rPr>
        <w:rStyle w:val="22"/>
        <w:rFonts w:ascii="宋体" w:hAnsi="宋体" w:eastAsia="宋体"/>
        <w:sz w:val="28"/>
        <w:szCs w:val="28"/>
      </w:rPr>
      <w:instrText xml:space="preserve"> PAGE </w:instrText>
    </w:r>
    <w:r>
      <w:rPr>
        <w:rStyle w:val="22"/>
        <w:rFonts w:ascii="宋体" w:hAnsi="宋体" w:eastAsia="宋体"/>
        <w:sz w:val="28"/>
        <w:szCs w:val="28"/>
      </w:rPr>
      <w:fldChar w:fldCharType="separate"/>
    </w:r>
    <w:r>
      <w:rPr>
        <w:rStyle w:val="22"/>
        <w:rFonts w:ascii="宋体" w:hAnsi="宋体" w:eastAsia="宋体"/>
        <w:sz w:val="28"/>
        <w:szCs w:val="28"/>
      </w:rPr>
      <w:t>9</w:t>
    </w:r>
    <w:r>
      <w:rPr>
        <w:rStyle w:val="22"/>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CBB02">
    <w:pPr>
      <w:pStyle w:val="11"/>
      <w:ind w:right="360" w:firstLine="360"/>
      <w:rPr>
        <w:rFonts w:hint="eastAsia" w:ascii="宋体" w:hAnsi="宋体" w:eastAsia="宋体"/>
        <w:sz w:val="28"/>
        <w:szCs w:val="28"/>
      </w:rPr>
    </w:pPr>
    <w:r>
      <w:rPr>
        <w:rFonts w:hint="eastAsia" w:ascii="宋体" w:hAnsi="宋体" w:eastAsia="宋体"/>
        <w:sz w:val="28"/>
        <w:szCs w:val="28"/>
      </w:rPr>
      <w:t xml:space="preserve">— </w:t>
    </w:r>
    <w:r>
      <w:rPr>
        <w:rStyle w:val="22"/>
        <w:rFonts w:ascii="宋体" w:hAnsi="宋体" w:eastAsia="宋体"/>
        <w:sz w:val="28"/>
        <w:szCs w:val="28"/>
      </w:rPr>
      <w:fldChar w:fldCharType="begin"/>
    </w:r>
    <w:r>
      <w:rPr>
        <w:rStyle w:val="22"/>
        <w:rFonts w:ascii="宋体" w:hAnsi="宋体" w:eastAsia="宋体"/>
        <w:sz w:val="28"/>
        <w:szCs w:val="28"/>
      </w:rPr>
      <w:instrText xml:space="preserve"> PAGE </w:instrText>
    </w:r>
    <w:r>
      <w:rPr>
        <w:rStyle w:val="22"/>
        <w:rFonts w:ascii="宋体" w:hAnsi="宋体" w:eastAsia="宋体"/>
        <w:sz w:val="28"/>
        <w:szCs w:val="28"/>
      </w:rPr>
      <w:fldChar w:fldCharType="separate"/>
    </w:r>
    <w:r>
      <w:rPr>
        <w:rStyle w:val="22"/>
        <w:rFonts w:ascii="宋体" w:hAnsi="宋体" w:eastAsia="宋体"/>
        <w:sz w:val="28"/>
        <w:szCs w:val="28"/>
      </w:rPr>
      <w:t>10</w:t>
    </w:r>
    <w:r>
      <w:rPr>
        <w:rStyle w:val="22"/>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2E5D">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C0EB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D4650"/>
    <w:multiLevelType w:val="singleLevel"/>
    <w:tmpl w:val="25CD4650"/>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5"/>
  <w:evenAndOddHeaders w:val="1"/>
  <w:drawingGridHorizontalSpacing w:val="158"/>
  <w:drawingGridVerticalSpacing w:val="277"/>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NWNjMGI5ZjQ4ZjAyNDA0ZjczMzQzNDMyMGMzOWYifQ=="/>
  </w:docVars>
  <w:rsids>
    <w:rsidRoot w:val="005567A7"/>
    <w:rsid w:val="0000722E"/>
    <w:rsid w:val="00023D18"/>
    <w:rsid w:val="00032450"/>
    <w:rsid w:val="00043AFF"/>
    <w:rsid w:val="00047709"/>
    <w:rsid w:val="00047E27"/>
    <w:rsid w:val="0005132B"/>
    <w:rsid w:val="00056E23"/>
    <w:rsid w:val="00060CA1"/>
    <w:rsid w:val="00062483"/>
    <w:rsid w:val="000669C0"/>
    <w:rsid w:val="0007091B"/>
    <w:rsid w:val="0007417E"/>
    <w:rsid w:val="0008247C"/>
    <w:rsid w:val="00082D6E"/>
    <w:rsid w:val="00084FC9"/>
    <w:rsid w:val="00085A2C"/>
    <w:rsid w:val="00092338"/>
    <w:rsid w:val="000964FD"/>
    <w:rsid w:val="000A4D20"/>
    <w:rsid w:val="000A4F1E"/>
    <w:rsid w:val="000A7EF1"/>
    <w:rsid w:val="000B248F"/>
    <w:rsid w:val="000B5B72"/>
    <w:rsid w:val="000B6EC9"/>
    <w:rsid w:val="000C13D4"/>
    <w:rsid w:val="000C19B2"/>
    <w:rsid w:val="000C326A"/>
    <w:rsid w:val="000C5163"/>
    <w:rsid w:val="000C6288"/>
    <w:rsid w:val="000D2530"/>
    <w:rsid w:val="000D3089"/>
    <w:rsid w:val="000D3C7F"/>
    <w:rsid w:val="000D4401"/>
    <w:rsid w:val="000D6698"/>
    <w:rsid w:val="000E22F9"/>
    <w:rsid w:val="000E270B"/>
    <w:rsid w:val="000E28E8"/>
    <w:rsid w:val="000E4991"/>
    <w:rsid w:val="000E4E13"/>
    <w:rsid w:val="000E5C8B"/>
    <w:rsid w:val="000E7BB7"/>
    <w:rsid w:val="000F0529"/>
    <w:rsid w:val="000F1827"/>
    <w:rsid w:val="000F1908"/>
    <w:rsid w:val="000F3F99"/>
    <w:rsid w:val="001049A4"/>
    <w:rsid w:val="00111540"/>
    <w:rsid w:val="001135BE"/>
    <w:rsid w:val="00115EE8"/>
    <w:rsid w:val="001245D1"/>
    <w:rsid w:val="001248CC"/>
    <w:rsid w:val="00127766"/>
    <w:rsid w:val="00127BA8"/>
    <w:rsid w:val="001309AE"/>
    <w:rsid w:val="001378E8"/>
    <w:rsid w:val="00142FA4"/>
    <w:rsid w:val="001452D1"/>
    <w:rsid w:val="0014566C"/>
    <w:rsid w:val="00147268"/>
    <w:rsid w:val="00152838"/>
    <w:rsid w:val="001639A9"/>
    <w:rsid w:val="00172FE7"/>
    <w:rsid w:val="0017570A"/>
    <w:rsid w:val="0017668B"/>
    <w:rsid w:val="001773F0"/>
    <w:rsid w:val="00181FB4"/>
    <w:rsid w:val="00182102"/>
    <w:rsid w:val="00183701"/>
    <w:rsid w:val="00192794"/>
    <w:rsid w:val="001945FC"/>
    <w:rsid w:val="0019685C"/>
    <w:rsid w:val="001A1395"/>
    <w:rsid w:val="001A15CE"/>
    <w:rsid w:val="001A25F7"/>
    <w:rsid w:val="001B267A"/>
    <w:rsid w:val="001B3C2C"/>
    <w:rsid w:val="001B48C7"/>
    <w:rsid w:val="001C05DA"/>
    <w:rsid w:val="001C2D44"/>
    <w:rsid w:val="001D6891"/>
    <w:rsid w:val="001D7C3B"/>
    <w:rsid w:val="001E22A8"/>
    <w:rsid w:val="001F1B68"/>
    <w:rsid w:val="001F4B7E"/>
    <w:rsid w:val="001F5F00"/>
    <w:rsid w:val="001F6B03"/>
    <w:rsid w:val="00202024"/>
    <w:rsid w:val="00207455"/>
    <w:rsid w:val="002118B4"/>
    <w:rsid w:val="0021363F"/>
    <w:rsid w:val="00213F46"/>
    <w:rsid w:val="002145E9"/>
    <w:rsid w:val="00216E4D"/>
    <w:rsid w:val="00220887"/>
    <w:rsid w:val="002233A3"/>
    <w:rsid w:val="00224BE6"/>
    <w:rsid w:val="00227B6A"/>
    <w:rsid w:val="00232FB3"/>
    <w:rsid w:val="0023389C"/>
    <w:rsid w:val="00235A3F"/>
    <w:rsid w:val="002403BC"/>
    <w:rsid w:val="00240996"/>
    <w:rsid w:val="0024568F"/>
    <w:rsid w:val="002474FC"/>
    <w:rsid w:val="00251317"/>
    <w:rsid w:val="0026077C"/>
    <w:rsid w:val="0026678C"/>
    <w:rsid w:val="00267D08"/>
    <w:rsid w:val="00271B7B"/>
    <w:rsid w:val="00276955"/>
    <w:rsid w:val="00281A82"/>
    <w:rsid w:val="00284985"/>
    <w:rsid w:val="00286B70"/>
    <w:rsid w:val="00292B02"/>
    <w:rsid w:val="002943C5"/>
    <w:rsid w:val="0029678A"/>
    <w:rsid w:val="002978AD"/>
    <w:rsid w:val="00297C59"/>
    <w:rsid w:val="002A0000"/>
    <w:rsid w:val="002A5F2D"/>
    <w:rsid w:val="002A6977"/>
    <w:rsid w:val="002B3AD4"/>
    <w:rsid w:val="002B58DC"/>
    <w:rsid w:val="002B5B77"/>
    <w:rsid w:val="002B600D"/>
    <w:rsid w:val="002C6C1D"/>
    <w:rsid w:val="002C700A"/>
    <w:rsid w:val="002D385D"/>
    <w:rsid w:val="002E13E3"/>
    <w:rsid w:val="002E5387"/>
    <w:rsid w:val="002F2A90"/>
    <w:rsid w:val="002F2FAA"/>
    <w:rsid w:val="003015B1"/>
    <w:rsid w:val="00301B59"/>
    <w:rsid w:val="0030706D"/>
    <w:rsid w:val="003103B2"/>
    <w:rsid w:val="00310BDB"/>
    <w:rsid w:val="003123A2"/>
    <w:rsid w:val="00314D8F"/>
    <w:rsid w:val="0032117B"/>
    <w:rsid w:val="003267BD"/>
    <w:rsid w:val="00327AC6"/>
    <w:rsid w:val="00332172"/>
    <w:rsid w:val="00335AD5"/>
    <w:rsid w:val="00336774"/>
    <w:rsid w:val="00343EC7"/>
    <w:rsid w:val="003461AB"/>
    <w:rsid w:val="00346987"/>
    <w:rsid w:val="00350794"/>
    <w:rsid w:val="003551F4"/>
    <w:rsid w:val="003556F2"/>
    <w:rsid w:val="003577D0"/>
    <w:rsid w:val="00357A25"/>
    <w:rsid w:val="003607B7"/>
    <w:rsid w:val="00364B87"/>
    <w:rsid w:val="00367B74"/>
    <w:rsid w:val="003727B3"/>
    <w:rsid w:val="00372C02"/>
    <w:rsid w:val="00372E48"/>
    <w:rsid w:val="00373653"/>
    <w:rsid w:val="00374222"/>
    <w:rsid w:val="00384C70"/>
    <w:rsid w:val="003A17DD"/>
    <w:rsid w:val="003A1ACE"/>
    <w:rsid w:val="003A39AC"/>
    <w:rsid w:val="003A4CE8"/>
    <w:rsid w:val="003A4DF3"/>
    <w:rsid w:val="003A60FE"/>
    <w:rsid w:val="003B5A37"/>
    <w:rsid w:val="003B6B10"/>
    <w:rsid w:val="003B6F8A"/>
    <w:rsid w:val="003C3402"/>
    <w:rsid w:val="003D552C"/>
    <w:rsid w:val="003E015C"/>
    <w:rsid w:val="003E46EE"/>
    <w:rsid w:val="003E6119"/>
    <w:rsid w:val="003F0673"/>
    <w:rsid w:val="003F2969"/>
    <w:rsid w:val="004026F3"/>
    <w:rsid w:val="00406036"/>
    <w:rsid w:val="004103F9"/>
    <w:rsid w:val="00412233"/>
    <w:rsid w:val="00413665"/>
    <w:rsid w:val="00415ECA"/>
    <w:rsid w:val="00420740"/>
    <w:rsid w:val="00423410"/>
    <w:rsid w:val="0042409F"/>
    <w:rsid w:val="00425FB3"/>
    <w:rsid w:val="004302FA"/>
    <w:rsid w:val="00431F1C"/>
    <w:rsid w:val="00434F4E"/>
    <w:rsid w:val="004367FC"/>
    <w:rsid w:val="00440954"/>
    <w:rsid w:val="004418BD"/>
    <w:rsid w:val="004419CF"/>
    <w:rsid w:val="00442017"/>
    <w:rsid w:val="00442036"/>
    <w:rsid w:val="00442435"/>
    <w:rsid w:val="00445D5C"/>
    <w:rsid w:val="004502F1"/>
    <w:rsid w:val="00462295"/>
    <w:rsid w:val="004623AD"/>
    <w:rsid w:val="00463076"/>
    <w:rsid w:val="0046335C"/>
    <w:rsid w:val="0046671D"/>
    <w:rsid w:val="004A0075"/>
    <w:rsid w:val="004A0C8C"/>
    <w:rsid w:val="004A4750"/>
    <w:rsid w:val="004A5BCA"/>
    <w:rsid w:val="004A6282"/>
    <w:rsid w:val="004A6CD5"/>
    <w:rsid w:val="004B5324"/>
    <w:rsid w:val="004B7701"/>
    <w:rsid w:val="004C158C"/>
    <w:rsid w:val="004C4FE3"/>
    <w:rsid w:val="004C683A"/>
    <w:rsid w:val="004D05E6"/>
    <w:rsid w:val="004D2ECC"/>
    <w:rsid w:val="004D3285"/>
    <w:rsid w:val="004D5549"/>
    <w:rsid w:val="004D5C95"/>
    <w:rsid w:val="004D5E3B"/>
    <w:rsid w:val="004D66D1"/>
    <w:rsid w:val="004E1911"/>
    <w:rsid w:val="004E7750"/>
    <w:rsid w:val="004F34D1"/>
    <w:rsid w:val="004F4EAE"/>
    <w:rsid w:val="004F6195"/>
    <w:rsid w:val="004F78E4"/>
    <w:rsid w:val="004F7BF3"/>
    <w:rsid w:val="0050304B"/>
    <w:rsid w:val="00513DF3"/>
    <w:rsid w:val="00515F0D"/>
    <w:rsid w:val="00520480"/>
    <w:rsid w:val="00520981"/>
    <w:rsid w:val="0053340B"/>
    <w:rsid w:val="00534F66"/>
    <w:rsid w:val="00541251"/>
    <w:rsid w:val="00542208"/>
    <w:rsid w:val="00545457"/>
    <w:rsid w:val="0055449C"/>
    <w:rsid w:val="005567A7"/>
    <w:rsid w:val="005633E9"/>
    <w:rsid w:val="00566D42"/>
    <w:rsid w:val="00567DFB"/>
    <w:rsid w:val="00573FAC"/>
    <w:rsid w:val="00576373"/>
    <w:rsid w:val="0057773C"/>
    <w:rsid w:val="00581B61"/>
    <w:rsid w:val="00585E75"/>
    <w:rsid w:val="005867DB"/>
    <w:rsid w:val="00586C62"/>
    <w:rsid w:val="0058741C"/>
    <w:rsid w:val="005874EE"/>
    <w:rsid w:val="005932A5"/>
    <w:rsid w:val="0059386F"/>
    <w:rsid w:val="005951F0"/>
    <w:rsid w:val="00595F23"/>
    <w:rsid w:val="005A0422"/>
    <w:rsid w:val="005A0C34"/>
    <w:rsid w:val="005A0CC5"/>
    <w:rsid w:val="005A0E7A"/>
    <w:rsid w:val="005A19FF"/>
    <w:rsid w:val="005A57D2"/>
    <w:rsid w:val="005A611C"/>
    <w:rsid w:val="005B1A1B"/>
    <w:rsid w:val="005B4A20"/>
    <w:rsid w:val="005B4B4A"/>
    <w:rsid w:val="005B5571"/>
    <w:rsid w:val="005B6AF9"/>
    <w:rsid w:val="005C19C8"/>
    <w:rsid w:val="005C34FF"/>
    <w:rsid w:val="005C4F12"/>
    <w:rsid w:val="005C5C82"/>
    <w:rsid w:val="005C5DFF"/>
    <w:rsid w:val="005D26CA"/>
    <w:rsid w:val="005D33C7"/>
    <w:rsid w:val="005D5CC9"/>
    <w:rsid w:val="005E1DB5"/>
    <w:rsid w:val="005E2886"/>
    <w:rsid w:val="005F2E55"/>
    <w:rsid w:val="005F2E8D"/>
    <w:rsid w:val="005F30E3"/>
    <w:rsid w:val="005F3527"/>
    <w:rsid w:val="005F5563"/>
    <w:rsid w:val="005F5E2C"/>
    <w:rsid w:val="00600B61"/>
    <w:rsid w:val="006056B8"/>
    <w:rsid w:val="00605BD3"/>
    <w:rsid w:val="00606323"/>
    <w:rsid w:val="006115BB"/>
    <w:rsid w:val="0061587D"/>
    <w:rsid w:val="00617630"/>
    <w:rsid w:val="00622250"/>
    <w:rsid w:val="00625570"/>
    <w:rsid w:val="006267E1"/>
    <w:rsid w:val="00626E51"/>
    <w:rsid w:val="00640406"/>
    <w:rsid w:val="006431AE"/>
    <w:rsid w:val="00643692"/>
    <w:rsid w:val="00644BDC"/>
    <w:rsid w:val="00646517"/>
    <w:rsid w:val="00646B51"/>
    <w:rsid w:val="00647C38"/>
    <w:rsid w:val="00655299"/>
    <w:rsid w:val="00656253"/>
    <w:rsid w:val="006566A0"/>
    <w:rsid w:val="00656C38"/>
    <w:rsid w:val="0067264F"/>
    <w:rsid w:val="00673BC2"/>
    <w:rsid w:val="0067436B"/>
    <w:rsid w:val="00680B2F"/>
    <w:rsid w:val="00682F4F"/>
    <w:rsid w:val="00687075"/>
    <w:rsid w:val="0069067E"/>
    <w:rsid w:val="0069161D"/>
    <w:rsid w:val="0069650C"/>
    <w:rsid w:val="006A112A"/>
    <w:rsid w:val="006A1D02"/>
    <w:rsid w:val="006A1FF7"/>
    <w:rsid w:val="006A363F"/>
    <w:rsid w:val="006A7493"/>
    <w:rsid w:val="006B1A14"/>
    <w:rsid w:val="006B4790"/>
    <w:rsid w:val="006B6130"/>
    <w:rsid w:val="006B6E44"/>
    <w:rsid w:val="006B7668"/>
    <w:rsid w:val="006B7BD3"/>
    <w:rsid w:val="006C006E"/>
    <w:rsid w:val="006C48FE"/>
    <w:rsid w:val="006C5262"/>
    <w:rsid w:val="006C6FE2"/>
    <w:rsid w:val="006D6E21"/>
    <w:rsid w:val="006E21B3"/>
    <w:rsid w:val="006E297B"/>
    <w:rsid w:val="006E2A9A"/>
    <w:rsid w:val="006E7A40"/>
    <w:rsid w:val="006F0E58"/>
    <w:rsid w:val="006F1001"/>
    <w:rsid w:val="006F2485"/>
    <w:rsid w:val="006F403F"/>
    <w:rsid w:val="006F7863"/>
    <w:rsid w:val="006F7F87"/>
    <w:rsid w:val="00706AAC"/>
    <w:rsid w:val="007124EC"/>
    <w:rsid w:val="0071276E"/>
    <w:rsid w:val="007139B3"/>
    <w:rsid w:val="007202D3"/>
    <w:rsid w:val="00721668"/>
    <w:rsid w:val="00721A5E"/>
    <w:rsid w:val="00725DCF"/>
    <w:rsid w:val="00727801"/>
    <w:rsid w:val="0073671F"/>
    <w:rsid w:val="007372EE"/>
    <w:rsid w:val="007422CE"/>
    <w:rsid w:val="00746BD9"/>
    <w:rsid w:val="0074791D"/>
    <w:rsid w:val="00754F4E"/>
    <w:rsid w:val="00762526"/>
    <w:rsid w:val="007642C0"/>
    <w:rsid w:val="00767888"/>
    <w:rsid w:val="00770624"/>
    <w:rsid w:val="007743F1"/>
    <w:rsid w:val="007749EC"/>
    <w:rsid w:val="00781B75"/>
    <w:rsid w:val="007920CA"/>
    <w:rsid w:val="0079407B"/>
    <w:rsid w:val="00797A3A"/>
    <w:rsid w:val="007B1277"/>
    <w:rsid w:val="007B384E"/>
    <w:rsid w:val="007C6E5A"/>
    <w:rsid w:val="007D2E88"/>
    <w:rsid w:val="007D3D28"/>
    <w:rsid w:val="007E0555"/>
    <w:rsid w:val="007E1970"/>
    <w:rsid w:val="007E7252"/>
    <w:rsid w:val="007E7A65"/>
    <w:rsid w:val="007F00D3"/>
    <w:rsid w:val="007F23D1"/>
    <w:rsid w:val="007F43AA"/>
    <w:rsid w:val="00800080"/>
    <w:rsid w:val="0080123B"/>
    <w:rsid w:val="00805CD5"/>
    <w:rsid w:val="00807420"/>
    <w:rsid w:val="008102EE"/>
    <w:rsid w:val="00810EA4"/>
    <w:rsid w:val="00817749"/>
    <w:rsid w:val="00820BD4"/>
    <w:rsid w:val="008238A1"/>
    <w:rsid w:val="00824EF2"/>
    <w:rsid w:val="00830995"/>
    <w:rsid w:val="0084043C"/>
    <w:rsid w:val="008426AF"/>
    <w:rsid w:val="00844900"/>
    <w:rsid w:val="008513DA"/>
    <w:rsid w:val="00852178"/>
    <w:rsid w:val="0085334B"/>
    <w:rsid w:val="00855A05"/>
    <w:rsid w:val="00857170"/>
    <w:rsid w:val="00860164"/>
    <w:rsid w:val="00873EB5"/>
    <w:rsid w:val="00881188"/>
    <w:rsid w:val="0088382A"/>
    <w:rsid w:val="00884BD5"/>
    <w:rsid w:val="008907ED"/>
    <w:rsid w:val="00892A4B"/>
    <w:rsid w:val="00895DCA"/>
    <w:rsid w:val="008A2943"/>
    <w:rsid w:val="008A2E69"/>
    <w:rsid w:val="008A3848"/>
    <w:rsid w:val="008A4D8B"/>
    <w:rsid w:val="008A51FF"/>
    <w:rsid w:val="008A7303"/>
    <w:rsid w:val="008A7A81"/>
    <w:rsid w:val="008B1B26"/>
    <w:rsid w:val="008C2821"/>
    <w:rsid w:val="008C6570"/>
    <w:rsid w:val="008C6B1F"/>
    <w:rsid w:val="008D05A2"/>
    <w:rsid w:val="008D2222"/>
    <w:rsid w:val="008D236F"/>
    <w:rsid w:val="008D3BE6"/>
    <w:rsid w:val="008D5133"/>
    <w:rsid w:val="008D5BCF"/>
    <w:rsid w:val="008E1187"/>
    <w:rsid w:val="008E14F3"/>
    <w:rsid w:val="008E4D80"/>
    <w:rsid w:val="008E7CC7"/>
    <w:rsid w:val="008E7EFE"/>
    <w:rsid w:val="008F2B86"/>
    <w:rsid w:val="008F4A8F"/>
    <w:rsid w:val="008F54F2"/>
    <w:rsid w:val="00902511"/>
    <w:rsid w:val="00910D0D"/>
    <w:rsid w:val="0091211C"/>
    <w:rsid w:val="00920E01"/>
    <w:rsid w:val="009210A1"/>
    <w:rsid w:val="009219E5"/>
    <w:rsid w:val="009230DE"/>
    <w:rsid w:val="009268A3"/>
    <w:rsid w:val="00927FAB"/>
    <w:rsid w:val="00934B26"/>
    <w:rsid w:val="0094050D"/>
    <w:rsid w:val="00944D41"/>
    <w:rsid w:val="00945216"/>
    <w:rsid w:val="00945C3A"/>
    <w:rsid w:val="0094676D"/>
    <w:rsid w:val="00947AE4"/>
    <w:rsid w:val="00947F22"/>
    <w:rsid w:val="00951843"/>
    <w:rsid w:val="00957200"/>
    <w:rsid w:val="00962BB2"/>
    <w:rsid w:val="0096409A"/>
    <w:rsid w:val="00971B2F"/>
    <w:rsid w:val="00985165"/>
    <w:rsid w:val="009860D4"/>
    <w:rsid w:val="00991AE5"/>
    <w:rsid w:val="00992966"/>
    <w:rsid w:val="009A1B5A"/>
    <w:rsid w:val="009A5296"/>
    <w:rsid w:val="009A5B7B"/>
    <w:rsid w:val="009A6DD2"/>
    <w:rsid w:val="009A7169"/>
    <w:rsid w:val="009B2323"/>
    <w:rsid w:val="009C08FD"/>
    <w:rsid w:val="009D0501"/>
    <w:rsid w:val="009D2239"/>
    <w:rsid w:val="009D4307"/>
    <w:rsid w:val="009D7487"/>
    <w:rsid w:val="009E18C9"/>
    <w:rsid w:val="009E3933"/>
    <w:rsid w:val="009E43E9"/>
    <w:rsid w:val="009E4E15"/>
    <w:rsid w:val="009E6549"/>
    <w:rsid w:val="009E7C01"/>
    <w:rsid w:val="009F41FB"/>
    <w:rsid w:val="009F4662"/>
    <w:rsid w:val="009F5176"/>
    <w:rsid w:val="009F633B"/>
    <w:rsid w:val="009F7F02"/>
    <w:rsid w:val="00A05224"/>
    <w:rsid w:val="00A06C29"/>
    <w:rsid w:val="00A1544E"/>
    <w:rsid w:val="00A156F6"/>
    <w:rsid w:val="00A26785"/>
    <w:rsid w:val="00A26CCD"/>
    <w:rsid w:val="00A339D1"/>
    <w:rsid w:val="00A357A1"/>
    <w:rsid w:val="00A4333D"/>
    <w:rsid w:val="00A43F3F"/>
    <w:rsid w:val="00A5289D"/>
    <w:rsid w:val="00A53DC7"/>
    <w:rsid w:val="00A67F9F"/>
    <w:rsid w:val="00A7059B"/>
    <w:rsid w:val="00A761E9"/>
    <w:rsid w:val="00A77344"/>
    <w:rsid w:val="00A7795B"/>
    <w:rsid w:val="00A80649"/>
    <w:rsid w:val="00A81BD1"/>
    <w:rsid w:val="00A827AE"/>
    <w:rsid w:val="00A82EA2"/>
    <w:rsid w:val="00A83687"/>
    <w:rsid w:val="00A83E50"/>
    <w:rsid w:val="00A90486"/>
    <w:rsid w:val="00A96BBB"/>
    <w:rsid w:val="00AA38AB"/>
    <w:rsid w:val="00AA406F"/>
    <w:rsid w:val="00AB07DD"/>
    <w:rsid w:val="00AB2BE1"/>
    <w:rsid w:val="00AC5529"/>
    <w:rsid w:val="00AD1F9E"/>
    <w:rsid w:val="00AD7477"/>
    <w:rsid w:val="00AE1225"/>
    <w:rsid w:val="00AE4DA0"/>
    <w:rsid w:val="00AF016D"/>
    <w:rsid w:val="00AF2766"/>
    <w:rsid w:val="00AF3BFA"/>
    <w:rsid w:val="00AF51FC"/>
    <w:rsid w:val="00B00B1B"/>
    <w:rsid w:val="00B01A06"/>
    <w:rsid w:val="00B129B1"/>
    <w:rsid w:val="00B15E38"/>
    <w:rsid w:val="00B21962"/>
    <w:rsid w:val="00B21CDF"/>
    <w:rsid w:val="00B23F76"/>
    <w:rsid w:val="00B25026"/>
    <w:rsid w:val="00B26B25"/>
    <w:rsid w:val="00B2764E"/>
    <w:rsid w:val="00B3678A"/>
    <w:rsid w:val="00B40FFE"/>
    <w:rsid w:val="00B40FFF"/>
    <w:rsid w:val="00B41257"/>
    <w:rsid w:val="00B42267"/>
    <w:rsid w:val="00B435B9"/>
    <w:rsid w:val="00B44F30"/>
    <w:rsid w:val="00B53312"/>
    <w:rsid w:val="00B53E59"/>
    <w:rsid w:val="00B56B6B"/>
    <w:rsid w:val="00B56E57"/>
    <w:rsid w:val="00B70B51"/>
    <w:rsid w:val="00B72DAD"/>
    <w:rsid w:val="00B76AC2"/>
    <w:rsid w:val="00B7768C"/>
    <w:rsid w:val="00B82C88"/>
    <w:rsid w:val="00B82D7F"/>
    <w:rsid w:val="00B8395E"/>
    <w:rsid w:val="00B94B67"/>
    <w:rsid w:val="00B95BE4"/>
    <w:rsid w:val="00BA2956"/>
    <w:rsid w:val="00BA4A66"/>
    <w:rsid w:val="00BA5521"/>
    <w:rsid w:val="00BA5696"/>
    <w:rsid w:val="00BA616E"/>
    <w:rsid w:val="00BB02D1"/>
    <w:rsid w:val="00BB1B25"/>
    <w:rsid w:val="00BB36AE"/>
    <w:rsid w:val="00BB44FC"/>
    <w:rsid w:val="00BC002F"/>
    <w:rsid w:val="00BC22D4"/>
    <w:rsid w:val="00BC2CC1"/>
    <w:rsid w:val="00BC3525"/>
    <w:rsid w:val="00BC361D"/>
    <w:rsid w:val="00BC4D10"/>
    <w:rsid w:val="00BD300A"/>
    <w:rsid w:val="00BE05C4"/>
    <w:rsid w:val="00BE3600"/>
    <w:rsid w:val="00BF3A40"/>
    <w:rsid w:val="00BF3A97"/>
    <w:rsid w:val="00BF3B96"/>
    <w:rsid w:val="00BF3D4C"/>
    <w:rsid w:val="00BF79D7"/>
    <w:rsid w:val="00C0197F"/>
    <w:rsid w:val="00C0268C"/>
    <w:rsid w:val="00C06591"/>
    <w:rsid w:val="00C1153B"/>
    <w:rsid w:val="00C11F56"/>
    <w:rsid w:val="00C13CF0"/>
    <w:rsid w:val="00C14984"/>
    <w:rsid w:val="00C14F70"/>
    <w:rsid w:val="00C15484"/>
    <w:rsid w:val="00C16498"/>
    <w:rsid w:val="00C24A1E"/>
    <w:rsid w:val="00C26FA8"/>
    <w:rsid w:val="00C3372C"/>
    <w:rsid w:val="00C33A43"/>
    <w:rsid w:val="00C359A2"/>
    <w:rsid w:val="00C37698"/>
    <w:rsid w:val="00C40516"/>
    <w:rsid w:val="00C45147"/>
    <w:rsid w:val="00C51518"/>
    <w:rsid w:val="00C60C72"/>
    <w:rsid w:val="00C63086"/>
    <w:rsid w:val="00C65279"/>
    <w:rsid w:val="00C6552C"/>
    <w:rsid w:val="00C66963"/>
    <w:rsid w:val="00C67A2A"/>
    <w:rsid w:val="00C72F45"/>
    <w:rsid w:val="00C73101"/>
    <w:rsid w:val="00C77308"/>
    <w:rsid w:val="00C83650"/>
    <w:rsid w:val="00C83FFB"/>
    <w:rsid w:val="00C851D6"/>
    <w:rsid w:val="00C87C97"/>
    <w:rsid w:val="00C97E69"/>
    <w:rsid w:val="00CA04E9"/>
    <w:rsid w:val="00CA2551"/>
    <w:rsid w:val="00CC314D"/>
    <w:rsid w:val="00CC3469"/>
    <w:rsid w:val="00CC72A6"/>
    <w:rsid w:val="00CC72FD"/>
    <w:rsid w:val="00CD53D4"/>
    <w:rsid w:val="00CD6D51"/>
    <w:rsid w:val="00CE0070"/>
    <w:rsid w:val="00CE0BD2"/>
    <w:rsid w:val="00CF05E1"/>
    <w:rsid w:val="00CF2934"/>
    <w:rsid w:val="00D0023B"/>
    <w:rsid w:val="00D01035"/>
    <w:rsid w:val="00D02E98"/>
    <w:rsid w:val="00D03C4D"/>
    <w:rsid w:val="00D064BE"/>
    <w:rsid w:val="00D0732B"/>
    <w:rsid w:val="00D07376"/>
    <w:rsid w:val="00D13677"/>
    <w:rsid w:val="00D16A17"/>
    <w:rsid w:val="00D209AB"/>
    <w:rsid w:val="00D20C7A"/>
    <w:rsid w:val="00D2284A"/>
    <w:rsid w:val="00D25947"/>
    <w:rsid w:val="00D25FB1"/>
    <w:rsid w:val="00D30CA5"/>
    <w:rsid w:val="00D3465F"/>
    <w:rsid w:val="00D36343"/>
    <w:rsid w:val="00D44ED8"/>
    <w:rsid w:val="00D50C3B"/>
    <w:rsid w:val="00D50E4B"/>
    <w:rsid w:val="00D51801"/>
    <w:rsid w:val="00D538F6"/>
    <w:rsid w:val="00D54061"/>
    <w:rsid w:val="00D5753C"/>
    <w:rsid w:val="00D61422"/>
    <w:rsid w:val="00D64617"/>
    <w:rsid w:val="00D70020"/>
    <w:rsid w:val="00D700E0"/>
    <w:rsid w:val="00D71B15"/>
    <w:rsid w:val="00D723F5"/>
    <w:rsid w:val="00D72ECD"/>
    <w:rsid w:val="00D9044A"/>
    <w:rsid w:val="00D93D10"/>
    <w:rsid w:val="00D94E82"/>
    <w:rsid w:val="00DA25D8"/>
    <w:rsid w:val="00DA3728"/>
    <w:rsid w:val="00DA3B21"/>
    <w:rsid w:val="00DB4EFD"/>
    <w:rsid w:val="00DB51A9"/>
    <w:rsid w:val="00DC298A"/>
    <w:rsid w:val="00DC7E7B"/>
    <w:rsid w:val="00DD66CD"/>
    <w:rsid w:val="00DD6983"/>
    <w:rsid w:val="00DD7950"/>
    <w:rsid w:val="00DE0AB7"/>
    <w:rsid w:val="00DE30FD"/>
    <w:rsid w:val="00DE36A7"/>
    <w:rsid w:val="00DF43E6"/>
    <w:rsid w:val="00DF6C1F"/>
    <w:rsid w:val="00DF729C"/>
    <w:rsid w:val="00E05CFA"/>
    <w:rsid w:val="00E06619"/>
    <w:rsid w:val="00E12F50"/>
    <w:rsid w:val="00E213DB"/>
    <w:rsid w:val="00E278F3"/>
    <w:rsid w:val="00E32073"/>
    <w:rsid w:val="00E363D4"/>
    <w:rsid w:val="00E36B4C"/>
    <w:rsid w:val="00E36E8F"/>
    <w:rsid w:val="00E438E1"/>
    <w:rsid w:val="00E44361"/>
    <w:rsid w:val="00E5717C"/>
    <w:rsid w:val="00E5776F"/>
    <w:rsid w:val="00E7076F"/>
    <w:rsid w:val="00E7150D"/>
    <w:rsid w:val="00E719E1"/>
    <w:rsid w:val="00E7225B"/>
    <w:rsid w:val="00E72C93"/>
    <w:rsid w:val="00E743E4"/>
    <w:rsid w:val="00E76608"/>
    <w:rsid w:val="00E812A2"/>
    <w:rsid w:val="00E81BCF"/>
    <w:rsid w:val="00E83A92"/>
    <w:rsid w:val="00E85667"/>
    <w:rsid w:val="00E87229"/>
    <w:rsid w:val="00E91A34"/>
    <w:rsid w:val="00E92BA5"/>
    <w:rsid w:val="00E975F1"/>
    <w:rsid w:val="00EA0679"/>
    <w:rsid w:val="00EB06DA"/>
    <w:rsid w:val="00EB3D56"/>
    <w:rsid w:val="00EB4235"/>
    <w:rsid w:val="00EB51C4"/>
    <w:rsid w:val="00EB641F"/>
    <w:rsid w:val="00EC1538"/>
    <w:rsid w:val="00EC42B6"/>
    <w:rsid w:val="00EC5B6F"/>
    <w:rsid w:val="00ED2706"/>
    <w:rsid w:val="00ED46B6"/>
    <w:rsid w:val="00ED542D"/>
    <w:rsid w:val="00EE02F3"/>
    <w:rsid w:val="00EE557C"/>
    <w:rsid w:val="00EE6157"/>
    <w:rsid w:val="00EF01A7"/>
    <w:rsid w:val="00EF7DAD"/>
    <w:rsid w:val="00F04162"/>
    <w:rsid w:val="00F11E4D"/>
    <w:rsid w:val="00F121E1"/>
    <w:rsid w:val="00F1347C"/>
    <w:rsid w:val="00F20519"/>
    <w:rsid w:val="00F22EE3"/>
    <w:rsid w:val="00F253E5"/>
    <w:rsid w:val="00F26112"/>
    <w:rsid w:val="00F278C6"/>
    <w:rsid w:val="00F3116E"/>
    <w:rsid w:val="00F3649B"/>
    <w:rsid w:val="00F36FA5"/>
    <w:rsid w:val="00F402C5"/>
    <w:rsid w:val="00F40A64"/>
    <w:rsid w:val="00F44A71"/>
    <w:rsid w:val="00F47513"/>
    <w:rsid w:val="00F511AB"/>
    <w:rsid w:val="00F526F4"/>
    <w:rsid w:val="00F536BD"/>
    <w:rsid w:val="00F56B8C"/>
    <w:rsid w:val="00F60B21"/>
    <w:rsid w:val="00F64E35"/>
    <w:rsid w:val="00F650AA"/>
    <w:rsid w:val="00F7215B"/>
    <w:rsid w:val="00F72425"/>
    <w:rsid w:val="00F73582"/>
    <w:rsid w:val="00F73E80"/>
    <w:rsid w:val="00F74FF7"/>
    <w:rsid w:val="00F75712"/>
    <w:rsid w:val="00F770DA"/>
    <w:rsid w:val="00F860CE"/>
    <w:rsid w:val="00F87968"/>
    <w:rsid w:val="00F87D19"/>
    <w:rsid w:val="00F92A17"/>
    <w:rsid w:val="00F94C65"/>
    <w:rsid w:val="00FA24D4"/>
    <w:rsid w:val="00FA4F51"/>
    <w:rsid w:val="00FB25EB"/>
    <w:rsid w:val="00FB2975"/>
    <w:rsid w:val="00FB46EF"/>
    <w:rsid w:val="00FB5033"/>
    <w:rsid w:val="00FB7CD5"/>
    <w:rsid w:val="00FC20A5"/>
    <w:rsid w:val="00FC5FF4"/>
    <w:rsid w:val="00FC6A51"/>
    <w:rsid w:val="00FC7268"/>
    <w:rsid w:val="00FC7A84"/>
    <w:rsid w:val="00FD2238"/>
    <w:rsid w:val="00FD5ED1"/>
    <w:rsid w:val="00FD6315"/>
    <w:rsid w:val="00FE1D29"/>
    <w:rsid w:val="00FE2B0F"/>
    <w:rsid w:val="00FE2C69"/>
    <w:rsid w:val="00FE35E2"/>
    <w:rsid w:val="00FF0050"/>
    <w:rsid w:val="00FF2F3F"/>
    <w:rsid w:val="00FF38B0"/>
    <w:rsid w:val="00FF62DC"/>
    <w:rsid w:val="071A0FA5"/>
    <w:rsid w:val="0EF1793B"/>
    <w:rsid w:val="1FBDD278"/>
    <w:rsid w:val="29EBF163"/>
    <w:rsid w:val="35FC13BF"/>
    <w:rsid w:val="59386693"/>
    <w:rsid w:val="5F4E2393"/>
    <w:rsid w:val="79DFF48B"/>
    <w:rsid w:val="7B9F62FA"/>
    <w:rsid w:val="7BCFF0BB"/>
    <w:rsid w:val="BFF586CE"/>
    <w:rsid w:val="F6FDC970"/>
    <w:rsid w:val="FFD3E5F0"/>
    <w:rsid w:val="FFE3CB25"/>
    <w:rsid w:val="FFEFFA20"/>
    <w:rsid w:val="FFFF44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autoSpaceDE w:val="0"/>
      <w:autoSpaceDN w:val="0"/>
      <w:adjustRightInd w:val="0"/>
      <w:ind w:left="270" w:hanging="270"/>
      <w:jc w:val="left"/>
      <w:outlineLvl w:val="1"/>
    </w:pPr>
    <w:rPr>
      <w:rFonts w:eastAsia="宋体"/>
      <w:color w:val="FFFFFF"/>
      <w:kern w:val="0"/>
      <w:szCs w:val="32"/>
      <w:lang w:val="zh-CN"/>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rPr>
      <w:rFonts w:eastAsia="宋体"/>
      <w:sz w:val="21"/>
      <w:szCs w:val="24"/>
    </w:rPr>
  </w:style>
  <w:style w:type="paragraph" w:styleId="5">
    <w:name w:val="Body Text"/>
    <w:basedOn w:val="1"/>
    <w:next w:val="1"/>
    <w:qFormat/>
    <w:uiPriority w:val="0"/>
    <w:pPr>
      <w:spacing w:after="120"/>
    </w:pPr>
  </w:style>
  <w:style w:type="paragraph" w:styleId="6">
    <w:name w:val="Body Text Indent"/>
    <w:basedOn w:val="1"/>
    <w:qFormat/>
    <w:uiPriority w:val="0"/>
    <w:pPr>
      <w:ind w:firstLine="480"/>
    </w:pPr>
    <w:rPr>
      <w:rFonts w:ascii="仿宋_GB2312"/>
      <w:b/>
      <w:spacing w:val="-20"/>
    </w:rPr>
  </w:style>
  <w:style w:type="paragraph" w:styleId="7">
    <w:name w:val="Plain Text"/>
    <w:basedOn w:val="1"/>
    <w:qFormat/>
    <w:uiPriority w:val="0"/>
    <w:rPr>
      <w:rFonts w:ascii="宋体" w:hAnsi="Courier New" w:eastAsia="宋体"/>
      <w:sz w:val="21"/>
    </w:rPr>
  </w:style>
  <w:style w:type="paragraph" w:styleId="8">
    <w:name w:val="Date"/>
    <w:basedOn w:val="1"/>
    <w:next w:val="1"/>
    <w:qFormat/>
    <w:uiPriority w:val="0"/>
    <w:rPr>
      <w:rFonts w:ascii="仿宋_GB2312" w:hAnsi="Courier New"/>
    </w:rPr>
  </w:style>
  <w:style w:type="paragraph" w:styleId="9">
    <w:name w:val="Body Text Indent 2"/>
    <w:basedOn w:val="1"/>
    <w:next w:val="1"/>
    <w:qFormat/>
    <w:uiPriority w:val="0"/>
    <w:pPr>
      <w:spacing w:line="600" w:lineRule="exact"/>
      <w:ind w:firstLine="624"/>
    </w:pPr>
    <w:rPr>
      <w:rFonts w:ascii="仿宋_GB231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Body Text Indent 3"/>
    <w:basedOn w:val="1"/>
    <w:qFormat/>
    <w:uiPriority w:val="0"/>
    <w:pPr>
      <w:spacing w:line="540" w:lineRule="exact"/>
      <w:ind w:firstLine="525"/>
      <w:outlineLvl w:val="0"/>
    </w:pPr>
    <w:rPr>
      <w:rFonts w:ascii="仿宋_GB2312"/>
      <w:sz w:val="36"/>
    </w:rPr>
  </w:style>
  <w:style w:type="paragraph" w:styleId="14">
    <w:name w:val="Body Text 2"/>
    <w:basedOn w:val="1"/>
    <w:qFormat/>
    <w:uiPriority w:val="0"/>
    <w:pPr>
      <w:spacing w:after="120" w:line="480" w:lineRule="auto"/>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w:basedOn w:val="5"/>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800080"/>
      <w:u w:val="single"/>
    </w:rPr>
  </w:style>
  <w:style w:type="character" w:styleId="24">
    <w:name w:val="Hyperlink"/>
    <w:basedOn w:val="20"/>
    <w:qFormat/>
    <w:uiPriority w:val="0"/>
    <w:rPr>
      <w:color w:val="0000FF"/>
      <w:u w:val="single"/>
    </w:rPr>
  </w:style>
  <w:style w:type="paragraph" w:customStyle="1" w:styleId="25">
    <w:name w:val="Char Char1 Char Char Char Char Char Char"/>
    <w:basedOn w:val="1"/>
    <w:qFormat/>
    <w:uiPriority w:val="0"/>
    <w:pPr>
      <w:widowControl/>
      <w:spacing w:after="160" w:line="240" w:lineRule="exact"/>
      <w:jc w:val="left"/>
    </w:pPr>
    <w:rPr>
      <w:szCs w:val="32"/>
    </w:rPr>
  </w:style>
  <w:style w:type="paragraph" w:customStyle="1" w:styleId="26">
    <w:name w:val="主标题"/>
    <w:basedOn w:val="7"/>
    <w:qFormat/>
    <w:uiPriority w:val="0"/>
    <w:pPr>
      <w:spacing w:line="0" w:lineRule="atLeast"/>
      <w:jc w:val="center"/>
    </w:pPr>
    <w:rPr>
      <w:rFonts w:ascii="文星简小标宋" w:eastAsia="文星简小标宋"/>
      <w:sz w:val="36"/>
    </w:rPr>
  </w:style>
  <w:style w:type="paragraph" w:customStyle="1" w:styleId="27">
    <w:name w:val="文号"/>
    <w:basedOn w:val="1"/>
    <w:qFormat/>
    <w:uiPriority w:val="0"/>
    <w:pPr>
      <w:spacing w:before="2040"/>
      <w:jc w:val="center"/>
    </w:pPr>
  </w:style>
  <w:style w:type="paragraph" w:customStyle="1" w:styleId="28">
    <w:name w:val="普通 (Web)"/>
    <w:basedOn w:val="1"/>
    <w:qFormat/>
    <w:uiPriority w:val="0"/>
    <w:pPr>
      <w:widowControl/>
      <w:spacing w:before="100" w:after="100"/>
      <w:jc w:val="left"/>
    </w:pPr>
    <w:rPr>
      <w:rFonts w:ascii="Arial Unicode MS" w:hAnsi="Arial Unicode MS" w:eastAsia="Arial Unicode MS"/>
      <w:kern w:val="0"/>
      <w:sz w:val="24"/>
    </w:rPr>
  </w:style>
  <w:style w:type="character" w:customStyle="1" w:styleId="29">
    <w:name w:val="unnamed1"/>
    <w:basedOn w:val="20"/>
    <w:qFormat/>
    <w:uiPriority w:val="0"/>
  </w:style>
  <w:style w:type="character" w:customStyle="1" w:styleId="30">
    <w:name w:val="main21"/>
    <w:basedOn w:val="20"/>
    <w:qFormat/>
    <w:uiPriority w:val="0"/>
    <w:rPr>
      <w:rFonts w:hint="default"/>
      <w:sz w:val="23"/>
      <w:szCs w:val="23"/>
    </w:rPr>
  </w:style>
  <w:style w:type="paragraph" w:customStyle="1" w:styleId="31">
    <w:name w:val="_Style 31"/>
    <w:basedOn w:val="1"/>
    <w:next w:val="7"/>
    <w:qFormat/>
    <w:uiPriority w:val="0"/>
    <w:rPr>
      <w:rFonts w:ascii="宋体" w:hAnsi="Courier New" w:eastAsia="宋体" w:cs="Courier New"/>
      <w:sz w:val="21"/>
      <w:szCs w:val="21"/>
    </w:rPr>
  </w:style>
  <w:style w:type="paragraph" w:customStyle="1" w:styleId="32">
    <w:name w:val="样式10"/>
    <w:basedOn w:val="1"/>
    <w:next w:val="1"/>
    <w:qFormat/>
    <w:uiPriority w:val="0"/>
    <w:pPr>
      <w:spacing w:line="560" w:lineRule="atLeast"/>
      <w:ind w:firstLine="640"/>
    </w:pPr>
    <w:rPr>
      <w:rFonts w:ascii="仿宋_GB2312" w:hAnsi="Courier New"/>
    </w:rPr>
  </w:style>
  <w:style w:type="paragraph" w:customStyle="1" w:styleId="33">
    <w:name w:val="_Style 33"/>
    <w:basedOn w:val="1"/>
    <w:next w:val="6"/>
    <w:qFormat/>
    <w:uiPriority w:val="0"/>
    <w:pPr>
      <w:ind w:firstLine="2700" w:firstLineChars="900"/>
    </w:pPr>
    <w:rPr>
      <w:rFonts w:ascii="仿宋_GB2312"/>
      <w:sz w:val="30"/>
      <w:szCs w:val="18"/>
    </w:rPr>
  </w:style>
  <w:style w:type="paragraph" w:customStyle="1" w:styleId="34">
    <w:name w:val="_Style 34"/>
    <w:basedOn w:val="1"/>
    <w:next w:val="9"/>
    <w:qFormat/>
    <w:uiPriority w:val="0"/>
    <w:pPr>
      <w:spacing w:line="600" w:lineRule="exact"/>
      <w:ind w:firstLine="624"/>
    </w:pPr>
    <w:rPr>
      <w:rFonts w:ascii="仿宋_GB2312"/>
    </w:rPr>
  </w:style>
  <w:style w:type="paragraph" w:customStyle="1" w:styleId="35">
    <w:name w:val="_Style 35"/>
    <w:basedOn w:val="1"/>
    <w:next w:val="6"/>
    <w:qFormat/>
    <w:uiPriority w:val="0"/>
    <w:pPr>
      <w:adjustRightInd w:val="0"/>
      <w:snapToGrid w:val="0"/>
      <w:spacing w:line="640" w:lineRule="atLeast"/>
      <w:ind w:firstLine="630"/>
    </w:pPr>
    <w:rPr>
      <w:snapToGrid w:val="0"/>
      <w:kern w:val="0"/>
      <w:szCs w:val="24"/>
    </w:rPr>
  </w:style>
  <w:style w:type="paragraph" w:customStyle="1" w:styleId="36">
    <w:name w:val="_Style 36"/>
    <w:basedOn w:val="1"/>
    <w:next w:val="14"/>
    <w:qFormat/>
    <w:uiPriority w:val="0"/>
    <w:rPr>
      <w:szCs w:val="24"/>
    </w:rPr>
  </w:style>
  <w:style w:type="character" w:customStyle="1" w:styleId="37">
    <w:name w:val="text1"/>
    <w:basedOn w:val="20"/>
    <w:qFormat/>
    <w:uiPriority w:val="0"/>
    <w:rPr>
      <w:sz w:val="24"/>
      <w:szCs w:val="24"/>
    </w:rPr>
  </w:style>
  <w:style w:type="paragraph" w:customStyle="1" w:styleId="38">
    <w:name w:val="_Style 39"/>
    <w:basedOn w:val="1"/>
    <w:next w:val="6"/>
    <w:qFormat/>
    <w:uiPriority w:val="0"/>
    <w:pPr>
      <w:ind w:firstLine="640"/>
    </w:pPr>
  </w:style>
  <w:style w:type="paragraph" w:customStyle="1" w:styleId="39">
    <w:name w:val="_Style 40"/>
    <w:basedOn w:val="1"/>
    <w:next w:val="6"/>
    <w:qFormat/>
    <w:uiPriority w:val="0"/>
    <w:pPr>
      <w:ind w:left="1918" w:leftChars="304" w:hanging="1280" w:hangingChars="400"/>
    </w:pPr>
    <w:rPr>
      <w:rFonts w:ascii="仿宋_GB2312"/>
      <w:szCs w:val="24"/>
    </w:rPr>
  </w:style>
  <w:style w:type="paragraph" w:customStyle="1" w:styleId="40">
    <w:name w:val="_Style 41"/>
    <w:basedOn w:val="1"/>
    <w:next w:val="9"/>
    <w:qFormat/>
    <w:uiPriority w:val="0"/>
    <w:pPr>
      <w:spacing w:line="620" w:lineRule="atLeast"/>
      <w:ind w:firstLine="630"/>
      <w:jc w:val="left"/>
    </w:pPr>
    <w:rPr>
      <w:rFonts w:eastAsia="楷体_GB2312"/>
      <w:kern w:val="0"/>
      <w:szCs w:val="24"/>
    </w:rPr>
  </w:style>
  <w:style w:type="paragraph" w:customStyle="1" w:styleId="41">
    <w:name w:val="_Style 42"/>
    <w:basedOn w:val="1"/>
    <w:next w:val="6"/>
    <w:qFormat/>
    <w:uiPriority w:val="0"/>
    <w:pPr>
      <w:ind w:firstLine="640" w:firstLineChars="200"/>
    </w:pPr>
    <w:rPr>
      <w:rFonts w:ascii="仿宋_GB2312"/>
      <w:szCs w:val="32"/>
    </w:rPr>
  </w:style>
  <w:style w:type="paragraph" w:customStyle="1" w:styleId="42">
    <w:name w:val="_Style 44"/>
    <w:basedOn w:val="1"/>
    <w:next w:val="13"/>
    <w:qFormat/>
    <w:uiPriority w:val="0"/>
    <w:pPr>
      <w:widowControl/>
      <w:spacing w:before="100" w:beforeAutospacing="1" w:after="100" w:afterAutospacing="1" w:line="360" w:lineRule="auto"/>
      <w:ind w:firstLine="560" w:firstLineChars="200"/>
      <w:jc w:val="left"/>
    </w:pPr>
    <w:rPr>
      <w:rFonts w:hint="eastAsia" w:ascii="宋体" w:hAnsi="宋体" w:eastAsia="宋体"/>
      <w:kern w:val="0"/>
      <w:sz w:val="28"/>
      <w:szCs w:val="27"/>
    </w:rPr>
  </w:style>
  <w:style w:type="paragraph" w:customStyle="1" w:styleId="43">
    <w:name w:val="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4">
    <w:name w:val=" Char Char Char Char Char Char Char Char Char Char Char Char Char Char Char Char"/>
    <w:basedOn w:val="1"/>
    <w:qFormat/>
    <w:uiPriority w:val="0"/>
    <w:rPr>
      <w:rFonts w:ascii="仿宋_GB2312"/>
      <w:b/>
      <w:szCs w:val="32"/>
    </w:rPr>
  </w:style>
  <w:style w:type="paragraph" w:customStyle="1" w:styleId="45">
    <w:name w:val="5 Char Char Char Char"/>
    <w:basedOn w:val="1"/>
    <w:qFormat/>
    <w:uiPriority w:val="0"/>
    <w:pPr>
      <w:widowControl/>
      <w:spacing w:after="160" w:line="240" w:lineRule="exact"/>
      <w:jc w:val="left"/>
    </w:pPr>
    <w:rPr>
      <w:rFonts w:ascii="Verdana" w:hAnsi="Verdana" w:eastAsia="楷体_GB2312"/>
      <w:b/>
      <w:i/>
      <w:iCs/>
      <w:color w:val="000000"/>
      <w:kern w:val="0"/>
      <w:sz w:val="20"/>
      <w:lang w:eastAsia="en-US"/>
    </w:rPr>
  </w:style>
  <w:style w:type="paragraph" w:customStyle="1" w:styleId="46">
    <w:name w:val="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47">
    <w:name w:val="Char Char Char Char Char Char Char"/>
    <w:basedOn w:val="1"/>
    <w:qFormat/>
    <w:uiPriority w:val="0"/>
    <w:pPr>
      <w:ind w:firstLine="617" w:firstLineChars="257"/>
    </w:pPr>
    <w:rPr>
      <w:rFonts w:ascii="仿宋_GB2312" w:hAnsi="Tahoma" w:cs="Arial"/>
      <w:sz w:val="24"/>
      <w:szCs w:val="24"/>
    </w:rPr>
  </w:style>
  <w:style w:type="paragraph" w:customStyle="1" w:styleId="48">
    <w:name w:val=" Char Char Char"/>
    <w:basedOn w:val="1"/>
    <w:qFormat/>
    <w:uiPriority w:val="0"/>
    <w:rPr>
      <w:rFonts w:ascii="Tahoma" w:hAnsi="Tahoma" w:eastAsia="宋体"/>
      <w:sz w:val="24"/>
    </w:rPr>
  </w:style>
  <w:style w:type="paragraph" w:customStyle="1" w:styleId="49">
    <w:name w:val="默认段落字体 Para Char Char Char Char Char Char Char Char Char Char Char Char Char Char Char1 Char Char Char Char"/>
    <w:basedOn w:val="3"/>
    <w:qFormat/>
    <w:uiPriority w:val="0"/>
    <w:pPr>
      <w:adjustRightInd w:val="0"/>
      <w:spacing w:line="436" w:lineRule="exact"/>
      <w:ind w:left="357"/>
      <w:jc w:val="left"/>
      <w:outlineLvl w:val="3"/>
    </w:pPr>
    <w:rPr>
      <w:rFonts w:ascii="Tahoma" w:hAnsi="Tahoma" w:eastAsia="宋体"/>
      <w:b/>
      <w:sz w:val="24"/>
      <w:szCs w:val="24"/>
    </w:rPr>
  </w:style>
  <w:style w:type="paragraph" w:customStyle="1" w:styleId="50">
    <w:name w:val=" Char Char Char Char"/>
    <w:basedOn w:val="1"/>
    <w:qFormat/>
    <w:uiPriority w:val="0"/>
    <w:rPr>
      <w:rFonts w:eastAsia="Times New Roman"/>
      <w:kern w:val="0"/>
      <w:sz w:val="20"/>
      <w:szCs w:val="22"/>
      <w:lang w:val="en-US" w:eastAsia="zh-CN"/>
    </w:rPr>
  </w:style>
  <w:style w:type="paragraph" w:customStyle="1" w:styleId="51">
    <w:name w:val="样式312"/>
    <w:basedOn w:val="1"/>
    <w:qFormat/>
    <w:uiPriority w:val="0"/>
    <w:pPr>
      <w:spacing w:line="56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ffddf</Company>
  <Pages>9</Pages>
  <Words>671</Words>
  <Characters>3825</Characters>
  <Lines>31</Lines>
  <Paragraphs>8</Paragraphs>
  <TotalTime>4</TotalTime>
  <ScaleCrop>false</ScaleCrop>
  <LinksUpToDate>false</LinksUpToDate>
  <CharactersWithSpaces>4488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2025-11-17T18:06:00Z</dcterms:created>
  <dc:creator>llf</dc:creator>
  <cp:lastModifiedBy>我还是我</cp:lastModifiedBy>
  <cp:lastPrinted>2016-12-16T11:36:00Z</cp:lastPrinted>
  <dcterms:modified xsi:type="dcterms:W3CDTF">2025-12-03T16:17:48Z</dcterms:modified>
  <dc:title>青岛市人民政府文件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715319E67E969E4859EF2F697BB4C250_43</vt:lpwstr>
  </property>
  <property fmtid="{D5CDD505-2E9C-101B-9397-08002B2CF9AE}" pid="4" name="KSOTemplateDocerSaveRecord">
    <vt:lpwstr>eyJoZGlkIjoiNGM5NWNjMGI5ZjQ4ZjAyNDA0ZjczMzQzNDMyMGMzOWYiLCJ1c2VySWQiOiIzNjA0NDAwMDQifQ==</vt:lpwstr>
  </property>
</Properties>
</file>