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14:paraId="59DC6098">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CellMar>
            <w:top w:w="0" w:type="dxa"/>
            <w:left w:w="108" w:type="dxa"/>
            <w:bottom w:w="0" w:type="dxa"/>
            <w:right w:w="108" w:type="dxa"/>
          </w:tblCellMar>
        </w:tblPrEx>
        <w:trPr>
          <w:trHeight w:val="558" w:hRule="atLeast"/>
          <w:jc w:val="center"/>
        </w:trPr>
        <w:tc>
          <w:tcPr>
            <w:tcW w:w="9639" w:type="dxa"/>
            <w:tcMar>
              <w:left w:w="0" w:type="dxa"/>
              <w:right w:w="0" w:type="dxa"/>
            </w:tcMar>
          </w:tcPr>
          <w:p w14:paraId="3208A0B7">
            <w:pPr>
              <w:pStyle w:val="2"/>
              <w:rPr>
                <w:rFonts w:ascii="方正小标宋_GBK" w:eastAsia="方正小标宋_GBK"/>
                <w:color w:val="FF0000"/>
                <w:sz w:val="66"/>
                <w:szCs w:val="66"/>
              </w:rPr>
            </w:pPr>
            <w:r>
              <w:rPr>
                <w:rFonts w:hint="eastAsia" w:ascii="方正小标宋_GBK" w:hAnsi="文星标宋" w:eastAsia="方正小标宋_GBK"/>
                <w:color w:val="FF0000"/>
                <w:w w:val="88"/>
                <w:position w:val="6"/>
                <w:sz w:val="80"/>
                <w:szCs w:val="80"/>
              </w:rPr>
              <w:t>青岛市人力资源和社会保障局</w:t>
            </w:r>
          </w:p>
        </w:tc>
      </w:tr>
    </w:tbl>
    <w:p w14:paraId="6BC3DD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bookmarkEnd w:id="0"/>
    </w:p>
    <w:p w14:paraId="06810E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关于做好2026年度山东省技术技能大师</w:t>
      </w:r>
    </w:p>
    <w:p w14:paraId="62D7D8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推荐选拔工作的通知</w:t>
      </w:r>
    </w:p>
    <w:p w14:paraId="518D8B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B5A37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各区市人力资源和社会保障局，</w:t>
      </w:r>
      <w:r>
        <w:rPr>
          <w:rFonts w:hint="eastAsia" w:ascii="仿宋_GB2312" w:hAnsi="仿宋_GB2312" w:eastAsia="仿宋_GB2312" w:cs="仿宋_GB2312"/>
          <w:sz w:val="32"/>
          <w:szCs w:val="32"/>
          <w:lang w:eastAsia="zh-CN"/>
        </w:rPr>
        <w:t>市直各部门（单位）、</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企业（集团），中央、省驻青</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，各有关单位：</w:t>
      </w:r>
    </w:p>
    <w:p w14:paraId="211ED2B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深入贯彻落实</w:t>
      </w:r>
      <w:r>
        <w:rPr>
          <w:rFonts w:hint="eastAsia" w:ascii="仿宋_GB2312" w:hAnsi="仿宋_GB2312" w:eastAsia="仿宋_GB2312" w:cs="仿宋_GB2312"/>
          <w:sz w:val="32"/>
          <w:szCs w:val="32"/>
          <w:lang w:val="en-US" w:eastAsia="zh-CN"/>
        </w:rPr>
        <w:t>省委人才工作会议精神,根据《山东省人力资源和社会保障厅 关于做好2026年度山东省技术技能大师推荐选拔工作的通知》要求，现就做好我市相关推荐选拔工作通知如下：</w:t>
      </w:r>
    </w:p>
    <w:p w14:paraId="2135DB7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ascii="黑体" w:hAnsi="宋体" w:eastAsia="黑体" w:cs="黑体"/>
          <w:color w:val="000000"/>
          <w:kern w:val="0"/>
          <w:sz w:val="32"/>
          <w:szCs w:val="32"/>
          <w:lang w:val="en-US" w:eastAsia="zh-CN" w:bidi="ar"/>
        </w:rPr>
        <w:t>一、推荐范围</w:t>
      </w:r>
    </w:p>
    <w:p w14:paraId="6A863517">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在我市行政区域内各类院校、科研院所和行业企业中,在教育教学、科学研究、生产经营等一线工作,具有高水平专业技术 能力和高超技能技艺水平,并具有较强创新创造能力和社会影响力的优秀复合型技术技能人才。</w:t>
      </w:r>
    </w:p>
    <w:p w14:paraId="27BA030F">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ascii="黑体" w:hAnsi="宋体" w:eastAsia="黑体" w:cs="黑体"/>
          <w:color w:val="000000"/>
          <w:kern w:val="0"/>
          <w:sz w:val="32"/>
          <w:szCs w:val="32"/>
          <w:lang w:val="en-US" w:eastAsia="zh-CN" w:bidi="ar"/>
        </w:rPr>
        <w:t>二、推荐选拔条件</w:t>
      </w:r>
      <w:r>
        <w:rPr>
          <w:rFonts w:hint="eastAsia" w:ascii="黑体" w:hAnsi="宋体" w:eastAsia="黑体" w:cs="黑体"/>
          <w:color w:val="000000"/>
          <w:kern w:val="0"/>
          <w:sz w:val="32"/>
          <w:szCs w:val="32"/>
          <w:lang w:val="en-US" w:eastAsia="zh-CN" w:bidi="ar"/>
        </w:rPr>
        <w:t>及名额</w:t>
      </w:r>
    </w:p>
    <w:p w14:paraId="750C8F2A">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（一）推荐选拔条件。</w:t>
      </w:r>
      <w:r>
        <w:rPr>
          <w:rFonts w:hint="eastAsia" w:ascii="仿宋_GB2312" w:hAnsi="仿宋_GB2312" w:eastAsia="仿宋_GB2312" w:cs="仿宋_GB2312"/>
          <w:kern w:val="2"/>
          <w:sz w:val="32"/>
          <w:szCs w:val="32"/>
          <w:lang w:val="en-US" w:eastAsia="zh-CN" w:bidi="ar-SA"/>
        </w:rPr>
        <w:t>详见附件1。</w:t>
      </w:r>
    </w:p>
    <w:p w14:paraId="0AB3792B">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（二）推荐名额。</w:t>
      </w:r>
      <w:r>
        <w:rPr>
          <w:rFonts w:hint="eastAsia" w:ascii="仿宋_GB2312" w:hAnsi="仿宋_GB2312" w:eastAsia="仿宋_GB2312" w:cs="仿宋_GB2312"/>
          <w:sz w:val="32"/>
          <w:szCs w:val="32"/>
          <w:lang w:val="en-US" w:eastAsia="zh-CN"/>
        </w:rPr>
        <w:t>各区市可推荐2名人选。市直各部门（单位）、市属职业（技工）院校、市属企业(集团)及中央驻青单位负责推荐1名人选。</w:t>
      </w:r>
    </w:p>
    <w:p w14:paraId="28B67EFF">
      <w:pPr>
        <w:keepNext w:val="0"/>
        <w:keepLines w:val="0"/>
        <w:pageBreakBefore w:val="0"/>
        <w:widowControl/>
        <w:suppressLineNumbers w:val="0"/>
        <w:kinsoku/>
        <w:wordWrap/>
        <w:overflowPunct/>
        <w:topLinePunct w:val="0"/>
        <w:autoSpaceDE/>
        <w:autoSpaceDN/>
        <w:bidi w:val="0"/>
        <w:adjustRightInd/>
        <w:spacing w:line="560" w:lineRule="exact"/>
        <w:ind w:firstLine="60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0"/>
          <w:szCs w:val="30"/>
          <w:lang w:val="en-US" w:eastAsia="zh-CN" w:bidi="ar"/>
        </w:rPr>
        <w:t>三、推荐</w:t>
      </w:r>
      <w:r>
        <w:rPr>
          <w:rFonts w:hint="eastAsia" w:ascii="黑体" w:hAnsi="宋体" w:eastAsia="黑体" w:cs="黑体"/>
          <w:color w:val="000000"/>
          <w:kern w:val="0"/>
          <w:sz w:val="31"/>
          <w:szCs w:val="31"/>
          <w:lang w:val="en-US" w:eastAsia="zh-CN" w:bidi="ar"/>
        </w:rPr>
        <w:t>申</w:t>
      </w:r>
      <w:r>
        <w:rPr>
          <w:rFonts w:hint="eastAsia" w:ascii="黑体" w:hAnsi="宋体" w:eastAsia="黑体" w:cs="黑体"/>
          <w:color w:val="000000"/>
          <w:kern w:val="0"/>
          <w:sz w:val="32"/>
          <w:szCs w:val="32"/>
          <w:lang w:val="en-US" w:eastAsia="zh-CN" w:bidi="ar"/>
        </w:rPr>
        <w:t>报程序。</w:t>
      </w:r>
    </w:p>
    <w:p w14:paraId="2AC4745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申报采取自下而上、逐级推荐、专家评审、组织审定的方式进行。各区市、市直各部门（单位）、市属职业（技工）院校、市属企业(集团)及中央驻青单位负责向市人力资源社会保障局推荐本地区、本部门、本单位候选人。不受理个人申请。</w:t>
      </w:r>
    </w:p>
    <w:p w14:paraId="3BAD0371">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ascii="黑体" w:hAnsi="宋体" w:eastAsia="黑体" w:cs="黑体"/>
          <w:color w:val="000000"/>
          <w:kern w:val="0"/>
          <w:sz w:val="32"/>
          <w:szCs w:val="32"/>
          <w:lang w:val="en-US" w:eastAsia="zh-CN" w:bidi="ar"/>
        </w:rPr>
        <w:t xml:space="preserve">四、推荐申报材料 </w:t>
      </w:r>
    </w:p>
    <w:p w14:paraId="4E6FBAE3">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各推荐单位请于2026年4月6日前,将推荐人选名单及以下申报材料报市人力资源社会保障局职业能力建设处。</w:t>
      </w:r>
    </w:p>
    <w:p w14:paraId="20432541">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(一)《山东省技术技能大师申报书》（附件1）。其中《山东省技术技能大师申报人员基本情况一览表》请报送纸制材料一式6份同时报送时报WORD和PDF格式电子版。 </w:t>
      </w:r>
    </w:p>
    <w:p w14:paraId="58AC86DD">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(二)《山东省技术技能大师申报人员信息汇总表》（附件2） 同时报送WORD和PDF格式电子版。</w:t>
      </w:r>
    </w:p>
    <w:p w14:paraId="5C6DA9B9">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(三)申报人员的主要技术技能成果或论文、获奖证书,以及其他能够证明申报人员先进事迹、突出贡献、业绩能力的佐证材料复印件,原件由推荐申报单位负责审验。并注明原件已审验。</w:t>
      </w:r>
    </w:p>
    <w:p w14:paraId="33802414">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(四)《山东省技术技能大师申报人选个人承诺书》（附件3）。</w:t>
      </w:r>
    </w:p>
    <w:p w14:paraId="0B1627BE">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五、有关要求</w:t>
      </w:r>
    </w:p>
    <w:p w14:paraId="6A3D8D1D">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1.请各有关单位深刻理解复合型技术技能人才在经济社会发展中起到的重要作用和突出贡献，广泛宣传并动员本单位符合条件的技术技能人才报名参评</w:t>
      </w:r>
      <w:r>
        <w:rPr>
          <w:rFonts w:hint="eastAsia" w:ascii="仿宋_GB2312" w:hAnsi="仿宋_GB2312" w:cs="仿宋_GB2312"/>
          <w:color w:val="auto"/>
          <w:sz w:val="32"/>
          <w:szCs w:val="32"/>
          <w:lang w:val="en-US" w:eastAsia="zh-CN"/>
        </w:rPr>
        <w:t>。</w:t>
      </w:r>
    </w:p>
    <w:p w14:paraId="68129B72">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各推荐单位要认真吃透文件精神、把准条件标准，严格按照规定的条件、程序和要求开展选拔推荐工作。各类企事业单位不得直接推荐从事技术技能工作的党政领导班子成员或企业经营管理人员、事业单位中兼职聘用（任）在四级及以上管理岗位的人员。处于管理期内的泰山产业领军人才、山东省有突出贡献的中青年专家、齐鲁首席技师等均不纳入推荐申报范围。 </w:t>
      </w:r>
    </w:p>
    <w:p w14:paraId="3DAC6561">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3.各推荐单位对本系统、本单位、本部门申报人选组织进行初步评审,形成推荐人选后进行内部公示,公示无异议的报市人力资源社会保障局职业能力建设处。涉密人员要加以注明,有关</w:t>
      </w:r>
    </w:p>
    <w:p w14:paraId="6899E2F5">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材料请线下报送,禁止通过网络传输。</w:t>
      </w:r>
    </w:p>
    <w:p w14:paraId="67B03DAD">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 系 人：陈巍   电话：85912319</w:t>
      </w:r>
    </w:p>
    <w:p w14:paraId="66A630F8">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办公地址：青岛市市南区闽江路7号1705房间</w:t>
      </w:r>
    </w:p>
    <w:p w14:paraId="42748E45">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ar"/>
        </w:rPr>
        <w:t>电子邮箱：qdgjnrc@qd.shandong.cn</w:t>
      </w:r>
    </w:p>
    <w:p w14:paraId="4CFBE69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2D15F311">
      <w:pPr>
        <w:keepNext w:val="0"/>
        <w:keepLines w:val="0"/>
        <w:pageBreakBefore w:val="0"/>
        <w:widowControl/>
        <w:numPr>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sz w:val="32"/>
          <w:szCs w:val="32"/>
          <w:lang w:val="en-US" w:eastAsia="zh-CN"/>
        </w:rPr>
        <w:t>山东省技术技能大师申报书</w:t>
      </w:r>
    </w:p>
    <w:p w14:paraId="28DAD58D">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left="1598"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山东省技术技能大师申报人员信息汇总表</w:t>
      </w:r>
    </w:p>
    <w:p w14:paraId="0C041623">
      <w:pPr>
        <w:pStyle w:val="3"/>
        <w:keepNext w:val="0"/>
        <w:keepLines w:val="0"/>
        <w:pageBreakBefore w:val="0"/>
        <w:numPr>
          <w:ilvl w:val="0"/>
          <w:numId w:val="1"/>
        </w:numPr>
        <w:kinsoku/>
        <w:wordWrap/>
        <w:overflowPunct/>
        <w:topLinePunct w:val="0"/>
        <w:autoSpaceDE/>
        <w:autoSpaceDN/>
        <w:bidi w:val="0"/>
        <w:adjustRightInd/>
        <w:spacing w:line="560" w:lineRule="exact"/>
        <w:ind w:left="159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山东省技术技能大师申报人选个人承诺书</w:t>
      </w:r>
    </w:p>
    <w:p w14:paraId="0F154DAF">
      <w:pPr>
        <w:pStyle w:val="3"/>
        <w:keepNext w:val="0"/>
        <w:keepLines w:val="0"/>
        <w:pageBreakBefore w:val="0"/>
        <w:numPr>
          <w:ilvl w:val="0"/>
          <w:numId w:val="1"/>
        </w:numPr>
        <w:kinsoku/>
        <w:wordWrap/>
        <w:overflowPunct/>
        <w:topLinePunct w:val="0"/>
        <w:autoSpaceDE/>
        <w:autoSpaceDN/>
        <w:bidi w:val="0"/>
        <w:adjustRightInd/>
        <w:spacing w:line="560" w:lineRule="exact"/>
        <w:ind w:left="1598" w:leftChars="0" w:firstLine="0" w:firstLineChars="0"/>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 xml:space="preserve">《关于印发&lt;山东省技术技能大师选拔认定管理办法（试             </w:t>
      </w:r>
    </w:p>
    <w:p w14:paraId="68A3D0F5">
      <w:pPr>
        <w:pStyle w:val="3"/>
        <w:keepNext w:val="0"/>
        <w:keepLines w:val="0"/>
        <w:pageBreakBefore w:val="0"/>
        <w:numPr>
          <w:numId w:val="0"/>
        </w:numPr>
        <w:kinsoku/>
        <w:wordWrap/>
        <w:overflowPunct/>
        <w:topLinePunct w:val="0"/>
        <w:autoSpaceDE/>
        <w:autoSpaceDN/>
        <w:bidi w:val="0"/>
        <w:adjustRightInd/>
        <w:spacing w:line="560" w:lineRule="exact"/>
        <w:ind w:left="1598" w:leftChars="0" w:firstLine="560" w:firstLineChars="200"/>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行）&gt;的通知》（鲁人社字〔2022〕15号）</w:t>
      </w:r>
    </w:p>
    <w:p w14:paraId="08B36CD9">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FFEC3DC">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4160" w:firstLineChars="13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青岛市人力资源和社会保障局    </w:t>
      </w:r>
    </w:p>
    <w:p w14:paraId="5D158193">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2026年3月26日  </w:t>
      </w:r>
    </w:p>
    <w:p w14:paraId="7E7B6E7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文星标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A86FD"/>
    <w:multiLevelType w:val="singleLevel"/>
    <w:tmpl w:val="7DDA86FD"/>
    <w:lvl w:ilvl="0" w:tentative="0">
      <w:start w:val="2"/>
      <w:numFmt w:val="decimal"/>
      <w:lvlText w:val="%1."/>
      <w:lvlJc w:val="left"/>
      <w:pPr>
        <w:tabs>
          <w:tab w:val="left" w:pos="312"/>
        </w:tabs>
        <w:ind w:left="159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A3F23"/>
    <w:rsid w:val="16FA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99"/>
    <w:pPr>
      <w:tabs>
        <w:tab w:val="center" w:pos="4153"/>
        <w:tab w:val="right" w:pos="8306"/>
      </w:tabs>
      <w:snapToGrid w:val="0"/>
      <w:jc w:val="center"/>
    </w:pPr>
    <w:rPr>
      <w:sz w:val="18"/>
      <w:szCs w:val="18"/>
    </w:rPr>
  </w:style>
  <w:style w:type="paragraph" w:styleId="3">
    <w:name w:val="footnote text"/>
    <w:basedOn w:val="1"/>
    <w:qFormat/>
    <w:uiPriority w:val="99"/>
    <w:pPr>
      <w:widowControl w:val="0"/>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2026-03-25T09:24:00Z</dcterms:created>
  <dc:creator>勿施</dc:creator>
  <cp:lastModifiedBy>勿施</cp:lastModifiedBy>
  <dcterms:modified xsi:type="dcterms:W3CDTF">2026-03-26T02:04:36Z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11F12308EA5B4490AC4E81E6FDB674CB_11</vt:lpwstr>
  </property>
  <property fmtid="{D5CDD505-2E9C-101B-9397-08002B2CF9AE}" pid="4" name="KSOTemplateDocerSaveRecord">
    <vt:lpwstr>eyJoZGlkIjoiYmY0N2NkYWI3MDA2M2ZlZmViYmIxNWQyZTAwNDA3NzkiLCJ1c2VySWQiOiI1ODM0Mzc2NDcifQ==</vt:lpwstr>
  </property>
</Properties>
</file>