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9"/>
        <w:tblpPr w:leftFromText="180" w:rightFromText="180" w:vertAnchor="page" w:horzAnchor="page" w:tblpX="1241" w:tblpY="1392"/>
        <w:tblOverlap w:val="never"/>
        <w:tblW w:w="9639" w:type="dxa"/>
        <w:tblInd w:w="0" w:type="dxa"/>
        <w:tblBorders>
          <w:top w:val="none" w:color="auto" w:sz="0" w:space="0"/>
          <w:left w:val="none" w:color="auto" w:sz="0" w:space="0"/>
          <w:bottom w:val="thickThinLargeGap" w:color="FF0000" w:sz="24" w:space="0"/>
          <w:right w:val="none" w:color="auto" w:sz="0" w:space="0"/>
          <w:insideH w:val="thinThickLargeGap" w:color="FF0000" w:sz="24" w:space="0"/>
          <w:insideV w:val="thinThickLargeGap" w:color="FF0000" w:sz="18" w:space="0"/>
        </w:tblBorders>
        <w:tblLayout w:type="fixed"/>
        <w:tblCellMar>
          <w:top w:w="0" w:type="dxa"/>
          <w:left w:w="108" w:type="dxa"/>
          <w:bottom w:w="0" w:type="dxa"/>
          <w:right w:w="108" w:type="dxa"/>
        </w:tblCellMar>
      </w:tblPr>
      <w:tblGrid>
        <w:gridCol w:w="9639"/>
      </w:tblGrid>
      <w:tr>
        <w:tblPrEx>
          <w:tblBorders>
            <w:top w:val="none" w:color="auto" w:sz="0" w:space="0"/>
            <w:left w:val="none" w:color="auto" w:sz="0" w:space="0"/>
            <w:bottom w:val="thickThinLargeGap" w:color="FF0000" w:sz="24" w:space="0"/>
            <w:right w:val="none" w:color="auto" w:sz="0" w:space="0"/>
            <w:insideH w:val="thinThickLargeGap" w:color="FF0000" w:sz="24" w:space="0"/>
            <w:insideV w:val="thinThickLargeGap" w:color="FF0000" w:sz="18" w:space="0"/>
          </w:tblBorders>
          <w:tblLayout w:type="fixed"/>
          <w:tblCellMar>
            <w:top w:w="0" w:type="dxa"/>
            <w:left w:w="108" w:type="dxa"/>
            <w:bottom w:w="0" w:type="dxa"/>
            <w:right w:w="108" w:type="dxa"/>
          </w:tblCellMar>
        </w:tblPrEx>
        <w:trPr>
          <w:trHeight w:val="1021" w:hRule="exact"/>
        </w:trPr>
        <w:tc>
          <w:tcPr>
            <w:tcW w:w="9639" w:type="dxa"/>
            <w:tcBorders>
              <w:top w:val="nil"/>
              <w:bottom w:val="thinThickMediumGap" w:color="FF0000" w:sz="24" w:space="0"/>
            </w:tcBorders>
            <w:vAlign w:val="top"/>
          </w:tcPr>
          <w:p>
            <w:pPr>
              <w:adjustRightInd w:val="0"/>
              <w:snapToGrid w:val="0"/>
              <w:spacing w:line="1000" w:lineRule="exact"/>
              <w:jc w:val="center"/>
              <w:rPr>
                <w:rFonts w:ascii="方正小标宋简体" w:hAnsi="方正小标宋简体" w:eastAsia="方正小标宋简体" w:cs="方正小标宋简体"/>
                <w:color w:val="000000"/>
                <w:w w:val="88"/>
                <w:position w:val="6"/>
                <w:sz w:val="70"/>
                <w:szCs w:val="70"/>
              </w:rPr>
            </w:pPr>
            <w:bookmarkStart w:id="0" w:name="_GoBack"/>
            <w:bookmarkEnd w:id="0"/>
            <w:r>
              <w:rPr>
                <w:rFonts w:hint="eastAsia" w:ascii="方正小标宋_GBK" w:hAnsi="方正小标宋_GBK" w:eastAsia="方正小标宋_GBK" w:cs="方正小标宋_GBK"/>
                <w:color w:val="FF0000"/>
                <w:spacing w:val="1"/>
                <w:w w:val="96"/>
                <w:kern w:val="0"/>
                <w:position w:val="6"/>
                <w:sz w:val="70"/>
                <w:szCs w:val="70"/>
                <w:fitText w:val="8750" w:id="0"/>
              </w:rPr>
              <w:t>青岛市人力资源和社会保障</w:t>
            </w:r>
            <w:r>
              <w:rPr>
                <w:rFonts w:hint="eastAsia" w:ascii="方正小标宋_GBK" w:hAnsi="方正小标宋_GBK" w:eastAsia="方正小标宋_GBK" w:cs="方正小标宋_GBK"/>
                <w:color w:val="FF0000"/>
                <w:spacing w:val="26"/>
                <w:w w:val="96"/>
                <w:kern w:val="0"/>
                <w:position w:val="6"/>
                <w:sz w:val="70"/>
                <w:szCs w:val="70"/>
                <w:fitText w:val="8750" w:id="0"/>
              </w:rPr>
              <w:t>局</w:t>
            </w:r>
          </w:p>
        </w:tc>
      </w:tr>
    </w:tbl>
    <w:p>
      <w:pPr>
        <w:widowControl w:val="0"/>
        <w:wordWrap/>
        <w:adjustRightInd/>
        <w:snapToGrid/>
        <w:spacing w:line="586" w:lineRule="exact"/>
        <w:jc w:val="center"/>
        <w:textAlignment w:val="auto"/>
        <w:rPr>
          <w:rFonts w:hint="eastAsia" w:ascii="方正小标宋简体" w:hAnsi="方正小标宋简体" w:eastAsia="方正小标宋简体" w:cs="方正小标宋简体"/>
          <w:color w:val="auto"/>
          <w:sz w:val="44"/>
          <w:szCs w:val="44"/>
        </w:rPr>
      </w:pPr>
    </w:p>
    <w:p>
      <w:pPr>
        <w:pStyle w:val="10"/>
        <w:widowControl w:val="0"/>
        <w:wordWrap/>
        <w:adjustRightInd/>
        <w:snapToGrid/>
        <w:spacing w:line="560" w:lineRule="exact"/>
        <w:ind w:left="0" w:leftChars="0" w:firstLine="0" w:firstLineChars="0"/>
        <w:jc w:val="center"/>
        <w:textAlignment w:val="auto"/>
        <w:rPr>
          <w:rFonts w:hint="eastAsia" w:ascii="方正小标宋_GBK" w:hAnsi="方正小标宋_GBK" w:eastAsia="方正小标宋_GBK" w:cs="方正小标宋_GBK"/>
          <w:bCs/>
          <w:snapToGrid w:val="0"/>
          <w:color w:val="auto"/>
          <w:spacing w:val="20"/>
          <w:kern w:val="0"/>
          <w:sz w:val="44"/>
          <w:szCs w:val="44"/>
        </w:rPr>
      </w:pPr>
      <w:r>
        <w:rPr>
          <w:rFonts w:hint="eastAsia" w:ascii="方正小标宋_GBK" w:hAnsi="方正小标宋_GBK" w:eastAsia="方正小标宋_GBK" w:cs="方正小标宋_GBK"/>
          <w:bCs/>
          <w:snapToGrid w:val="0"/>
          <w:color w:val="auto"/>
          <w:spacing w:val="20"/>
          <w:kern w:val="0"/>
          <w:sz w:val="44"/>
          <w:szCs w:val="44"/>
        </w:rPr>
        <w:t>青岛市人力资源和社会保障局</w:t>
      </w:r>
    </w:p>
    <w:p>
      <w:pPr>
        <w:pStyle w:val="10"/>
        <w:widowControl w:val="0"/>
        <w:wordWrap/>
        <w:adjustRightInd/>
        <w:snapToGrid/>
        <w:spacing w:line="560" w:lineRule="exact"/>
        <w:ind w:left="0" w:leftChars="0" w:firstLine="0" w:firstLineChars="0"/>
        <w:jc w:val="center"/>
        <w:textAlignment w:val="auto"/>
        <w:rPr>
          <w:rFonts w:hint="eastAsia" w:ascii="方正小标宋_GBK" w:hAnsi="方正小标宋_GBK" w:eastAsia="方正小标宋_GBK" w:cs="方正小标宋_GBK"/>
          <w:bCs/>
          <w:snapToGrid w:val="0"/>
          <w:color w:val="auto"/>
          <w:spacing w:val="20"/>
          <w:kern w:val="0"/>
          <w:sz w:val="44"/>
          <w:szCs w:val="44"/>
        </w:rPr>
      </w:pPr>
      <w:r>
        <w:rPr>
          <w:rFonts w:hint="eastAsia" w:ascii="方正小标宋_GBK" w:hAnsi="方正小标宋_GBK" w:eastAsia="方正小标宋_GBK" w:cs="方正小标宋_GBK"/>
          <w:bCs/>
          <w:snapToGrid w:val="0"/>
          <w:color w:val="auto"/>
          <w:spacing w:val="20"/>
          <w:kern w:val="0"/>
          <w:sz w:val="44"/>
          <w:szCs w:val="44"/>
        </w:rPr>
        <w:t>关于202</w:t>
      </w:r>
      <w:r>
        <w:rPr>
          <w:rFonts w:hint="eastAsia" w:ascii="方正小标宋_GBK" w:hAnsi="方正小标宋_GBK" w:eastAsia="方正小标宋_GBK" w:cs="方正小标宋_GBK"/>
          <w:bCs/>
          <w:snapToGrid w:val="0"/>
          <w:color w:val="auto"/>
          <w:spacing w:val="20"/>
          <w:kern w:val="0"/>
          <w:sz w:val="44"/>
          <w:szCs w:val="44"/>
          <w:lang w:val="en-US" w:eastAsia="zh-CN"/>
        </w:rPr>
        <w:t>6</w:t>
      </w:r>
      <w:r>
        <w:rPr>
          <w:rFonts w:hint="eastAsia" w:ascii="方正小标宋_GBK" w:hAnsi="方正小标宋_GBK" w:eastAsia="方正小标宋_GBK" w:cs="方正小标宋_GBK"/>
          <w:bCs/>
          <w:snapToGrid w:val="0"/>
          <w:color w:val="auto"/>
          <w:spacing w:val="20"/>
          <w:kern w:val="0"/>
          <w:sz w:val="44"/>
          <w:szCs w:val="44"/>
        </w:rPr>
        <w:t>年度</w:t>
      </w:r>
      <w:r>
        <w:rPr>
          <w:rFonts w:hint="eastAsia" w:ascii="方正小标宋简体" w:hAnsi="方正小标宋简体" w:eastAsia="方正小标宋简体" w:cs="方正小标宋简体"/>
          <w:color w:val="auto"/>
          <w:sz w:val="44"/>
          <w:szCs w:val="44"/>
        </w:rPr>
        <w:t>统计专业技术资格考试</w:t>
      </w:r>
      <w:r>
        <w:rPr>
          <w:rFonts w:hint="eastAsia" w:ascii="方正小标宋_GBK" w:hAnsi="方正小标宋_GBK" w:eastAsia="方正小标宋_GBK" w:cs="方正小标宋_GBK"/>
          <w:bCs/>
          <w:snapToGrid w:val="0"/>
          <w:color w:val="auto"/>
          <w:spacing w:val="20"/>
          <w:kern w:val="0"/>
          <w:sz w:val="44"/>
          <w:szCs w:val="44"/>
        </w:rPr>
        <w:t>工作</w:t>
      </w:r>
    </w:p>
    <w:p>
      <w:pPr>
        <w:pStyle w:val="10"/>
        <w:widowControl w:val="0"/>
        <w:wordWrap/>
        <w:adjustRightInd/>
        <w:snapToGrid/>
        <w:spacing w:line="560" w:lineRule="exact"/>
        <w:ind w:left="0" w:leftChars="0" w:firstLine="0" w:firstLineChars="0"/>
        <w:jc w:val="center"/>
        <w:textAlignment w:val="auto"/>
        <w:rPr>
          <w:rFonts w:hint="eastAsia" w:ascii="方正小标宋_GBK" w:hAnsi="方正小标宋_GBK" w:eastAsia="方正小标宋_GBK" w:cs="方正小标宋_GBK"/>
          <w:color w:val="auto"/>
          <w:sz w:val="44"/>
          <w:szCs w:val="44"/>
          <w:lang w:val="en-US" w:eastAsia="zh-CN"/>
        </w:rPr>
      </w:pPr>
      <w:r>
        <w:rPr>
          <w:rFonts w:hint="eastAsia" w:ascii="方正小标宋_GBK" w:hAnsi="方正小标宋_GBK" w:eastAsia="方正小标宋_GBK" w:cs="方正小标宋_GBK"/>
          <w:bCs/>
          <w:snapToGrid w:val="0"/>
          <w:color w:val="auto"/>
          <w:spacing w:val="20"/>
          <w:kern w:val="0"/>
          <w:sz w:val="44"/>
          <w:szCs w:val="44"/>
        </w:rPr>
        <w:t>有关问题的通知</w:t>
      </w:r>
    </w:p>
    <w:p>
      <w:pPr>
        <w:widowControl w:val="0"/>
        <w:wordWrap/>
        <w:adjustRightInd/>
        <w:snapToGrid/>
        <w:spacing w:line="586" w:lineRule="exact"/>
        <w:ind w:firstLine="632" w:firstLineChars="200"/>
        <w:textAlignment w:val="auto"/>
        <w:rPr>
          <w:rFonts w:ascii="仿宋_GB2312"/>
          <w:color w:val="auto"/>
        </w:rPr>
      </w:pPr>
    </w:p>
    <w:p>
      <w:pPr>
        <w:widowControl w:val="0"/>
        <w:wordWrap/>
        <w:adjustRightInd/>
        <w:snapToGrid/>
        <w:spacing w:line="560" w:lineRule="exact"/>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smallCaps w:val="0"/>
          <w:color w:val="auto"/>
          <w:spacing w:val="0"/>
          <w:sz w:val="32"/>
          <w:szCs w:val="32"/>
        </w:rPr>
        <w:t>各有关单位：</w:t>
      </w:r>
    </w:p>
    <w:p>
      <w:pPr>
        <w:widowControl w:val="0"/>
        <w:wordWrap/>
        <w:adjustRightInd/>
        <w:snapToGrid/>
        <w:spacing w:line="586" w:lineRule="exact"/>
        <w:ind w:firstLine="632" w:firstLineChars="200"/>
        <w:textAlignment w:val="auto"/>
        <w:rPr>
          <w:rFonts w:ascii="仿宋_GB2312"/>
          <w:color w:val="auto"/>
        </w:rPr>
      </w:pPr>
      <w:r>
        <w:rPr>
          <w:rFonts w:hint="eastAsia" w:ascii="仿宋_GB2312"/>
          <w:color w:val="auto"/>
        </w:rPr>
        <w:t>根据《人力资源社会保障部办公厅关于2026年度专业技术人员职业资格考试工作计划及有关事项的通知》（人社厅函〔2026〕6号）要求，</w:t>
      </w:r>
      <w:r>
        <w:rPr>
          <w:rFonts w:hint="eastAsia" w:ascii="仿宋_GB2312"/>
          <w:color w:val="auto"/>
          <w:lang w:eastAsia="zh-CN"/>
        </w:rPr>
        <w:t>现将</w:t>
      </w:r>
      <w:r>
        <w:rPr>
          <w:rFonts w:hint="eastAsia" w:ascii="仿宋_GB2312"/>
          <w:color w:val="auto"/>
        </w:rPr>
        <w:t>2026年度统计专业技术资格考试</w:t>
      </w:r>
      <w:r>
        <w:rPr>
          <w:rFonts w:hint="eastAsia" w:ascii="仿宋_GB2312"/>
          <w:color w:val="auto"/>
          <w:lang w:eastAsia="zh-CN"/>
        </w:rPr>
        <w:t>工作有关问题通知如下：</w:t>
      </w:r>
    </w:p>
    <w:p>
      <w:pPr>
        <w:widowControl w:val="0"/>
        <w:wordWrap/>
        <w:adjustRightInd/>
        <w:snapToGrid/>
        <w:spacing w:line="586" w:lineRule="exact"/>
        <w:ind w:firstLine="632" w:firstLineChars="200"/>
        <w:textAlignment w:val="auto"/>
        <w:rPr>
          <w:rFonts w:ascii="黑体" w:eastAsia="黑体"/>
          <w:color w:val="auto"/>
        </w:rPr>
      </w:pPr>
      <w:r>
        <w:rPr>
          <w:rFonts w:hint="eastAsia" w:ascii="黑体" w:eastAsia="黑体"/>
          <w:color w:val="auto"/>
        </w:rPr>
        <w:t>一、考试时间及科目设置</w:t>
      </w:r>
    </w:p>
    <w:p>
      <w:pPr>
        <w:widowControl w:val="0"/>
        <w:wordWrap/>
        <w:adjustRightInd/>
        <w:snapToGrid/>
        <w:spacing w:line="586" w:lineRule="exact"/>
        <w:ind w:firstLine="632" w:firstLineChars="200"/>
        <w:textAlignment w:val="auto"/>
        <w:rPr>
          <w:rFonts w:ascii="仿宋_GB2312"/>
          <w:color w:val="auto"/>
        </w:rPr>
      </w:pPr>
      <w:r>
        <w:rPr>
          <w:rFonts w:hint="eastAsia" w:ascii="仿宋_GB2312"/>
          <w:color w:val="auto"/>
        </w:rPr>
        <w:t>2026年度统计专业技术资格考试具体考试时间及科目如下：</w:t>
      </w:r>
    </w:p>
    <w:tbl>
      <w:tblPr>
        <w:tblStyle w:val="19"/>
        <w:tblW w:w="906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68"/>
        <w:gridCol w:w="1504"/>
        <w:gridCol w:w="2024"/>
        <w:gridCol w:w="3296"/>
        <w:gridCol w:w="136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exact"/>
        </w:trPr>
        <w:tc>
          <w:tcPr>
            <w:tcW w:w="868" w:type="dxa"/>
            <w:tcBorders>
              <w:top w:val="single" w:color="auto" w:sz="4" w:space="0"/>
              <w:left w:val="single" w:color="auto" w:sz="4" w:space="0"/>
              <w:bottom w:val="single" w:color="auto" w:sz="4" w:space="0"/>
              <w:right w:val="single" w:color="auto" w:sz="4" w:space="0"/>
            </w:tcBorders>
            <w:vAlign w:val="center"/>
          </w:tcPr>
          <w:p>
            <w:pPr>
              <w:widowControl/>
              <w:spacing w:line="240" w:lineRule="atLeast"/>
              <w:jc w:val="center"/>
              <w:rPr>
                <w:rFonts w:ascii="仿宋_GB2312" w:hAnsi="宋体" w:cs="宋体"/>
                <w:b/>
                <w:bCs/>
                <w:color w:val="auto"/>
                <w:kern w:val="0"/>
                <w:sz w:val="24"/>
                <w:szCs w:val="24"/>
              </w:rPr>
            </w:pPr>
            <w:r>
              <w:rPr>
                <w:rFonts w:hint="eastAsia" w:ascii="仿宋_GB2312" w:hAnsi="宋体" w:cs="宋体"/>
                <w:b/>
                <w:bCs/>
                <w:color w:val="auto"/>
                <w:kern w:val="0"/>
                <w:sz w:val="24"/>
              </w:rPr>
              <w:t>级别</w:t>
            </w:r>
          </w:p>
        </w:tc>
        <w:tc>
          <w:tcPr>
            <w:tcW w:w="3528" w:type="dxa"/>
            <w:gridSpan w:val="2"/>
            <w:tcBorders>
              <w:top w:val="single" w:color="auto" w:sz="4" w:space="0"/>
              <w:left w:val="nil"/>
              <w:bottom w:val="single" w:color="auto" w:sz="4" w:space="0"/>
              <w:right w:val="single" w:color="000000" w:sz="4" w:space="0"/>
            </w:tcBorders>
            <w:vAlign w:val="center"/>
          </w:tcPr>
          <w:p>
            <w:pPr>
              <w:widowControl/>
              <w:spacing w:line="240" w:lineRule="atLeast"/>
              <w:jc w:val="center"/>
              <w:rPr>
                <w:rFonts w:ascii="仿宋_GB2312" w:hAnsi="宋体" w:cs="宋体"/>
                <w:b/>
                <w:bCs/>
                <w:color w:val="auto"/>
                <w:kern w:val="0"/>
                <w:sz w:val="24"/>
                <w:szCs w:val="24"/>
              </w:rPr>
            </w:pPr>
            <w:r>
              <w:rPr>
                <w:rFonts w:hint="eastAsia" w:ascii="仿宋_GB2312" w:hAnsi="宋体" w:cs="宋体"/>
                <w:b/>
                <w:bCs/>
                <w:color w:val="auto"/>
                <w:kern w:val="0"/>
                <w:sz w:val="24"/>
              </w:rPr>
              <w:t>考试日期和时间</w:t>
            </w:r>
          </w:p>
        </w:tc>
        <w:tc>
          <w:tcPr>
            <w:tcW w:w="3296" w:type="dxa"/>
            <w:tcBorders>
              <w:top w:val="single" w:color="auto" w:sz="4" w:space="0"/>
              <w:left w:val="nil"/>
              <w:bottom w:val="single" w:color="auto" w:sz="4" w:space="0"/>
              <w:right w:val="single" w:color="auto" w:sz="4" w:space="0"/>
            </w:tcBorders>
            <w:vAlign w:val="center"/>
          </w:tcPr>
          <w:p>
            <w:pPr>
              <w:widowControl/>
              <w:spacing w:line="240" w:lineRule="atLeast"/>
              <w:jc w:val="center"/>
              <w:rPr>
                <w:rFonts w:ascii="仿宋_GB2312" w:hAnsi="宋体" w:cs="宋体"/>
                <w:b/>
                <w:bCs/>
                <w:color w:val="auto"/>
                <w:kern w:val="0"/>
                <w:sz w:val="24"/>
                <w:szCs w:val="24"/>
              </w:rPr>
            </w:pPr>
            <w:r>
              <w:rPr>
                <w:rFonts w:hint="eastAsia" w:ascii="仿宋_GB2312" w:hAnsi="宋体" w:cs="宋体"/>
                <w:b/>
                <w:bCs/>
                <w:color w:val="auto"/>
                <w:kern w:val="0"/>
                <w:sz w:val="24"/>
              </w:rPr>
              <w:t>考试科目</w:t>
            </w:r>
          </w:p>
        </w:tc>
        <w:tc>
          <w:tcPr>
            <w:tcW w:w="1369" w:type="dxa"/>
            <w:tcBorders>
              <w:top w:val="single" w:color="auto" w:sz="4" w:space="0"/>
              <w:left w:val="nil"/>
              <w:bottom w:val="single" w:color="auto" w:sz="4" w:space="0"/>
              <w:right w:val="single" w:color="auto" w:sz="4" w:space="0"/>
            </w:tcBorders>
            <w:vAlign w:val="center"/>
          </w:tcPr>
          <w:p>
            <w:pPr>
              <w:widowControl/>
              <w:spacing w:line="240" w:lineRule="atLeast"/>
              <w:jc w:val="center"/>
              <w:rPr>
                <w:rFonts w:ascii="仿宋_GB2312" w:hAnsi="宋体" w:cs="宋体"/>
                <w:b/>
                <w:bCs/>
                <w:color w:val="auto"/>
                <w:kern w:val="0"/>
                <w:sz w:val="24"/>
                <w:szCs w:val="24"/>
              </w:rPr>
            </w:pPr>
            <w:r>
              <w:rPr>
                <w:rFonts w:hint="eastAsia" w:ascii="仿宋_GB2312" w:hAnsi="宋体" w:cs="宋体"/>
                <w:b/>
                <w:bCs/>
                <w:color w:val="auto"/>
                <w:kern w:val="0"/>
                <w:sz w:val="24"/>
              </w:rPr>
              <w:t>考试方式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87" w:hRule="atLeast"/>
        </w:trPr>
        <w:tc>
          <w:tcPr>
            <w:tcW w:w="868" w:type="dxa"/>
            <w:vMerge w:val="restart"/>
            <w:tcBorders>
              <w:top w:val="nil"/>
              <w:left w:val="single" w:color="auto" w:sz="4" w:space="0"/>
              <w:bottom w:val="single" w:color="auto" w:sz="4" w:space="0"/>
              <w:right w:val="single" w:color="auto" w:sz="4" w:space="0"/>
            </w:tcBorders>
            <w:vAlign w:val="center"/>
          </w:tcPr>
          <w:p>
            <w:pPr>
              <w:widowControl/>
              <w:spacing w:line="240" w:lineRule="atLeast"/>
              <w:jc w:val="center"/>
              <w:rPr>
                <w:rFonts w:ascii="仿宋_GB2312" w:hAnsi="宋体" w:cs="宋体"/>
                <w:color w:val="auto"/>
                <w:kern w:val="0"/>
                <w:sz w:val="24"/>
                <w:szCs w:val="24"/>
              </w:rPr>
            </w:pPr>
            <w:r>
              <w:rPr>
                <w:rFonts w:hint="eastAsia" w:ascii="仿宋_GB2312" w:hAnsi="宋体" w:cs="宋体"/>
                <w:color w:val="auto"/>
                <w:kern w:val="0"/>
                <w:sz w:val="24"/>
              </w:rPr>
              <w:t>初级</w:t>
            </w:r>
          </w:p>
        </w:tc>
        <w:tc>
          <w:tcPr>
            <w:tcW w:w="1504" w:type="dxa"/>
            <w:vMerge w:val="restart"/>
            <w:tcBorders>
              <w:top w:val="nil"/>
              <w:left w:val="single" w:color="auto" w:sz="4" w:space="0"/>
              <w:bottom w:val="single" w:color="000000" w:sz="4" w:space="0"/>
              <w:right w:val="single" w:color="auto" w:sz="4" w:space="0"/>
            </w:tcBorders>
            <w:vAlign w:val="center"/>
          </w:tcPr>
          <w:p>
            <w:pPr>
              <w:widowControl/>
              <w:spacing w:line="240" w:lineRule="atLeast"/>
              <w:jc w:val="center"/>
              <w:rPr>
                <w:rFonts w:ascii="仿宋_GB2312" w:hAnsi="宋体" w:cs="宋体"/>
                <w:color w:val="auto"/>
                <w:kern w:val="0"/>
                <w:sz w:val="24"/>
                <w:szCs w:val="24"/>
              </w:rPr>
            </w:pPr>
            <w:r>
              <w:rPr>
                <w:rFonts w:hint="eastAsia" w:ascii="仿宋_GB2312" w:hAnsi="宋体" w:cs="宋体"/>
                <w:color w:val="auto"/>
                <w:kern w:val="0"/>
                <w:sz w:val="24"/>
              </w:rPr>
              <w:t>6月28日</w:t>
            </w:r>
          </w:p>
        </w:tc>
        <w:tc>
          <w:tcPr>
            <w:tcW w:w="2024" w:type="dxa"/>
            <w:tcBorders>
              <w:top w:val="nil"/>
              <w:left w:val="nil"/>
              <w:bottom w:val="single" w:color="auto" w:sz="4" w:space="0"/>
              <w:right w:val="single" w:color="auto" w:sz="4" w:space="0"/>
            </w:tcBorders>
            <w:vAlign w:val="center"/>
          </w:tcPr>
          <w:p>
            <w:pPr>
              <w:widowControl/>
              <w:spacing w:line="240" w:lineRule="atLeast"/>
              <w:jc w:val="center"/>
              <w:rPr>
                <w:rFonts w:ascii="仿宋_GB2312" w:hAnsi="宋体" w:cs="宋体"/>
                <w:color w:val="auto"/>
                <w:kern w:val="0"/>
                <w:sz w:val="24"/>
                <w:szCs w:val="24"/>
              </w:rPr>
            </w:pPr>
            <w:r>
              <w:rPr>
                <w:rFonts w:hint="eastAsia" w:ascii="仿宋_GB2312" w:hAnsi="宋体" w:cs="宋体"/>
                <w:color w:val="auto"/>
                <w:kern w:val="0"/>
                <w:sz w:val="24"/>
              </w:rPr>
              <w:t>9:00-11:30</w:t>
            </w:r>
          </w:p>
        </w:tc>
        <w:tc>
          <w:tcPr>
            <w:tcW w:w="3296" w:type="dxa"/>
            <w:tcBorders>
              <w:top w:val="nil"/>
              <w:left w:val="nil"/>
              <w:bottom w:val="single" w:color="auto" w:sz="4" w:space="0"/>
              <w:right w:val="single" w:color="auto" w:sz="4" w:space="0"/>
            </w:tcBorders>
            <w:vAlign w:val="center"/>
          </w:tcPr>
          <w:p>
            <w:pPr>
              <w:widowControl/>
              <w:spacing w:line="240" w:lineRule="atLeast"/>
              <w:jc w:val="center"/>
              <w:rPr>
                <w:rFonts w:ascii="仿宋_GB2312" w:hAnsi="宋体" w:cs="宋体"/>
                <w:color w:val="auto"/>
                <w:kern w:val="0"/>
                <w:sz w:val="24"/>
                <w:szCs w:val="24"/>
              </w:rPr>
            </w:pPr>
            <w:r>
              <w:rPr>
                <w:rFonts w:hint="eastAsia" w:ascii="仿宋_GB2312" w:hAnsi="宋体" w:cs="宋体"/>
                <w:color w:val="auto"/>
                <w:kern w:val="0"/>
                <w:sz w:val="24"/>
              </w:rPr>
              <w:t>统计学和统计法基础知识</w:t>
            </w:r>
          </w:p>
        </w:tc>
        <w:tc>
          <w:tcPr>
            <w:tcW w:w="1369" w:type="dxa"/>
            <w:vMerge w:val="restart"/>
            <w:tcBorders>
              <w:top w:val="nil"/>
              <w:left w:val="single" w:color="auto" w:sz="4" w:space="0"/>
              <w:bottom w:val="single" w:color="auto" w:sz="4" w:space="0"/>
              <w:right w:val="single" w:color="auto" w:sz="4" w:space="0"/>
            </w:tcBorders>
            <w:vAlign w:val="center"/>
          </w:tcPr>
          <w:p>
            <w:pPr>
              <w:widowControl/>
              <w:spacing w:line="240" w:lineRule="atLeast"/>
              <w:jc w:val="center"/>
              <w:rPr>
                <w:rFonts w:ascii="仿宋_GB2312" w:hAnsi="宋体" w:cs="宋体"/>
                <w:color w:val="auto"/>
                <w:kern w:val="0"/>
                <w:sz w:val="24"/>
                <w:szCs w:val="24"/>
              </w:rPr>
            </w:pPr>
            <w:r>
              <w:rPr>
                <w:rFonts w:hint="eastAsia" w:ascii="仿宋_GB2312" w:hAnsi="宋体" w:cs="宋体"/>
                <w:color w:val="auto"/>
                <w:kern w:val="0"/>
                <w:sz w:val="24"/>
              </w:rPr>
              <w:t>闭卷笔答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87" w:hRule="atLeast"/>
        </w:trPr>
        <w:tc>
          <w:tcPr>
            <w:tcW w:w="868"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cs="宋体"/>
                <w:color w:val="auto"/>
                <w:kern w:val="0"/>
                <w:sz w:val="24"/>
                <w:szCs w:val="24"/>
              </w:rPr>
            </w:pPr>
          </w:p>
        </w:tc>
        <w:tc>
          <w:tcPr>
            <w:tcW w:w="1504"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cs="宋体"/>
                <w:color w:val="auto"/>
                <w:kern w:val="0"/>
                <w:sz w:val="24"/>
                <w:szCs w:val="24"/>
              </w:rPr>
            </w:pPr>
          </w:p>
        </w:tc>
        <w:tc>
          <w:tcPr>
            <w:tcW w:w="2024" w:type="dxa"/>
            <w:tcBorders>
              <w:top w:val="nil"/>
              <w:left w:val="nil"/>
              <w:bottom w:val="single" w:color="auto" w:sz="4" w:space="0"/>
              <w:right w:val="single" w:color="auto" w:sz="4" w:space="0"/>
            </w:tcBorders>
            <w:vAlign w:val="center"/>
          </w:tcPr>
          <w:p>
            <w:pPr>
              <w:widowControl/>
              <w:spacing w:line="240" w:lineRule="atLeast"/>
              <w:jc w:val="center"/>
              <w:rPr>
                <w:rFonts w:ascii="仿宋_GB2312" w:hAnsi="宋体" w:cs="宋体"/>
                <w:color w:val="auto"/>
                <w:kern w:val="0"/>
                <w:sz w:val="24"/>
                <w:szCs w:val="24"/>
              </w:rPr>
            </w:pPr>
            <w:r>
              <w:rPr>
                <w:rFonts w:hint="eastAsia" w:ascii="仿宋_GB2312" w:hAnsi="宋体" w:cs="宋体"/>
                <w:color w:val="auto"/>
                <w:kern w:val="0"/>
                <w:sz w:val="24"/>
              </w:rPr>
              <w:t>14:00－16:30</w:t>
            </w:r>
          </w:p>
        </w:tc>
        <w:tc>
          <w:tcPr>
            <w:tcW w:w="3296" w:type="dxa"/>
            <w:tcBorders>
              <w:top w:val="nil"/>
              <w:left w:val="nil"/>
              <w:bottom w:val="single" w:color="auto" w:sz="4" w:space="0"/>
              <w:right w:val="single" w:color="auto" w:sz="4" w:space="0"/>
            </w:tcBorders>
            <w:vAlign w:val="center"/>
          </w:tcPr>
          <w:p>
            <w:pPr>
              <w:widowControl/>
              <w:spacing w:line="240" w:lineRule="atLeast"/>
              <w:jc w:val="center"/>
              <w:rPr>
                <w:rFonts w:ascii="仿宋_GB2312" w:hAnsi="宋体" w:cs="宋体"/>
                <w:color w:val="auto"/>
                <w:kern w:val="0"/>
                <w:sz w:val="24"/>
                <w:szCs w:val="24"/>
              </w:rPr>
            </w:pPr>
            <w:r>
              <w:rPr>
                <w:rFonts w:hint="eastAsia" w:ascii="仿宋_GB2312" w:hAnsi="宋体" w:cs="宋体"/>
                <w:color w:val="auto"/>
                <w:kern w:val="0"/>
                <w:sz w:val="24"/>
              </w:rPr>
              <w:t>统计专业知识和实务</w:t>
            </w:r>
          </w:p>
        </w:tc>
        <w:tc>
          <w:tcPr>
            <w:tcW w:w="136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cs="宋体"/>
                <w:color w:val="auto"/>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39" w:hRule="exact"/>
        </w:trPr>
        <w:tc>
          <w:tcPr>
            <w:tcW w:w="868" w:type="dxa"/>
            <w:vMerge w:val="restart"/>
            <w:tcBorders>
              <w:top w:val="nil"/>
              <w:left w:val="single" w:color="auto" w:sz="4" w:space="0"/>
              <w:bottom w:val="single" w:color="auto" w:sz="4" w:space="0"/>
              <w:right w:val="single" w:color="auto" w:sz="4" w:space="0"/>
            </w:tcBorders>
            <w:vAlign w:val="center"/>
          </w:tcPr>
          <w:p>
            <w:pPr>
              <w:widowControl/>
              <w:spacing w:line="240" w:lineRule="atLeast"/>
              <w:jc w:val="center"/>
              <w:rPr>
                <w:rFonts w:ascii="仿宋_GB2312" w:hAnsi="宋体" w:cs="宋体"/>
                <w:color w:val="auto"/>
                <w:kern w:val="0"/>
                <w:sz w:val="24"/>
                <w:szCs w:val="24"/>
              </w:rPr>
            </w:pPr>
            <w:r>
              <w:rPr>
                <w:rFonts w:hint="eastAsia" w:ascii="仿宋_GB2312" w:hAnsi="宋体" w:cs="宋体"/>
                <w:color w:val="auto"/>
                <w:kern w:val="0"/>
                <w:sz w:val="24"/>
              </w:rPr>
              <w:t>中级</w:t>
            </w:r>
          </w:p>
        </w:tc>
        <w:tc>
          <w:tcPr>
            <w:tcW w:w="1504" w:type="dxa"/>
            <w:vMerge w:val="restart"/>
            <w:tcBorders>
              <w:top w:val="nil"/>
              <w:left w:val="single" w:color="auto" w:sz="4" w:space="0"/>
              <w:bottom w:val="single" w:color="000000" w:sz="4" w:space="0"/>
              <w:right w:val="single" w:color="auto" w:sz="4" w:space="0"/>
            </w:tcBorders>
            <w:vAlign w:val="center"/>
          </w:tcPr>
          <w:p>
            <w:pPr>
              <w:widowControl/>
              <w:spacing w:line="240" w:lineRule="atLeast"/>
              <w:jc w:val="center"/>
              <w:rPr>
                <w:rFonts w:ascii="仿宋_GB2312" w:hAnsi="宋体" w:cs="宋体"/>
                <w:color w:val="auto"/>
                <w:kern w:val="0"/>
                <w:sz w:val="24"/>
                <w:szCs w:val="24"/>
              </w:rPr>
            </w:pPr>
            <w:r>
              <w:rPr>
                <w:rFonts w:hint="eastAsia" w:ascii="仿宋_GB2312" w:hAnsi="宋体" w:cs="宋体"/>
                <w:color w:val="auto"/>
                <w:kern w:val="0"/>
                <w:sz w:val="24"/>
              </w:rPr>
              <w:t>6月28日</w:t>
            </w:r>
          </w:p>
        </w:tc>
        <w:tc>
          <w:tcPr>
            <w:tcW w:w="2024" w:type="dxa"/>
            <w:tcBorders>
              <w:top w:val="nil"/>
              <w:left w:val="nil"/>
              <w:bottom w:val="single" w:color="auto" w:sz="4" w:space="0"/>
              <w:right w:val="single" w:color="auto" w:sz="4" w:space="0"/>
            </w:tcBorders>
            <w:vAlign w:val="center"/>
          </w:tcPr>
          <w:p>
            <w:pPr>
              <w:widowControl/>
              <w:spacing w:line="240" w:lineRule="atLeast"/>
              <w:jc w:val="center"/>
              <w:rPr>
                <w:rFonts w:ascii="仿宋_GB2312" w:hAnsi="宋体" w:cs="宋体"/>
                <w:color w:val="auto"/>
                <w:kern w:val="0"/>
                <w:sz w:val="24"/>
                <w:szCs w:val="24"/>
              </w:rPr>
            </w:pPr>
            <w:r>
              <w:rPr>
                <w:rFonts w:hint="eastAsia" w:ascii="仿宋_GB2312" w:hAnsi="宋体" w:cs="宋体"/>
                <w:color w:val="auto"/>
                <w:kern w:val="0"/>
                <w:sz w:val="24"/>
              </w:rPr>
              <w:t>9:00-11:30</w:t>
            </w:r>
          </w:p>
        </w:tc>
        <w:tc>
          <w:tcPr>
            <w:tcW w:w="3296" w:type="dxa"/>
            <w:tcBorders>
              <w:top w:val="nil"/>
              <w:left w:val="nil"/>
              <w:bottom w:val="single" w:color="auto" w:sz="4" w:space="0"/>
              <w:right w:val="single" w:color="auto" w:sz="4" w:space="0"/>
            </w:tcBorders>
            <w:vAlign w:val="center"/>
          </w:tcPr>
          <w:p>
            <w:pPr>
              <w:widowControl/>
              <w:spacing w:line="240" w:lineRule="atLeast"/>
              <w:jc w:val="center"/>
              <w:rPr>
                <w:rFonts w:ascii="仿宋_GB2312" w:hAnsi="宋体" w:cs="宋体"/>
                <w:color w:val="auto"/>
                <w:kern w:val="0"/>
                <w:sz w:val="24"/>
                <w:szCs w:val="24"/>
              </w:rPr>
            </w:pPr>
            <w:r>
              <w:rPr>
                <w:rFonts w:hint="eastAsia" w:ascii="仿宋_GB2312" w:hAnsi="宋体" w:cs="宋体"/>
                <w:color w:val="auto"/>
                <w:kern w:val="0"/>
                <w:sz w:val="24"/>
              </w:rPr>
              <w:t>统计基础理论及相关知识</w:t>
            </w:r>
          </w:p>
        </w:tc>
        <w:tc>
          <w:tcPr>
            <w:tcW w:w="136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cs="宋体"/>
                <w:color w:val="auto"/>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39" w:hRule="exact"/>
        </w:trPr>
        <w:tc>
          <w:tcPr>
            <w:tcW w:w="868"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cs="宋体"/>
                <w:color w:val="auto"/>
                <w:kern w:val="0"/>
                <w:sz w:val="24"/>
                <w:szCs w:val="24"/>
              </w:rPr>
            </w:pPr>
          </w:p>
        </w:tc>
        <w:tc>
          <w:tcPr>
            <w:tcW w:w="1504"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cs="宋体"/>
                <w:color w:val="auto"/>
                <w:kern w:val="0"/>
                <w:sz w:val="24"/>
                <w:szCs w:val="24"/>
              </w:rPr>
            </w:pPr>
          </w:p>
        </w:tc>
        <w:tc>
          <w:tcPr>
            <w:tcW w:w="2024" w:type="dxa"/>
            <w:tcBorders>
              <w:top w:val="nil"/>
              <w:left w:val="nil"/>
              <w:bottom w:val="single" w:color="auto" w:sz="4" w:space="0"/>
              <w:right w:val="single" w:color="auto" w:sz="4" w:space="0"/>
            </w:tcBorders>
            <w:vAlign w:val="center"/>
          </w:tcPr>
          <w:p>
            <w:pPr>
              <w:widowControl/>
              <w:spacing w:line="240" w:lineRule="atLeast"/>
              <w:jc w:val="center"/>
              <w:rPr>
                <w:rFonts w:ascii="仿宋_GB2312" w:hAnsi="宋体" w:cs="宋体"/>
                <w:color w:val="auto"/>
                <w:kern w:val="0"/>
                <w:sz w:val="24"/>
                <w:szCs w:val="24"/>
              </w:rPr>
            </w:pPr>
            <w:r>
              <w:rPr>
                <w:rFonts w:hint="eastAsia" w:ascii="仿宋_GB2312" w:hAnsi="宋体" w:cs="宋体"/>
                <w:color w:val="auto"/>
                <w:kern w:val="0"/>
                <w:sz w:val="24"/>
              </w:rPr>
              <w:t>14:00－16:30</w:t>
            </w:r>
          </w:p>
        </w:tc>
        <w:tc>
          <w:tcPr>
            <w:tcW w:w="3296" w:type="dxa"/>
            <w:tcBorders>
              <w:top w:val="nil"/>
              <w:left w:val="nil"/>
              <w:bottom w:val="single" w:color="auto" w:sz="4" w:space="0"/>
              <w:right w:val="single" w:color="auto" w:sz="4" w:space="0"/>
            </w:tcBorders>
            <w:vAlign w:val="center"/>
          </w:tcPr>
          <w:p>
            <w:pPr>
              <w:widowControl/>
              <w:spacing w:line="240" w:lineRule="atLeast"/>
              <w:jc w:val="center"/>
              <w:rPr>
                <w:rFonts w:ascii="仿宋_GB2312" w:hAnsi="宋体" w:cs="宋体"/>
                <w:color w:val="auto"/>
                <w:kern w:val="0"/>
                <w:sz w:val="24"/>
                <w:szCs w:val="24"/>
              </w:rPr>
            </w:pPr>
            <w:r>
              <w:rPr>
                <w:rFonts w:hint="eastAsia" w:ascii="仿宋_GB2312" w:hAnsi="宋体" w:cs="宋体"/>
                <w:color w:val="auto"/>
                <w:kern w:val="0"/>
                <w:sz w:val="24"/>
              </w:rPr>
              <w:t>统计工作实务</w:t>
            </w:r>
          </w:p>
        </w:tc>
        <w:tc>
          <w:tcPr>
            <w:tcW w:w="136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cs="宋体"/>
                <w:color w:val="auto"/>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39" w:hRule="exact"/>
        </w:trPr>
        <w:tc>
          <w:tcPr>
            <w:tcW w:w="868" w:type="dxa"/>
            <w:tcBorders>
              <w:top w:val="nil"/>
              <w:left w:val="single" w:color="auto" w:sz="4" w:space="0"/>
              <w:bottom w:val="single" w:color="auto" w:sz="4" w:space="0"/>
              <w:right w:val="single" w:color="auto" w:sz="4" w:space="0"/>
            </w:tcBorders>
            <w:vAlign w:val="center"/>
          </w:tcPr>
          <w:p>
            <w:pPr>
              <w:widowControl/>
              <w:spacing w:line="240" w:lineRule="atLeast"/>
              <w:jc w:val="center"/>
              <w:rPr>
                <w:rFonts w:ascii="仿宋_GB2312" w:hAnsi="宋体" w:cs="宋体"/>
                <w:color w:val="auto"/>
                <w:kern w:val="0"/>
                <w:sz w:val="24"/>
                <w:szCs w:val="24"/>
              </w:rPr>
            </w:pPr>
            <w:r>
              <w:rPr>
                <w:rFonts w:hint="eastAsia" w:ascii="仿宋_GB2312" w:hAnsi="宋体" w:cs="宋体"/>
                <w:color w:val="auto"/>
                <w:kern w:val="0"/>
                <w:sz w:val="24"/>
              </w:rPr>
              <w:t>高级</w:t>
            </w:r>
          </w:p>
        </w:tc>
        <w:tc>
          <w:tcPr>
            <w:tcW w:w="1504" w:type="dxa"/>
            <w:tcBorders>
              <w:top w:val="nil"/>
              <w:left w:val="nil"/>
              <w:bottom w:val="single" w:color="auto" w:sz="4" w:space="0"/>
              <w:right w:val="single" w:color="auto" w:sz="4" w:space="0"/>
            </w:tcBorders>
            <w:vAlign w:val="center"/>
          </w:tcPr>
          <w:p>
            <w:pPr>
              <w:widowControl/>
              <w:spacing w:line="240" w:lineRule="atLeast"/>
              <w:jc w:val="center"/>
              <w:rPr>
                <w:rFonts w:ascii="仿宋_GB2312" w:hAnsi="宋体" w:cs="宋体"/>
                <w:color w:val="auto"/>
                <w:kern w:val="0"/>
                <w:sz w:val="24"/>
                <w:szCs w:val="24"/>
              </w:rPr>
            </w:pPr>
            <w:r>
              <w:rPr>
                <w:rFonts w:hint="eastAsia" w:ascii="仿宋_GB2312" w:hAnsi="宋体" w:cs="宋体"/>
                <w:color w:val="auto"/>
                <w:kern w:val="0"/>
                <w:sz w:val="24"/>
              </w:rPr>
              <w:t>6月28日</w:t>
            </w:r>
          </w:p>
        </w:tc>
        <w:tc>
          <w:tcPr>
            <w:tcW w:w="2024" w:type="dxa"/>
            <w:tcBorders>
              <w:top w:val="nil"/>
              <w:left w:val="nil"/>
              <w:bottom w:val="single" w:color="auto" w:sz="4" w:space="0"/>
              <w:right w:val="single" w:color="auto" w:sz="4" w:space="0"/>
            </w:tcBorders>
            <w:vAlign w:val="center"/>
          </w:tcPr>
          <w:p>
            <w:pPr>
              <w:widowControl/>
              <w:spacing w:line="240" w:lineRule="atLeast"/>
              <w:jc w:val="center"/>
              <w:rPr>
                <w:rFonts w:ascii="仿宋_GB2312" w:hAnsi="宋体" w:cs="宋体"/>
                <w:color w:val="auto"/>
                <w:kern w:val="0"/>
                <w:sz w:val="24"/>
                <w:szCs w:val="24"/>
              </w:rPr>
            </w:pPr>
            <w:r>
              <w:rPr>
                <w:rFonts w:hint="eastAsia" w:ascii="仿宋_GB2312" w:hAnsi="宋体" w:cs="宋体"/>
                <w:color w:val="auto"/>
                <w:kern w:val="0"/>
                <w:sz w:val="24"/>
              </w:rPr>
              <w:t>9:00-12:00</w:t>
            </w:r>
          </w:p>
        </w:tc>
        <w:tc>
          <w:tcPr>
            <w:tcW w:w="3296" w:type="dxa"/>
            <w:tcBorders>
              <w:top w:val="nil"/>
              <w:left w:val="nil"/>
              <w:bottom w:val="single" w:color="auto" w:sz="4" w:space="0"/>
              <w:right w:val="single" w:color="auto" w:sz="4" w:space="0"/>
            </w:tcBorders>
            <w:vAlign w:val="center"/>
          </w:tcPr>
          <w:p>
            <w:pPr>
              <w:widowControl/>
              <w:spacing w:line="240" w:lineRule="atLeast"/>
              <w:jc w:val="center"/>
              <w:rPr>
                <w:rFonts w:ascii="仿宋_GB2312" w:hAnsi="宋体" w:cs="宋体"/>
                <w:color w:val="auto"/>
                <w:kern w:val="0"/>
                <w:sz w:val="24"/>
                <w:szCs w:val="24"/>
              </w:rPr>
            </w:pPr>
            <w:r>
              <w:rPr>
                <w:rFonts w:hint="eastAsia" w:ascii="仿宋_GB2312" w:hAnsi="宋体" w:cs="宋体"/>
                <w:color w:val="auto"/>
                <w:kern w:val="0"/>
                <w:sz w:val="24"/>
              </w:rPr>
              <w:t>高级统计实务与案例分析</w:t>
            </w:r>
          </w:p>
        </w:tc>
        <w:tc>
          <w:tcPr>
            <w:tcW w:w="1369" w:type="dxa"/>
            <w:tcBorders>
              <w:top w:val="nil"/>
              <w:left w:val="nil"/>
              <w:bottom w:val="single" w:color="auto" w:sz="4" w:space="0"/>
              <w:right w:val="single" w:color="auto" w:sz="4" w:space="0"/>
            </w:tcBorders>
            <w:vAlign w:val="center"/>
          </w:tcPr>
          <w:p>
            <w:pPr>
              <w:widowControl/>
              <w:spacing w:line="240" w:lineRule="atLeast"/>
              <w:jc w:val="center"/>
              <w:rPr>
                <w:rFonts w:ascii="仿宋_GB2312" w:hAnsi="宋体" w:cs="宋体"/>
                <w:color w:val="auto"/>
                <w:kern w:val="0"/>
                <w:sz w:val="24"/>
                <w:szCs w:val="24"/>
              </w:rPr>
            </w:pPr>
            <w:r>
              <w:rPr>
                <w:rFonts w:hint="eastAsia" w:ascii="仿宋_GB2312" w:hAnsi="宋体" w:cs="宋体"/>
                <w:color w:val="auto"/>
                <w:kern w:val="0"/>
                <w:sz w:val="24"/>
              </w:rPr>
              <w:t>开卷笔答</w:t>
            </w:r>
          </w:p>
        </w:tc>
      </w:tr>
    </w:tbl>
    <w:p>
      <w:pPr>
        <w:widowControl w:val="0"/>
        <w:wordWrap/>
        <w:adjustRightInd/>
        <w:snapToGrid/>
        <w:spacing w:line="586" w:lineRule="exact"/>
        <w:ind w:firstLine="632" w:firstLineChars="200"/>
        <w:textAlignment w:val="auto"/>
        <w:rPr>
          <w:rFonts w:ascii="黑体" w:eastAsia="黑体"/>
          <w:color w:val="auto"/>
        </w:rPr>
      </w:pPr>
      <w:r>
        <w:rPr>
          <w:rFonts w:hint="eastAsia" w:ascii="黑体" w:hAnsi="黑体" w:eastAsia="黑体"/>
          <w:color w:val="auto"/>
        </w:rPr>
        <w:t>二、</w:t>
      </w:r>
      <w:r>
        <w:rPr>
          <w:rFonts w:hint="eastAsia" w:ascii="黑体" w:eastAsia="黑体"/>
          <w:color w:val="auto"/>
        </w:rPr>
        <w:t>考试成绩管理</w:t>
      </w:r>
    </w:p>
    <w:p>
      <w:pPr>
        <w:widowControl w:val="0"/>
        <w:wordWrap/>
        <w:adjustRightInd/>
        <w:snapToGrid/>
        <w:spacing w:line="586" w:lineRule="exact"/>
        <w:ind w:firstLine="632" w:firstLineChars="200"/>
        <w:textAlignment w:val="auto"/>
        <w:rPr>
          <w:rFonts w:hint="eastAsia" w:ascii="仿宋_GB2312"/>
          <w:color w:val="auto"/>
        </w:rPr>
      </w:pPr>
      <w:r>
        <w:rPr>
          <w:rFonts w:hint="eastAsia" w:ascii="仿宋_GB2312"/>
          <w:color w:val="auto"/>
          <w:lang w:eastAsia="zh-CN"/>
        </w:rPr>
        <w:t>（一）</w:t>
      </w:r>
      <w:r>
        <w:rPr>
          <w:rFonts w:hint="eastAsia" w:ascii="仿宋_GB2312"/>
          <w:color w:val="auto"/>
        </w:rPr>
        <w:t>从2025年起，初级、中级统计专业技术资格考试成绩实行2年为一个周期的滚动管理方法，应试人员须在连续的两</w:t>
      </w:r>
    </w:p>
    <w:tbl>
      <w:tblPr>
        <w:tblStyle w:val="19"/>
        <w:tblpPr w:leftFromText="180" w:rightFromText="180" w:vertAnchor="text" w:horzAnchor="page" w:tblpX="1170" w:tblpY="537"/>
        <w:tblW w:w="9750" w:type="dxa"/>
        <w:tblInd w:w="0" w:type="dxa"/>
        <w:tblBorders>
          <w:top w:val="none" w:color="auto" w:sz="0" w:space="0"/>
          <w:left w:val="none" w:color="auto" w:sz="0" w:space="0"/>
          <w:bottom w:val="thickThinMediumGap" w:color="FF0000" w:sz="2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750"/>
      </w:tblGrid>
      <w:tr>
        <w:tblPrEx>
          <w:tblBorders>
            <w:top w:val="none" w:color="auto" w:sz="0" w:space="0"/>
            <w:left w:val="none" w:color="auto" w:sz="0" w:space="0"/>
            <w:bottom w:val="thickThinMediumGap" w:color="FF0000" w:sz="2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6" w:hRule="exact"/>
        </w:trPr>
        <w:tc>
          <w:tcPr>
            <w:tcW w:w="9750" w:type="dxa"/>
            <w:tcBorders>
              <w:bottom w:val="thickThinMediumGap" w:color="FF0000" w:sz="24" w:space="0"/>
            </w:tcBorders>
            <w:vAlign w:val="top"/>
          </w:tcPr>
          <w:p>
            <w:pPr>
              <w:adjustRightInd w:val="0"/>
              <w:snapToGrid w:val="0"/>
              <w:spacing w:line="540" w:lineRule="exact"/>
              <w:ind w:firstLine="1432" w:firstLineChars="200"/>
              <w:jc w:val="center"/>
              <w:rPr>
                <w:rFonts w:ascii="方正小标宋简体" w:eastAsia="方正小标宋简体"/>
                <w:color w:val="000000"/>
                <w:w w:val="90"/>
                <w:sz w:val="80"/>
                <w:szCs w:val="80"/>
              </w:rPr>
            </w:pPr>
          </w:p>
        </w:tc>
      </w:tr>
    </w:tbl>
    <w:p>
      <w:pPr>
        <w:widowControl w:val="0"/>
        <w:wordWrap/>
        <w:adjustRightInd/>
        <w:snapToGrid/>
        <w:spacing w:line="586" w:lineRule="exact"/>
        <w:ind w:firstLine="632" w:firstLineChars="200"/>
        <w:textAlignment w:val="auto"/>
        <w:rPr>
          <w:rFonts w:hint="eastAsia" w:ascii="仿宋_GB2312"/>
          <w:color w:val="auto"/>
        </w:rPr>
        <w:sectPr>
          <w:footerReference r:id="rId4" w:type="first"/>
          <w:footerReference r:id="rId3" w:type="even"/>
          <w:pgSz w:w="11906" w:h="16838"/>
          <w:pgMar w:top="2098" w:right="1531" w:bottom="1814" w:left="1531" w:header="851" w:footer="1587" w:gutter="0"/>
          <w:pgNumType w:fmt="decimal"/>
          <w:cols w:space="720" w:num="1"/>
          <w:titlePg/>
          <w:rtlGutter w:val="0"/>
          <w:docGrid w:type="linesAndChars" w:linePitch="587" w:charSpace="-849"/>
        </w:sectPr>
      </w:pPr>
    </w:p>
    <w:p>
      <w:pPr>
        <w:widowControl w:val="0"/>
        <w:wordWrap/>
        <w:adjustRightInd/>
        <w:snapToGrid/>
        <w:spacing w:line="586" w:lineRule="exact"/>
        <w:textAlignment w:val="auto"/>
        <w:rPr>
          <w:rFonts w:ascii="仿宋_GB2312"/>
          <w:color w:val="auto"/>
        </w:rPr>
      </w:pPr>
      <w:r>
        <w:rPr>
          <w:rFonts w:hint="eastAsia" w:ascii="仿宋_GB2312"/>
          <w:color w:val="auto"/>
        </w:rPr>
        <w:t>个考试年度内通过全部应试科目，方可取得相应级别统计专业技术资格证书。应试人员通过高级统计专业技术资格考试，可取得考试合格证明。2026年8月底，应试人员可登录中国人事考试网查询考试成绩（网址：www.cpta.com.cn）。</w:t>
      </w:r>
    </w:p>
    <w:p>
      <w:pPr>
        <w:widowControl w:val="0"/>
        <w:wordWrap/>
        <w:spacing w:line="586" w:lineRule="exact"/>
        <w:ind w:firstLine="632" w:firstLineChars="200"/>
        <w:textAlignment w:val="auto"/>
        <w:rPr>
          <w:rFonts w:ascii="仿宋_GB2312"/>
          <w:color w:val="auto"/>
          <w:spacing w:val="0"/>
          <w:w w:val="100"/>
          <w:kern w:val="21"/>
          <w:sz w:val="32"/>
        </w:rPr>
      </w:pPr>
      <w:r>
        <w:rPr>
          <w:rFonts w:hint="eastAsia" w:ascii="仿宋_GB2312"/>
          <w:color w:val="auto"/>
          <w:spacing w:val="0"/>
          <w:w w:val="100"/>
          <w:kern w:val="21"/>
          <w:sz w:val="32"/>
          <w:lang w:eastAsia="zh-CN"/>
        </w:rPr>
        <w:t>（二）</w:t>
      </w:r>
      <w:r>
        <w:rPr>
          <w:rFonts w:hint="eastAsia" w:ascii="仿宋_GB2312"/>
          <w:color w:val="auto"/>
          <w:spacing w:val="0"/>
          <w:w w:val="100"/>
          <w:kern w:val="21"/>
          <w:sz w:val="32"/>
        </w:rPr>
        <w:t>根据《专业技术人员职业资格考试考务工作规程》（人社厅发〔2021〕18号），应试人员对考试成绩有异议的，应在考试成绩公布之日起30天内，提出成绩复查申请。应试人员可登录“山东人事考试信息网”“考后服务”栏目办理或携带有效身份证件到市人事考试机构现场申请成绩复查。成绩复查结果将通过“山东人事考试信息网”“考后服务”栏目反馈，应试人员可通过线上方式自行查看。</w:t>
      </w:r>
    </w:p>
    <w:p>
      <w:pPr>
        <w:widowControl w:val="0"/>
        <w:wordWrap/>
        <w:spacing w:line="586" w:lineRule="exact"/>
        <w:ind w:firstLine="632" w:firstLineChars="200"/>
        <w:textAlignment w:val="auto"/>
        <w:rPr>
          <w:rFonts w:ascii="黑体" w:hAnsi="华文仿宋" w:eastAsia="黑体"/>
          <w:color w:val="auto"/>
          <w:spacing w:val="0"/>
          <w:w w:val="100"/>
          <w:kern w:val="21"/>
          <w:sz w:val="32"/>
        </w:rPr>
      </w:pPr>
      <w:r>
        <w:rPr>
          <w:rFonts w:hint="eastAsia" w:ascii="黑体" w:hAnsi="华文仿宋" w:eastAsia="黑体"/>
          <w:color w:val="auto"/>
          <w:spacing w:val="0"/>
          <w:w w:val="100"/>
          <w:kern w:val="21"/>
          <w:sz w:val="32"/>
          <w:lang w:eastAsia="zh-CN"/>
        </w:rPr>
        <w:t>三</w:t>
      </w:r>
      <w:r>
        <w:rPr>
          <w:rFonts w:hint="eastAsia" w:ascii="黑体" w:hAnsi="华文仿宋" w:eastAsia="黑体"/>
          <w:color w:val="auto"/>
          <w:spacing w:val="0"/>
          <w:w w:val="100"/>
          <w:kern w:val="21"/>
          <w:sz w:val="32"/>
        </w:rPr>
        <w:t>、报考条件</w:t>
      </w:r>
    </w:p>
    <w:p>
      <w:pPr>
        <w:widowControl w:val="0"/>
        <w:wordWrap/>
        <w:spacing w:line="586" w:lineRule="exact"/>
        <w:ind w:firstLine="632" w:firstLineChars="200"/>
        <w:textAlignment w:val="auto"/>
        <w:rPr>
          <w:rFonts w:ascii="仿宋_GB2312" w:hAnsi="宋体" w:cs="仿宋_GB2312"/>
          <w:color w:val="auto"/>
          <w:spacing w:val="0"/>
          <w:w w:val="100"/>
          <w:kern w:val="21"/>
          <w:sz w:val="32"/>
        </w:rPr>
      </w:pPr>
      <w:r>
        <w:rPr>
          <w:rFonts w:hint="eastAsia" w:ascii="仿宋_GB2312" w:hAnsi="宋体" w:cs="仿宋_GB2312"/>
          <w:color w:val="auto"/>
          <w:spacing w:val="0"/>
          <w:w w:val="100"/>
          <w:kern w:val="21"/>
          <w:sz w:val="32"/>
        </w:rPr>
        <w:t>根据《国家统计局</w:t>
      </w:r>
      <w:r>
        <w:rPr>
          <w:rFonts w:hint="eastAsia" w:ascii="仿宋_GB2312" w:hAnsi="宋体" w:cs="仿宋_GB2312"/>
          <w:color w:val="auto"/>
          <w:spacing w:val="0"/>
          <w:w w:val="100"/>
          <w:kern w:val="21"/>
          <w:sz w:val="32"/>
          <w:lang w:val="en-US" w:eastAsia="zh-CN"/>
        </w:rPr>
        <w:t xml:space="preserve"> </w:t>
      </w:r>
      <w:r>
        <w:rPr>
          <w:rFonts w:hint="eastAsia" w:ascii="仿宋_GB2312" w:hAnsi="宋体" w:cs="仿宋_GB2312"/>
          <w:color w:val="auto"/>
          <w:spacing w:val="0"/>
          <w:w w:val="100"/>
          <w:kern w:val="21"/>
          <w:sz w:val="32"/>
        </w:rPr>
        <w:t>人力资源社会保障部关于印发〈统计专业技术资格规定〉和〈统计专业技术资格考试实施办法〉的通知》（国统字〔2025〕30号）规定，参加统计专业初级、中级、高级资格考试的人员报考条件遵照以下执行：</w:t>
      </w:r>
    </w:p>
    <w:p>
      <w:pPr>
        <w:widowControl w:val="0"/>
        <w:wordWrap/>
        <w:spacing w:line="586" w:lineRule="exact"/>
        <w:ind w:firstLine="632" w:firstLineChars="200"/>
        <w:textAlignment w:val="auto"/>
        <w:rPr>
          <w:rFonts w:ascii="仿宋_GB2312" w:hAnsi="仿宋_GB2312" w:cs="仿宋_GB2312"/>
          <w:color w:val="auto"/>
          <w:spacing w:val="0"/>
          <w:w w:val="100"/>
          <w:kern w:val="21"/>
          <w:sz w:val="32"/>
        </w:rPr>
      </w:pPr>
      <w:r>
        <w:rPr>
          <w:rFonts w:hint="eastAsia" w:ascii="仿宋_GB2312" w:hAnsi="宋体" w:cs="仿宋_GB2312"/>
          <w:color w:val="auto"/>
          <w:spacing w:val="0"/>
          <w:w w:val="100"/>
          <w:kern w:val="21"/>
          <w:sz w:val="32"/>
        </w:rPr>
        <w:t>（</w:t>
      </w:r>
      <w:r>
        <w:rPr>
          <w:rFonts w:hint="eastAsia" w:ascii="仿宋_GB2312" w:hAnsi="仿宋_GB2312" w:cs="仿宋_GB2312"/>
          <w:color w:val="auto"/>
          <w:spacing w:val="0"/>
          <w:w w:val="100"/>
          <w:kern w:val="21"/>
          <w:sz w:val="32"/>
        </w:rPr>
        <w:t>一</w:t>
      </w:r>
      <w:r>
        <w:rPr>
          <w:rFonts w:ascii="仿宋_GB2312" w:hAnsi="仿宋_GB2312" w:cs="仿宋_GB2312"/>
          <w:color w:val="auto"/>
          <w:spacing w:val="0"/>
          <w:w w:val="100"/>
          <w:kern w:val="21"/>
          <w:sz w:val="32"/>
        </w:rPr>
        <w:t>）</w:t>
      </w:r>
      <w:r>
        <w:rPr>
          <w:rFonts w:hint="eastAsia" w:ascii="仿宋_GB2312" w:hAnsi="仿宋_GB2312" w:cs="仿宋_GB2312"/>
          <w:color w:val="auto"/>
          <w:spacing w:val="0"/>
          <w:w w:val="100"/>
          <w:kern w:val="21"/>
          <w:sz w:val="32"/>
        </w:rPr>
        <w:t>凡遵守中华人民共和国宪法和法律，具备良好的统计职业道德和敬业精神，符合初级、中级、高级统计专业技术资格考试报名条件的人员，均可报名参加相应级别的考试。</w:t>
      </w:r>
    </w:p>
    <w:p>
      <w:pPr>
        <w:widowControl w:val="0"/>
        <w:wordWrap/>
        <w:spacing w:line="586" w:lineRule="exact"/>
        <w:ind w:firstLine="632" w:firstLineChars="200"/>
        <w:textAlignment w:val="auto"/>
        <w:rPr>
          <w:rFonts w:ascii="仿宋_GB2312" w:hAnsi="仿宋_GB2312" w:cs="仿宋_GB2312"/>
          <w:color w:val="auto"/>
          <w:spacing w:val="0"/>
          <w:w w:val="100"/>
          <w:kern w:val="21"/>
          <w:sz w:val="32"/>
        </w:rPr>
      </w:pPr>
      <w:r>
        <w:rPr>
          <w:rFonts w:hint="eastAsia" w:ascii="仿宋_GB2312" w:hAnsi="仿宋_GB2312" w:cs="仿宋_GB2312"/>
          <w:color w:val="auto"/>
          <w:spacing w:val="0"/>
          <w:w w:val="100"/>
          <w:kern w:val="21"/>
          <w:sz w:val="32"/>
        </w:rPr>
        <w:t>应届毕业生可以凭所在院校出具的应届毕业证明作为符合相应学历条件，报名参加当年度统计专业技术资格考试。考试合格人员领取证书时应补充提交学历学位证书信息等。</w:t>
      </w:r>
    </w:p>
    <w:p>
      <w:pPr>
        <w:widowControl w:val="0"/>
        <w:wordWrap/>
        <w:spacing w:line="586" w:lineRule="exact"/>
        <w:ind w:firstLine="632" w:firstLineChars="200"/>
        <w:textAlignment w:val="auto"/>
        <w:rPr>
          <w:rFonts w:ascii="仿宋_GB2312" w:hAnsi="仿宋_GB2312" w:cs="仿宋_GB2312"/>
          <w:color w:val="auto"/>
          <w:spacing w:val="0"/>
          <w:w w:val="100"/>
          <w:kern w:val="21"/>
          <w:sz w:val="32"/>
        </w:rPr>
      </w:pPr>
      <w:r>
        <w:rPr>
          <w:rFonts w:hint="eastAsia" w:ascii="仿宋_GB2312" w:hAnsi="仿宋_GB2312" w:cs="仿宋_GB2312"/>
          <w:color w:val="auto"/>
          <w:spacing w:val="0"/>
          <w:w w:val="100"/>
          <w:kern w:val="21"/>
          <w:sz w:val="32"/>
        </w:rPr>
        <w:t>（二</w:t>
      </w:r>
      <w:r>
        <w:rPr>
          <w:rFonts w:ascii="仿宋_GB2312" w:hAnsi="仿宋_GB2312" w:cs="仿宋_GB2312"/>
          <w:color w:val="auto"/>
          <w:spacing w:val="0"/>
          <w:w w:val="100"/>
          <w:kern w:val="21"/>
          <w:sz w:val="32"/>
        </w:rPr>
        <w:t>）</w:t>
      </w:r>
      <w:r>
        <w:rPr>
          <w:rFonts w:hint="eastAsia" w:ascii="仿宋_GB2312" w:hAnsi="仿宋_GB2312" w:cs="仿宋_GB2312"/>
          <w:color w:val="auto"/>
          <w:spacing w:val="0"/>
          <w:w w:val="100"/>
          <w:kern w:val="21"/>
          <w:sz w:val="32"/>
        </w:rPr>
        <w:t>凡具备普通高中、中职学校（含技工学校）以上学历，均可报名参加初级统计专业技术资格考试。</w:t>
      </w:r>
    </w:p>
    <w:p>
      <w:pPr>
        <w:widowControl w:val="0"/>
        <w:wordWrap/>
        <w:spacing w:line="586" w:lineRule="exact"/>
        <w:ind w:firstLine="632" w:firstLineChars="200"/>
        <w:textAlignment w:val="auto"/>
        <w:rPr>
          <w:rFonts w:ascii="仿宋_GB2312" w:hAnsi="仿宋_GB2312" w:cs="仿宋_GB2312"/>
          <w:color w:val="auto"/>
          <w:spacing w:val="0"/>
          <w:w w:val="100"/>
          <w:kern w:val="21"/>
          <w:sz w:val="32"/>
        </w:rPr>
      </w:pPr>
      <w:r>
        <w:rPr>
          <w:rFonts w:hint="eastAsia" w:ascii="仿宋_GB2312" w:hAnsi="仿宋_GB2312" w:cs="仿宋_GB2312"/>
          <w:color w:val="auto"/>
          <w:spacing w:val="0"/>
          <w:w w:val="100"/>
          <w:kern w:val="21"/>
          <w:sz w:val="32"/>
        </w:rPr>
        <w:t>（</w:t>
      </w:r>
      <w:r>
        <w:rPr>
          <w:rFonts w:ascii="仿宋_GB2312" w:hAnsi="仿宋_GB2312" w:cs="仿宋_GB2312"/>
          <w:color w:val="auto"/>
          <w:spacing w:val="0"/>
          <w:w w:val="100"/>
          <w:kern w:val="21"/>
          <w:sz w:val="32"/>
        </w:rPr>
        <w:t>三）</w:t>
      </w:r>
      <w:r>
        <w:rPr>
          <w:rFonts w:hint="eastAsia" w:ascii="仿宋_GB2312" w:hAnsi="仿宋_GB2312" w:cs="仿宋_GB2312"/>
          <w:color w:val="auto"/>
          <w:spacing w:val="0"/>
          <w:w w:val="100"/>
          <w:kern w:val="21"/>
          <w:sz w:val="32"/>
        </w:rPr>
        <w:t>具备下列条件之一者，可以报名参加中级统计专业技术资格考试：</w:t>
      </w:r>
    </w:p>
    <w:p>
      <w:pPr>
        <w:widowControl w:val="0"/>
        <w:wordWrap/>
        <w:spacing w:line="586" w:lineRule="exact"/>
        <w:ind w:firstLine="632" w:firstLineChars="200"/>
        <w:textAlignment w:val="auto"/>
        <w:rPr>
          <w:rFonts w:ascii="仿宋_GB2312" w:hAnsi="宋体" w:cs="仿宋_GB2312"/>
          <w:color w:val="auto"/>
          <w:spacing w:val="0"/>
          <w:w w:val="100"/>
          <w:kern w:val="21"/>
          <w:sz w:val="32"/>
        </w:rPr>
      </w:pPr>
      <w:r>
        <w:rPr>
          <w:rFonts w:hint="eastAsia" w:ascii="仿宋_GB2312" w:hAnsi="宋体" w:cs="仿宋_GB2312"/>
          <w:color w:val="auto"/>
          <w:spacing w:val="0"/>
          <w:w w:val="100"/>
          <w:kern w:val="21"/>
          <w:sz w:val="32"/>
        </w:rPr>
        <w:t>1.普通高中、中职学校（含技工学校）毕业并取得初级统计专业技术资格，从事统计相关工作满10年；</w:t>
      </w:r>
    </w:p>
    <w:p>
      <w:pPr>
        <w:widowControl w:val="0"/>
        <w:wordWrap/>
        <w:spacing w:line="586" w:lineRule="exact"/>
        <w:ind w:firstLine="632" w:firstLineChars="200"/>
        <w:textAlignment w:val="auto"/>
        <w:rPr>
          <w:rFonts w:ascii="仿宋_GB2312" w:hAnsi="宋体" w:cs="仿宋_GB2312"/>
          <w:color w:val="auto"/>
          <w:spacing w:val="0"/>
          <w:w w:val="100"/>
          <w:kern w:val="21"/>
          <w:sz w:val="32"/>
        </w:rPr>
      </w:pPr>
      <w:r>
        <w:rPr>
          <w:rFonts w:hint="eastAsia" w:ascii="仿宋_GB2312" w:hAnsi="宋体" w:cs="仿宋_GB2312"/>
          <w:color w:val="auto"/>
          <w:spacing w:val="0"/>
          <w:w w:val="100"/>
          <w:kern w:val="21"/>
          <w:sz w:val="32"/>
        </w:rPr>
        <w:t>2.具备大学专科学历，从事统计相关工作满6年；</w:t>
      </w:r>
    </w:p>
    <w:p>
      <w:pPr>
        <w:widowControl w:val="0"/>
        <w:wordWrap/>
        <w:spacing w:line="586" w:lineRule="exact"/>
        <w:ind w:firstLine="632" w:firstLineChars="200"/>
        <w:textAlignment w:val="auto"/>
        <w:rPr>
          <w:rFonts w:ascii="仿宋_GB2312" w:hAnsi="宋体" w:cs="仿宋_GB2312"/>
          <w:color w:val="auto"/>
          <w:spacing w:val="0"/>
          <w:w w:val="100"/>
          <w:kern w:val="21"/>
          <w:sz w:val="32"/>
        </w:rPr>
      </w:pPr>
      <w:r>
        <w:rPr>
          <w:rFonts w:hint="eastAsia" w:ascii="仿宋_GB2312" w:hAnsi="宋体" w:cs="仿宋_GB2312"/>
          <w:color w:val="auto"/>
          <w:spacing w:val="0"/>
          <w:w w:val="100"/>
          <w:kern w:val="21"/>
          <w:sz w:val="32"/>
        </w:rPr>
        <w:t>3.具备大学本科学历或学士学位，从事统计相关工作满4年；</w:t>
      </w:r>
    </w:p>
    <w:p>
      <w:pPr>
        <w:widowControl w:val="0"/>
        <w:wordWrap/>
        <w:spacing w:line="586" w:lineRule="exact"/>
        <w:ind w:firstLine="632" w:firstLineChars="200"/>
        <w:textAlignment w:val="auto"/>
        <w:rPr>
          <w:rFonts w:ascii="仿宋_GB2312" w:hAnsi="宋体" w:cs="仿宋_GB2312"/>
          <w:color w:val="auto"/>
          <w:spacing w:val="0"/>
          <w:w w:val="100"/>
          <w:kern w:val="21"/>
          <w:sz w:val="32"/>
        </w:rPr>
      </w:pPr>
      <w:r>
        <w:rPr>
          <w:rFonts w:hint="eastAsia" w:ascii="仿宋_GB2312" w:hAnsi="宋体" w:cs="仿宋_GB2312"/>
          <w:color w:val="auto"/>
          <w:spacing w:val="0"/>
          <w:w w:val="100"/>
          <w:kern w:val="21"/>
          <w:sz w:val="32"/>
        </w:rPr>
        <w:t>4.具备第二学士学位，从事统计相关工作满2年；</w:t>
      </w:r>
    </w:p>
    <w:p>
      <w:pPr>
        <w:widowControl w:val="0"/>
        <w:wordWrap/>
        <w:spacing w:line="586" w:lineRule="exact"/>
        <w:ind w:firstLine="632" w:firstLineChars="200"/>
        <w:textAlignment w:val="auto"/>
        <w:rPr>
          <w:rFonts w:ascii="仿宋_GB2312" w:hAnsi="宋体" w:cs="仿宋_GB2312"/>
          <w:color w:val="auto"/>
          <w:spacing w:val="0"/>
          <w:w w:val="100"/>
          <w:kern w:val="21"/>
          <w:sz w:val="32"/>
        </w:rPr>
      </w:pPr>
      <w:r>
        <w:rPr>
          <w:rFonts w:hint="eastAsia" w:ascii="仿宋_GB2312" w:hAnsi="宋体" w:cs="仿宋_GB2312"/>
          <w:color w:val="auto"/>
          <w:spacing w:val="0"/>
          <w:w w:val="100"/>
          <w:kern w:val="21"/>
          <w:sz w:val="32"/>
        </w:rPr>
        <w:t>5.具备硕士研究生学历或学位，从事统计相关工作满1年；</w:t>
      </w:r>
    </w:p>
    <w:p>
      <w:pPr>
        <w:widowControl w:val="0"/>
        <w:wordWrap/>
        <w:spacing w:line="586" w:lineRule="exact"/>
        <w:ind w:firstLine="632" w:firstLineChars="200"/>
        <w:textAlignment w:val="auto"/>
        <w:rPr>
          <w:rFonts w:ascii="仿宋_GB2312" w:hAnsi="宋体" w:cs="仿宋_GB2312"/>
          <w:color w:val="auto"/>
          <w:spacing w:val="0"/>
          <w:w w:val="100"/>
          <w:kern w:val="21"/>
          <w:sz w:val="32"/>
        </w:rPr>
      </w:pPr>
      <w:r>
        <w:rPr>
          <w:rFonts w:hint="eastAsia" w:ascii="仿宋_GB2312" w:hAnsi="宋体" w:cs="仿宋_GB2312"/>
          <w:color w:val="auto"/>
          <w:spacing w:val="0"/>
          <w:w w:val="100"/>
          <w:kern w:val="21"/>
          <w:sz w:val="32"/>
        </w:rPr>
        <w:t>6.具备博士研究生学历或学位。</w:t>
      </w:r>
    </w:p>
    <w:p>
      <w:pPr>
        <w:widowControl w:val="0"/>
        <w:wordWrap/>
        <w:spacing w:line="586" w:lineRule="exact"/>
        <w:ind w:firstLine="632" w:firstLineChars="200"/>
        <w:textAlignment w:val="auto"/>
        <w:rPr>
          <w:rFonts w:ascii="仿宋_GB2312" w:hAnsi="仿宋_GB2312" w:cs="仿宋_GB2312"/>
          <w:color w:val="auto"/>
          <w:spacing w:val="0"/>
          <w:w w:val="100"/>
          <w:kern w:val="21"/>
          <w:sz w:val="32"/>
        </w:rPr>
      </w:pPr>
      <w:r>
        <w:rPr>
          <w:rFonts w:hint="eastAsia" w:ascii="仿宋_GB2312" w:hAnsi="仿宋_GB2312" w:cs="仿宋_GB2312"/>
          <w:color w:val="auto"/>
          <w:spacing w:val="0"/>
          <w:w w:val="100"/>
          <w:kern w:val="21"/>
          <w:sz w:val="32"/>
        </w:rPr>
        <w:t>（四</w:t>
      </w:r>
      <w:r>
        <w:rPr>
          <w:rFonts w:ascii="仿宋_GB2312" w:hAnsi="仿宋_GB2312" w:cs="仿宋_GB2312"/>
          <w:color w:val="auto"/>
          <w:spacing w:val="0"/>
          <w:w w:val="100"/>
          <w:kern w:val="21"/>
          <w:sz w:val="32"/>
        </w:rPr>
        <w:t>）</w:t>
      </w:r>
      <w:r>
        <w:rPr>
          <w:rFonts w:hint="eastAsia" w:ascii="仿宋_GB2312" w:hAnsi="仿宋_GB2312" w:cs="仿宋_GB2312"/>
          <w:color w:val="auto"/>
          <w:spacing w:val="0"/>
          <w:w w:val="100"/>
          <w:kern w:val="21"/>
          <w:sz w:val="32"/>
        </w:rPr>
        <w:t>具备下列条件之一者，可以报名参加高级统计专业技术资格考试：</w:t>
      </w:r>
    </w:p>
    <w:p>
      <w:pPr>
        <w:widowControl w:val="0"/>
        <w:wordWrap/>
        <w:spacing w:line="586" w:lineRule="exact"/>
        <w:ind w:firstLine="632" w:firstLineChars="200"/>
        <w:textAlignment w:val="auto"/>
        <w:rPr>
          <w:rFonts w:ascii="仿宋_GB2312" w:hAnsi="宋体" w:cs="仿宋_GB2312"/>
          <w:color w:val="auto"/>
          <w:spacing w:val="0"/>
          <w:w w:val="100"/>
          <w:kern w:val="21"/>
          <w:sz w:val="32"/>
        </w:rPr>
      </w:pPr>
      <w:r>
        <w:rPr>
          <w:rFonts w:hint="eastAsia" w:ascii="仿宋_GB2312" w:hAnsi="宋体" w:cs="仿宋_GB2312"/>
          <w:color w:val="auto"/>
          <w:spacing w:val="0"/>
          <w:w w:val="100"/>
          <w:kern w:val="21"/>
          <w:sz w:val="32"/>
        </w:rPr>
        <w:t>1.具备大学专科学历，取得中级统计专业技术资格后，从事统计相关工作满10年；</w:t>
      </w:r>
    </w:p>
    <w:p>
      <w:pPr>
        <w:widowControl w:val="0"/>
        <w:wordWrap/>
        <w:spacing w:line="586" w:lineRule="exact"/>
        <w:ind w:firstLine="632" w:firstLineChars="200"/>
        <w:textAlignment w:val="auto"/>
        <w:rPr>
          <w:rFonts w:ascii="仿宋_GB2312" w:hAnsi="宋体" w:cs="仿宋_GB2312"/>
          <w:color w:val="auto"/>
          <w:spacing w:val="0"/>
          <w:w w:val="100"/>
          <w:kern w:val="21"/>
          <w:sz w:val="32"/>
        </w:rPr>
      </w:pPr>
      <w:r>
        <w:rPr>
          <w:rFonts w:hint="eastAsia" w:ascii="仿宋_GB2312" w:hAnsi="宋体" w:cs="仿宋_GB2312"/>
          <w:color w:val="auto"/>
          <w:spacing w:val="0"/>
          <w:w w:val="100"/>
          <w:kern w:val="21"/>
          <w:sz w:val="32"/>
        </w:rPr>
        <w:t>2.具备硕士研究生学历或学位，大学本科学历或学士学位，且取得中级统计专业技术资格后，从事统计相关工作满5年；</w:t>
      </w:r>
    </w:p>
    <w:p>
      <w:pPr>
        <w:widowControl w:val="0"/>
        <w:wordWrap/>
        <w:spacing w:line="586" w:lineRule="exact"/>
        <w:ind w:firstLine="632" w:firstLineChars="200"/>
        <w:textAlignment w:val="auto"/>
        <w:rPr>
          <w:rFonts w:ascii="仿宋_GB2312" w:hAnsi="仿宋_GB2312" w:cs="仿宋_GB2312"/>
          <w:color w:val="auto"/>
          <w:spacing w:val="0"/>
          <w:w w:val="100"/>
          <w:kern w:val="21"/>
          <w:sz w:val="32"/>
        </w:rPr>
      </w:pPr>
      <w:r>
        <w:rPr>
          <w:rFonts w:hint="eastAsia" w:ascii="仿宋_GB2312" w:hAnsi="宋体" w:cs="仿宋_GB2312"/>
          <w:color w:val="auto"/>
          <w:spacing w:val="0"/>
          <w:w w:val="100"/>
          <w:kern w:val="21"/>
          <w:sz w:val="32"/>
        </w:rPr>
        <w:t>3.具备博士研究生学历或学位，且取得中级统计专业技术资格后，从事统计相关工作满2年。</w:t>
      </w:r>
    </w:p>
    <w:p>
      <w:pPr>
        <w:widowControl w:val="0"/>
        <w:wordWrap/>
        <w:spacing w:line="586" w:lineRule="exact"/>
        <w:ind w:firstLine="632" w:firstLineChars="200"/>
        <w:textAlignment w:val="auto"/>
        <w:rPr>
          <w:rFonts w:ascii="仿宋_GB2312" w:hAnsi="仿宋_GB2312" w:cs="仿宋_GB2312"/>
          <w:color w:val="auto"/>
          <w:spacing w:val="0"/>
          <w:w w:val="100"/>
          <w:kern w:val="21"/>
          <w:sz w:val="32"/>
        </w:rPr>
      </w:pPr>
      <w:r>
        <w:rPr>
          <w:rFonts w:hint="eastAsia" w:ascii="仿宋_GB2312" w:hAnsi="仿宋_GB2312" w:cs="仿宋_GB2312"/>
          <w:color w:val="auto"/>
          <w:spacing w:val="0"/>
          <w:w w:val="100"/>
          <w:kern w:val="21"/>
          <w:sz w:val="32"/>
        </w:rPr>
        <w:t>（五）取得经济、会计、审计初级、中级专业技术资格，符合规定的学历、年限条件的，可以报名参加高一级统计专业技术资格考试。</w:t>
      </w:r>
    </w:p>
    <w:p>
      <w:pPr>
        <w:widowControl w:val="0"/>
        <w:wordWrap/>
        <w:spacing w:line="586" w:lineRule="exact"/>
        <w:ind w:firstLine="632" w:firstLineChars="200"/>
        <w:textAlignment w:val="auto"/>
        <w:rPr>
          <w:rFonts w:ascii="仿宋_GB2312" w:hAnsi="仿宋_GB2312" w:cs="仿宋_GB2312"/>
          <w:color w:val="auto"/>
          <w:spacing w:val="0"/>
          <w:w w:val="100"/>
          <w:kern w:val="21"/>
          <w:sz w:val="32"/>
        </w:rPr>
      </w:pPr>
      <w:r>
        <w:rPr>
          <w:rFonts w:hint="eastAsia" w:ascii="仿宋_GB2312" w:hAnsi="仿宋_GB2312" w:cs="仿宋_GB2312"/>
          <w:color w:val="auto"/>
          <w:spacing w:val="0"/>
          <w:w w:val="100"/>
          <w:kern w:val="21"/>
          <w:sz w:val="32"/>
        </w:rPr>
        <w:t>具有哲学社会科学研究（理论经济学、应用经济学、数学、统计学、计算机科学与技术）等与统计相近专业中级职称，可依据上述学历资历和业绩条件，报名参加高级统计专业技术资格考试。</w:t>
      </w:r>
    </w:p>
    <w:p>
      <w:pPr>
        <w:widowControl w:val="0"/>
        <w:wordWrap/>
        <w:spacing w:line="586" w:lineRule="exact"/>
        <w:ind w:firstLine="632" w:firstLineChars="200"/>
        <w:textAlignment w:val="auto"/>
        <w:rPr>
          <w:rFonts w:ascii="仿宋_GB2312" w:hAnsi="仿宋_GB2312" w:cs="仿宋_GB2312"/>
          <w:color w:val="auto"/>
          <w:spacing w:val="0"/>
          <w:w w:val="100"/>
          <w:kern w:val="21"/>
          <w:sz w:val="32"/>
        </w:rPr>
      </w:pPr>
      <w:r>
        <w:rPr>
          <w:rFonts w:hint="eastAsia" w:ascii="仿宋_GB2312" w:hAnsi="仿宋_GB2312" w:cs="仿宋_GB2312"/>
          <w:color w:val="auto"/>
          <w:spacing w:val="0"/>
          <w:w w:val="100"/>
          <w:kern w:val="21"/>
          <w:sz w:val="32"/>
        </w:rPr>
        <w:t>具有其他系列副高级以上职称，从事统计相关工作满2年，可以视作符合上述规定的学历、年限条件，报名参加高级统计专业技术资格考试。</w:t>
      </w:r>
    </w:p>
    <w:p>
      <w:pPr>
        <w:widowControl w:val="0"/>
        <w:wordWrap/>
        <w:spacing w:line="586" w:lineRule="exact"/>
        <w:ind w:firstLine="632" w:firstLineChars="200"/>
        <w:textAlignment w:val="auto"/>
        <w:rPr>
          <w:rFonts w:ascii="仿宋_GB2312" w:hAnsi="仿宋_GB2312" w:cs="仿宋_GB2312"/>
          <w:color w:val="auto"/>
          <w:spacing w:val="0"/>
          <w:w w:val="100"/>
          <w:kern w:val="21"/>
          <w:sz w:val="32"/>
        </w:rPr>
      </w:pPr>
      <w:r>
        <w:rPr>
          <w:rFonts w:hint="eastAsia" w:ascii="仿宋_GB2312" w:hAnsi="仿宋_GB2312" w:cs="仿宋_GB2312"/>
          <w:color w:val="auto"/>
          <w:spacing w:val="0"/>
          <w:w w:val="100"/>
          <w:kern w:val="21"/>
          <w:sz w:val="32"/>
        </w:rPr>
        <w:t>（六）取得准精算师职业资格证书，可对应中级统计专业技术资格，符合规定的学历、年限条件的，可以报名参加高级统计专业技术资格考试。</w:t>
      </w:r>
    </w:p>
    <w:p>
      <w:pPr>
        <w:widowControl w:val="0"/>
        <w:wordWrap/>
        <w:spacing w:line="586" w:lineRule="exact"/>
        <w:ind w:firstLine="632" w:firstLineChars="200"/>
        <w:textAlignment w:val="auto"/>
        <w:rPr>
          <w:rFonts w:ascii="仿宋_GB2312" w:hAnsi="仿宋_GB2312" w:cs="仿宋_GB2312"/>
          <w:color w:val="auto"/>
          <w:spacing w:val="0"/>
          <w:w w:val="100"/>
          <w:kern w:val="21"/>
          <w:sz w:val="32"/>
        </w:rPr>
      </w:pPr>
      <w:r>
        <w:rPr>
          <w:rFonts w:hint="eastAsia" w:ascii="仿宋_GB2312" w:hAnsi="仿宋_GB2312" w:cs="仿宋_GB2312"/>
          <w:color w:val="auto"/>
          <w:spacing w:val="0"/>
          <w:w w:val="100"/>
          <w:kern w:val="21"/>
          <w:sz w:val="32"/>
        </w:rPr>
        <w:t>取得资产评估师、税务师职业资格证书，符合相应的学历、年限条件，可对应初级或中级统计专业技术资格，报考高一级统计专业技术资格考试。</w:t>
      </w:r>
    </w:p>
    <w:p>
      <w:pPr>
        <w:widowControl w:val="0"/>
        <w:wordWrap/>
        <w:spacing w:line="586" w:lineRule="exact"/>
        <w:ind w:firstLine="632" w:firstLineChars="200"/>
        <w:textAlignment w:val="auto"/>
        <w:rPr>
          <w:rFonts w:ascii="黑体" w:hAnsi="黑体" w:eastAsia="黑体"/>
          <w:color w:val="auto"/>
          <w:spacing w:val="0"/>
          <w:w w:val="100"/>
          <w:kern w:val="21"/>
          <w:sz w:val="32"/>
        </w:rPr>
      </w:pPr>
      <w:r>
        <w:rPr>
          <w:rFonts w:hint="eastAsia" w:ascii="黑体" w:hAnsi="黑体" w:eastAsia="黑体"/>
          <w:color w:val="auto"/>
          <w:spacing w:val="0"/>
          <w:w w:val="100"/>
          <w:kern w:val="21"/>
          <w:sz w:val="32"/>
          <w:lang w:eastAsia="zh-CN"/>
        </w:rPr>
        <w:t>四</w:t>
      </w:r>
      <w:r>
        <w:rPr>
          <w:rFonts w:hint="eastAsia" w:ascii="黑体" w:hAnsi="黑体" w:eastAsia="黑体"/>
          <w:color w:val="auto"/>
          <w:spacing w:val="0"/>
          <w:w w:val="100"/>
          <w:kern w:val="21"/>
          <w:sz w:val="32"/>
        </w:rPr>
        <w:t>、免考条件</w:t>
      </w:r>
    </w:p>
    <w:p>
      <w:pPr>
        <w:widowControl w:val="0"/>
        <w:wordWrap/>
        <w:spacing w:line="586" w:lineRule="exact"/>
        <w:ind w:firstLine="632" w:firstLineChars="200"/>
        <w:textAlignment w:val="auto"/>
        <w:rPr>
          <w:rFonts w:ascii="仿宋_GB2312" w:hAnsi="宋体" w:cs="仿宋_GB2312"/>
          <w:color w:val="auto"/>
          <w:spacing w:val="0"/>
          <w:w w:val="100"/>
          <w:kern w:val="21"/>
          <w:sz w:val="32"/>
        </w:rPr>
      </w:pPr>
      <w:r>
        <w:rPr>
          <w:rFonts w:hint="eastAsia" w:ascii="仿宋_GB2312" w:hAnsi="宋体" w:cs="仿宋_GB2312"/>
          <w:color w:val="auto"/>
          <w:spacing w:val="0"/>
          <w:w w:val="100"/>
          <w:kern w:val="21"/>
          <w:sz w:val="32"/>
        </w:rPr>
        <w:t>获得应用统计专业硕士的人员报名参加中级统计专业技术资格考试，可以免试《统计基础理论及相关知识》科目，仅参加《统计工作实务》科目考试。</w:t>
      </w:r>
    </w:p>
    <w:p>
      <w:pPr>
        <w:widowControl w:val="0"/>
        <w:wordWrap/>
        <w:spacing w:line="586" w:lineRule="exact"/>
        <w:ind w:firstLine="632" w:firstLineChars="200"/>
        <w:textAlignment w:val="auto"/>
        <w:rPr>
          <w:rFonts w:ascii="黑体" w:hAnsi="华文仿宋" w:eastAsia="黑体"/>
          <w:color w:val="auto"/>
          <w:spacing w:val="0"/>
          <w:w w:val="100"/>
          <w:kern w:val="21"/>
          <w:sz w:val="32"/>
        </w:rPr>
      </w:pPr>
      <w:r>
        <w:rPr>
          <w:rFonts w:hint="eastAsia" w:ascii="黑体" w:hAnsi="华文仿宋" w:eastAsia="黑体"/>
          <w:color w:val="auto"/>
          <w:spacing w:val="0"/>
          <w:w w:val="100"/>
          <w:kern w:val="21"/>
          <w:sz w:val="32"/>
          <w:lang w:eastAsia="zh-CN"/>
        </w:rPr>
        <w:t>五</w:t>
      </w:r>
      <w:r>
        <w:rPr>
          <w:rFonts w:hint="eastAsia" w:ascii="黑体" w:hAnsi="华文仿宋" w:eastAsia="黑体"/>
          <w:color w:val="auto"/>
          <w:spacing w:val="0"/>
          <w:w w:val="100"/>
          <w:kern w:val="21"/>
          <w:sz w:val="32"/>
        </w:rPr>
        <w:t>、报名安排及其他相关事项</w:t>
      </w:r>
    </w:p>
    <w:p>
      <w:pPr>
        <w:adjustRightInd w:val="0"/>
        <w:snapToGrid w:val="0"/>
        <w:spacing w:line="560" w:lineRule="exact"/>
        <w:ind w:firstLine="632" w:firstLineChars="200"/>
        <w:rPr>
          <w:rFonts w:hint="eastAsia" w:ascii="仿宋_GB2312" w:hAnsi="仿宋_GB2312" w:cs="仿宋_GB2312"/>
          <w:snapToGrid w:val="0"/>
          <w:color w:val="000000"/>
          <w:kern w:val="0"/>
        </w:rPr>
      </w:pPr>
      <w:r>
        <w:rPr>
          <w:rFonts w:hint="eastAsia" w:ascii="仿宋_GB2312" w:hAnsi="仿宋_GB2312" w:cs="仿宋_GB2312"/>
          <w:snapToGrid w:val="0"/>
          <w:color w:val="000000"/>
          <w:kern w:val="0"/>
        </w:rPr>
        <w:t>考试报名工作按照属地原则进行，应试人员</w:t>
      </w:r>
      <w:r>
        <w:rPr>
          <w:rFonts w:hint="eastAsia" w:ascii="仿宋_GB2312" w:hAnsi="仿宋_GB2312" w:cs="仿宋_GB2312"/>
          <w:b/>
          <w:bCs/>
          <w:snapToGrid w:val="0"/>
          <w:color w:val="000000"/>
          <w:kern w:val="0"/>
        </w:rPr>
        <w:t>工作地、居住地</w:t>
      </w:r>
      <w:r>
        <w:rPr>
          <w:rFonts w:hint="eastAsia" w:ascii="仿宋_GB2312" w:hAnsi="仿宋_GB2312" w:cs="仿宋_GB2312"/>
          <w:snapToGrid w:val="0"/>
          <w:color w:val="000000"/>
          <w:kern w:val="0"/>
        </w:rPr>
        <w:t>为青岛市的，可在我市报名。</w:t>
      </w:r>
    </w:p>
    <w:p>
      <w:pPr>
        <w:widowControl w:val="0"/>
        <w:wordWrap/>
        <w:spacing w:line="586" w:lineRule="exact"/>
        <w:ind w:firstLine="632" w:firstLineChars="200"/>
        <w:textAlignment w:val="auto"/>
        <w:rPr>
          <w:rFonts w:ascii="仿宋_GB2312" w:hAnsi="仿宋" w:cs="宋体"/>
          <w:color w:val="auto"/>
          <w:spacing w:val="0"/>
          <w:w w:val="100"/>
          <w:kern w:val="21"/>
          <w:sz w:val="32"/>
        </w:rPr>
      </w:pPr>
      <w:r>
        <w:rPr>
          <w:rFonts w:hint="eastAsia" w:ascii="仿宋_GB2312" w:hAnsi="仿宋" w:cs="宋体"/>
          <w:color w:val="auto"/>
          <w:spacing w:val="0"/>
          <w:w w:val="100"/>
          <w:kern w:val="21"/>
          <w:sz w:val="32"/>
        </w:rPr>
        <w:t>（</w:t>
      </w:r>
      <w:r>
        <w:rPr>
          <w:rFonts w:ascii="仿宋_GB2312" w:hAnsi="仿宋" w:cs="宋体"/>
          <w:color w:val="auto"/>
          <w:spacing w:val="0"/>
          <w:w w:val="100"/>
          <w:kern w:val="21"/>
          <w:sz w:val="32"/>
        </w:rPr>
        <w:t>一）</w:t>
      </w:r>
      <w:r>
        <w:rPr>
          <w:rFonts w:hint="eastAsia" w:ascii="仿宋_GB2312" w:hAnsi="仿宋" w:cs="宋体"/>
          <w:color w:val="auto"/>
          <w:spacing w:val="0"/>
          <w:w w:val="100"/>
          <w:kern w:val="21"/>
          <w:sz w:val="32"/>
        </w:rPr>
        <w:t>本次考试报名证明事项实行告知承诺制，应试人员须通过中国人事考试网（www.cpta.com.cn）的</w:t>
      </w:r>
      <w:r>
        <w:rPr>
          <w:rFonts w:ascii="仿宋_GB2312" w:hAnsi="仿宋" w:cs="宋体"/>
          <w:color w:val="auto"/>
          <w:spacing w:val="0"/>
          <w:w w:val="100"/>
          <w:kern w:val="21"/>
          <w:sz w:val="32"/>
        </w:rPr>
        <w:t>全国专业技术人员资格考试报名服务平台</w:t>
      </w:r>
      <w:r>
        <w:rPr>
          <w:rFonts w:hint="eastAsia" w:ascii="仿宋_GB2312" w:hAnsi="仿宋" w:cs="宋体"/>
          <w:color w:val="auto"/>
          <w:spacing w:val="0"/>
          <w:w w:val="100"/>
          <w:kern w:val="21"/>
          <w:sz w:val="32"/>
        </w:rPr>
        <w:t>进行网上注册、报名和缴费。</w:t>
      </w:r>
    </w:p>
    <w:p>
      <w:pPr>
        <w:widowControl w:val="0"/>
        <w:wordWrap/>
        <w:spacing w:line="586" w:lineRule="exact"/>
        <w:ind w:firstLine="632" w:firstLineChars="200"/>
        <w:textAlignment w:val="auto"/>
        <w:rPr>
          <w:rFonts w:ascii="仿宋_GB2312" w:hAnsi="仿宋" w:cs="宋体"/>
          <w:color w:val="auto"/>
          <w:spacing w:val="0"/>
          <w:w w:val="100"/>
          <w:kern w:val="21"/>
          <w:sz w:val="32"/>
        </w:rPr>
      </w:pPr>
      <w:r>
        <w:rPr>
          <w:rFonts w:hint="eastAsia" w:ascii="仿宋_GB2312" w:hAnsi="仿宋" w:cs="宋体"/>
          <w:color w:val="auto"/>
          <w:spacing w:val="0"/>
          <w:w w:val="100"/>
          <w:kern w:val="21"/>
          <w:sz w:val="32"/>
        </w:rPr>
        <w:t>报名时间：4月</w:t>
      </w:r>
      <w:r>
        <w:rPr>
          <w:rFonts w:ascii="仿宋_GB2312" w:hAnsi="仿宋" w:cs="宋体"/>
          <w:color w:val="auto"/>
          <w:spacing w:val="0"/>
          <w:w w:val="100"/>
          <w:kern w:val="21"/>
          <w:sz w:val="32"/>
        </w:rPr>
        <w:t>1</w:t>
      </w:r>
      <w:r>
        <w:rPr>
          <w:rFonts w:hint="eastAsia" w:ascii="仿宋_GB2312" w:hAnsi="仿宋" w:cs="宋体"/>
          <w:color w:val="auto"/>
          <w:spacing w:val="0"/>
          <w:w w:val="100"/>
          <w:kern w:val="21"/>
          <w:sz w:val="32"/>
        </w:rPr>
        <w:t>1日9∶00—4月</w:t>
      </w:r>
      <w:r>
        <w:rPr>
          <w:rFonts w:ascii="仿宋_GB2312" w:hAnsi="仿宋" w:cs="宋体"/>
          <w:color w:val="auto"/>
          <w:spacing w:val="0"/>
          <w:w w:val="100"/>
          <w:kern w:val="21"/>
          <w:sz w:val="32"/>
        </w:rPr>
        <w:t>2</w:t>
      </w:r>
      <w:r>
        <w:rPr>
          <w:rFonts w:hint="eastAsia" w:ascii="仿宋_GB2312" w:hAnsi="仿宋" w:cs="宋体"/>
          <w:color w:val="auto"/>
          <w:spacing w:val="0"/>
          <w:w w:val="100"/>
          <w:kern w:val="21"/>
          <w:sz w:val="32"/>
        </w:rPr>
        <w:t>1日16∶00；</w:t>
      </w:r>
    </w:p>
    <w:p>
      <w:pPr>
        <w:widowControl w:val="0"/>
        <w:wordWrap/>
        <w:spacing w:line="586" w:lineRule="exact"/>
        <w:ind w:firstLine="632" w:firstLineChars="200"/>
        <w:textAlignment w:val="auto"/>
        <w:rPr>
          <w:rFonts w:ascii="仿宋_GB2312" w:hAnsi="仿宋" w:cs="宋体"/>
          <w:color w:val="auto"/>
          <w:spacing w:val="0"/>
          <w:w w:val="100"/>
          <w:kern w:val="21"/>
          <w:sz w:val="32"/>
        </w:rPr>
      </w:pPr>
      <w:r>
        <w:rPr>
          <w:rFonts w:hint="eastAsia" w:ascii="仿宋_GB2312" w:hAnsi="仿宋" w:cs="宋体"/>
          <w:color w:val="auto"/>
          <w:spacing w:val="0"/>
          <w:w w:val="100"/>
          <w:kern w:val="21"/>
          <w:sz w:val="32"/>
        </w:rPr>
        <w:t>缴费时间：4月</w:t>
      </w:r>
      <w:r>
        <w:rPr>
          <w:rFonts w:ascii="仿宋_GB2312" w:hAnsi="仿宋" w:cs="宋体"/>
          <w:color w:val="auto"/>
          <w:spacing w:val="0"/>
          <w:w w:val="100"/>
          <w:kern w:val="21"/>
          <w:sz w:val="32"/>
        </w:rPr>
        <w:t>2</w:t>
      </w:r>
      <w:r>
        <w:rPr>
          <w:rFonts w:hint="eastAsia" w:ascii="仿宋_GB2312" w:hAnsi="仿宋" w:cs="宋体"/>
          <w:color w:val="auto"/>
          <w:spacing w:val="0"/>
          <w:w w:val="100"/>
          <w:kern w:val="21"/>
          <w:sz w:val="32"/>
        </w:rPr>
        <w:t>3日9∶00—4月26日16∶00。</w:t>
      </w:r>
    </w:p>
    <w:p>
      <w:pPr>
        <w:widowControl w:val="0"/>
        <w:wordWrap/>
        <w:spacing w:line="586" w:lineRule="exact"/>
        <w:ind w:firstLine="632" w:firstLineChars="200"/>
        <w:textAlignment w:val="auto"/>
        <w:rPr>
          <w:rFonts w:ascii="仿宋_GB2312"/>
          <w:color w:val="auto"/>
          <w:spacing w:val="0"/>
          <w:w w:val="100"/>
          <w:kern w:val="21"/>
          <w:sz w:val="32"/>
        </w:rPr>
      </w:pPr>
      <w:r>
        <w:rPr>
          <w:rFonts w:hint="eastAsia" w:ascii="仿宋_GB2312"/>
          <w:color w:val="auto"/>
          <w:spacing w:val="0"/>
          <w:w w:val="100"/>
          <w:kern w:val="21"/>
          <w:sz w:val="32"/>
        </w:rPr>
        <w:t>首次登录全国专业技术人员资格考试报名服务平台的应试人员，应在报名前完成用户注册，并上传近期彩色标准1寸半身免冠、照片底色背景为白色的正面证件照（上传照片前应使用照片审核处理工具进行处理，通过后方可上传），报名照片将用于准考证、考场座次表、资格证书等。以往已在报名服务平台注册过的应试人员不得更换照片。己注册的应试人员无需重新注册，但须完善相关信息。</w:t>
      </w:r>
    </w:p>
    <w:p>
      <w:pPr>
        <w:widowControl w:val="0"/>
        <w:wordWrap/>
        <w:spacing w:line="586" w:lineRule="exact"/>
        <w:ind w:firstLine="632" w:firstLineChars="200"/>
        <w:textAlignment w:val="auto"/>
        <w:rPr>
          <w:rFonts w:ascii="仿宋_GB2312" w:hAnsi="仿宋" w:cs="宋体"/>
          <w:color w:val="auto"/>
          <w:spacing w:val="0"/>
          <w:w w:val="100"/>
          <w:kern w:val="21"/>
          <w:sz w:val="32"/>
        </w:rPr>
      </w:pPr>
      <w:r>
        <w:rPr>
          <w:rFonts w:hint="eastAsia" w:ascii="仿宋_GB2312" w:hAnsi="仿宋" w:cs="宋体"/>
          <w:color w:val="auto"/>
          <w:spacing w:val="0"/>
          <w:w w:val="100"/>
          <w:kern w:val="21"/>
          <w:sz w:val="32"/>
        </w:rPr>
        <w:t>专业技术人员资格考试统一大纲、统一命题、统一组织，符合条件的专业技术人员应按规定通过正规渠道报名，切勿轻信虚假宣传。应试人员报名时，须如实填报信息，诚信参考，本人签署（提交）《专业技术人员资格考试报名证明事项告知承诺制告知承诺书》电子文本（可下载保存），切勿委托他人或机构填报本人报考信息、代替本人作出承诺。</w:t>
      </w:r>
    </w:p>
    <w:p>
      <w:pPr>
        <w:widowControl w:val="0"/>
        <w:wordWrap/>
        <w:spacing w:line="586" w:lineRule="exact"/>
        <w:ind w:firstLine="632" w:firstLineChars="200"/>
        <w:textAlignment w:val="auto"/>
        <w:rPr>
          <w:rFonts w:ascii="仿宋_GB2312"/>
          <w:color w:val="auto"/>
          <w:spacing w:val="0"/>
          <w:w w:val="100"/>
          <w:kern w:val="21"/>
          <w:sz w:val="32"/>
        </w:rPr>
      </w:pPr>
      <w:r>
        <w:rPr>
          <w:rFonts w:hint="eastAsia" w:ascii="仿宋_GB2312" w:hAnsi="仿宋" w:cs="宋体"/>
          <w:color w:val="auto"/>
          <w:spacing w:val="0"/>
          <w:w w:val="100"/>
          <w:kern w:val="21"/>
          <w:sz w:val="32"/>
        </w:rPr>
        <w:t>（</w:t>
      </w:r>
      <w:r>
        <w:rPr>
          <w:rFonts w:ascii="仿宋_GB2312" w:hAnsi="仿宋" w:cs="宋体"/>
          <w:color w:val="auto"/>
          <w:spacing w:val="0"/>
          <w:w w:val="100"/>
          <w:kern w:val="21"/>
          <w:sz w:val="32"/>
        </w:rPr>
        <w:t>二）</w:t>
      </w:r>
      <w:r>
        <w:rPr>
          <w:rFonts w:hint="eastAsia" w:ascii="仿宋_GB2312"/>
          <w:color w:val="auto"/>
          <w:spacing w:val="0"/>
          <w:w w:val="100"/>
          <w:kern w:val="21"/>
          <w:sz w:val="32"/>
        </w:rPr>
        <w:t>报名服务平台将对身份信息、学历学位等信息进行在线自动核验，提交补充相关信息24小时后登录报名服务平台查询核验结果，核验完成后方可报名。</w:t>
      </w:r>
    </w:p>
    <w:p>
      <w:pPr>
        <w:widowControl w:val="0"/>
        <w:wordWrap/>
        <w:spacing w:line="586" w:lineRule="exact"/>
        <w:ind w:firstLine="632" w:firstLineChars="200"/>
        <w:textAlignment w:val="auto"/>
        <w:rPr>
          <w:rFonts w:ascii="仿宋_GB2312"/>
          <w:color w:val="auto"/>
          <w:spacing w:val="0"/>
          <w:w w:val="100"/>
          <w:kern w:val="21"/>
          <w:sz w:val="32"/>
        </w:rPr>
      </w:pPr>
      <w:r>
        <w:rPr>
          <w:rFonts w:hint="eastAsia" w:ascii="仿宋_GB2312"/>
          <w:color w:val="auto"/>
          <w:spacing w:val="0"/>
          <w:w w:val="100"/>
          <w:kern w:val="21"/>
          <w:sz w:val="32"/>
        </w:rPr>
        <w:t>为加强报名证明事项告知承诺制事中监管，如应试人员提交的境内高等教育学历学位信息无法通过在线自动核验，应在报名前及时登录中国高等教育学生信息网（学信网）进行验证/认证，下载相关PDF格式在线验证/认证报告，报名期间按要求上传相关验证/认证报告，接受</w:t>
      </w:r>
      <w:r>
        <w:rPr>
          <w:rFonts w:hint="eastAsia" w:ascii="仿宋_GB2312"/>
          <w:b/>
          <w:color w:val="auto"/>
          <w:spacing w:val="0"/>
          <w:w w:val="100"/>
          <w:kern w:val="21"/>
          <w:sz w:val="32"/>
        </w:rPr>
        <w:t>网上</w:t>
      </w:r>
      <w:r>
        <w:rPr>
          <w:rFonts w:ascii="仿宋_GB2312"/>
          <w:b/>
          <w:color w:val="auto"/>
          <w:spacing w:val="0"/>
          <w:w w:val="100"/>
          <w:kern w:val="21"/>
          <w:sz w:val="32"/>
        </w:rPr>
        <w:t>人工</w:t>
      </w:r>
      <w:r>
        <w:rPr>
          <w:rFonts w:hint="eastAsia" w:ascii="仿宋_GB2312"/>
          <w:b/>
          <w:color w:val="auto"/>
          <w:spacing w:val="0"/>
          <w:w w:val="100"/>
          <w:kern w:val="21"/>
          <w:sz w:val="32"/>
        </w:rPr>
        <w:t>核查，</w:t>
      </w:r>
      <w:r>
        <w:rPr>
          <w:rFonts w:hint="eastAsia" w:ascii="仿宋_GB2312"/>
          <w:color w:val="auto"/>
          <w:spacing w:val="0"/>
          <w:w w:val="100"/>
          <w:kern w:val="21"/>
          <w:sz w:val="32"/>
        </w:rPr>
        <w:t>具体操作方式参见中国人事考试网考生问答栏目相关内容。</w:t>
      </w:r>
    </w:p>
    <w:p>
      <w:pPr>
        <w:widowControl w:val="0"/>
        <w:wordWrap/>
        <w:spacing w:line="586" w:lineRule="exact"/>
        <w:ind w:firstLine="632" w:firstLineChars="200"/>
        <w:textAlignment w:val="auto"/>
        <w:rPr>
          <w:rFonts w:ascii="仿宋_GB2312" w:hAnsi="仿宋" w:cs="宋体"/>
          <w:bCs/>
          <w:color w:val="auto"/>
          <w:spacing w:val="0"/>
          <w:w w:val="100"/>
          <w:kern w:val="21"/>
          <w:sz w:val="32"/>
        </w:rPr>
      </w:pPr>
      <w:r>
        <w:rPr>
          <w:rFonts w:hint="eastAsia" w:ascii="仿宋_GB2312" w:hAnsi="仿宋" w:cs="宋体"/>
          <w:bCs/>
          <w:color w:val="auto"/>
          <w:spacing w:val="0"/>
          <w:w w:val="100"/>
          <w:kern w:val="21"/>
          <w:sz w:val="32"/>
        </w:rPr>
        <w:t>（三）报名期间，应试人员务必仔细对照报名条件如实填写报考信息，报名服务平台将报考信息与报名条件进行比对，符合报考条件的应试人员点击报名确认按钮，进入缴费状态，缴费成功即完成报名，</w:t>
      </w:r>
      <w:r>
        <w:rPr>
          <w:rFonts w:hint="eastAsia" w:ascii="仿宋_GB2312" w:hAnsi="仿宋" w:cs="宋体"/>
          <w:b/>
          <w:bCs/>
          <w:color w:val="auto"/>
          <w:spacing w:val="0"/>
          <w:w w:val="100"/>
          <w:kern w:val="21"/>
          <w:sz w:val="32"/>
        </w:rPr>
        <w:t>逾期不缴费，视为放弃报名。应试人员由</w:t>
      </w:r>
      <w:r>
        <w:rPr>
          <w:rFonts w:hint="eastAsia" w:ascii="仿宋_GB2312" w:hAnsi="仿宋" w:cs="宋体"/>
          <w:b/>
          <w:bCs w:val="0"/>
          <w:color w:val="auto"/>
          <w:spacing w:val="0"/>
          <w:w w:val="100"/>
          <w:kern w:val="21"/>
          <w:sz w:val="32"/>
        </w:rPr>
        <w:t>于个人原因报错科目、级别、专业或填错个人信息的，核查通过后，无法修改报名信息，由本人承担相应责任。</w:t>
      </w:r>
    </w:p>
    <w:p>
      <w:pPr>
        <w:widowControl w:val="0"/>
        <w:wordWrap/>
        <w:spacing w:line="586" w:lineRule="exact"/>
        <w:ind w:firstLine="632" w:firstLineChars="200"/>
        <w:textAlignment w:val="auto"/>
        <w:rPr>
          <w:rFonts w:ascii="仿宋_GB2312" w:hAnsi="仿宋" w:cs="宋体"/>
          <w:bCs/>
          <w:color w:val="auto"/>
          <w:spacing w:val="0"/>
          <w:w w:val="100"/>
          <w:kern w:val="21"/>
          <w:sz w:val="32"/>
        </w:rPr>
      </w:pPr>
      <w:r>
        <w:rPr>
          <w:rFonts w:hint="eastAsia" w:ascii="仿宋_GB2312" w:hAnsi="仿宋" w:cs="宋体"/>
          <w:bCs/>
          <w:color w:val="auto"/>
          <w:spacing w:val="0"/>
          <w:w w:val="100"/>
          <w:kern w:val="21"/>
          <w:sz w:val="32"/>
        </w:rPr>
        <w:t>应试人员作出承诺后，可在未缴费且报名截止前撤回承诺。不采用告知承诺制方式或撤回承诺申请的应试人员，本年度该项考试中不再适用告知承诺制，一经选择无法更改为采用告知承诺制方式，请慎重选择。</w:t>
      </w:r>
    </w:p>
    <w:p>
      <w:pPr>
        <w:widowControl w:val="0"/>
        <w:wordWrap/>
        <w:spacing w:line="586" w:lineRule="exact"/>
        <w:ind w:firstLine="632" w:firstLineChars="200"/>
        <w:textAlignment w:val="auto"/>
        <w:rPr>
          <w:rFonts w:ascii="仿宋_GB2312"/>
          <w:color w:val="auto"/>
          <w:spacing w:val="0"/>
          <w:w w:val="100"/>
          <w:kern w:val="21"/>
          <w:sz w:val="32"/>
        </w:rPr>
      </w:pPr>
      <w:r>
        <w:rPr>
          <w:rFonts w:hint="eastAsia" w:ascii="仿宋_GB2312"/>
          <w:color w:val="auto"/>
          <w:spacing w:val="0"/>
          <w:w w:val="100"/>
          <w:kern w:val="21"/>
          <w:sz w:val="32"/>
        </w:rPr>
        <w:t>（四）报名资格核查工作</w:t>
      </w:r>
      <w:r>
        <w:rPr>
          <w:rFonts w:hint="eastAsia" w:ascii="仿宋_GB2312" w:hAnsi="仿宋" w:cs="宋体"/>
          <w:snapToGrid w:val="0"/>
          <w:kern w:val="0"/>
        </w:rPr>
        <w:t>由我市</w:t>
      </w:r>
      <w:r>
        <w:rPr>
          <w:rFonts w:hint="eastAsia" w:ascii="仿宋_GB2312" w:hAnsi="仿宋" w:cs="宋体"/>
          <w:snapToGrid w:val="0"/>
          <w:kern w:val="0"/>
          <w:lang w:eastAsia="zh-CN"/>
        </w:rPr>
        <w:t>各级</w:t>
      </w:r>
      <w:r>
        <w:rPr>
          <w:rFonts w:hint="eastAsia" w:ascii="仿宋_GB2312" w:hAnsi="仿宋" w:cs="宋体"/>
          <w:snapToGrid w:val="0"/>
          <w:kern w:val="0"/>
        </w:rPr>
        <w:t>人事考试机构负责</w:t>
      </w:r>
      <w:r>
        <w:rPr>
          <w:rFonts w:hint="eastAsia" w:ascii="仿宋_GB2312"/>
          <w:color w:val="auto"/>
          <w:spacing w:val="0"/>
          <w:w w:val="100"/>
          <w:kern w:val="21"/>
          <w:sz w:val="32"/>
        </w:rPr>
        <w:t>，截止时间统一定于4月</w:t>
      </w:r>
      <w:r>
        <w:rPr>
          <w:rFonts w:ascii="仿宋_GB2312"/>
          <w:color w:val="auto"/>
          <w:spacing w:val="0"/>
          <w:w w:val="100"/>
          <w:kern w:val="21"/>
          <w:sz w:val="32"/>
        </w:rPr>
        <w:t>22</w:t>
      </w:r>
      <w:r>
        <w:rPr>
          <w:rFonts w:hint="eastAsia" w:ascii="仿宋_GB2312"/>
          <w:color w:val="auto"/>
          <w:spacing w:val="0"/>
          <w:w w:val="100"/>
          <w:kern w:val="21"/>
          <w:sz w:val="32"/>
        </w:rPr>
        <w:t>日</w:t>
      </w:r>
      <w:r>
        <w:rPr>
          <w:rFonts w:ascii="仿宋_GB2312"/>
          <w:color w:val="auto"/>
          <w:spacing w:val="0"/>
          <w:w w:val="100"/>
          <w:kern w:val="21"/>
          <w:sz w:val="32"/>
        </w:rPr>
        <w:t>16:00。核查程序如下：</w:t>
      </w:r>
    </w:p>
    <w:p>
      <w:pPr>
        <w:widowControl w:val="0"/>
        <w:wordWrap/>
        <w:adjustRightInd w:val="0"/>
        <w:snapToGrid w:val="0"/>
        <w:spacing w:line="586" w:lineRule="exact"/>
        <w:ind w:firstLine="632" w:firstLineChars="200"/>
        <w:textAlignment w:val="auto"/>
        <w:rPr>
          <w:rFonts w:ascii="仿宋_GB2312" w:hAnsi="宋体" w:cs="仿宋_GB2312"/>
          <w:color w:val="auto"/>
          <w:spacing w:val="0"/>
          <w:w w:val="100"/>
          <w:kern w:val="21"/>
          <w:sz w:val="32"/>
        </w:rPr>
      </w:pPr>
      <w:r>
        <w:rPr>
          <w:rFonts w:hint="eastAsia" w:ascii="仿宋_GB2312" w:hAnsi="宋体" w:cs="仿宋_GB2312"/>
          <w:color w:val="auto"/>
          <w:spacing w:val="0"/>
          <w:w w:val="100"/>
          <w:kern w:val="21"/>
          <w:sz w:val="32"/>
        </w:rPr>
        <w:t>1.以下三种情况的应试人员须在报名服务平台中上传专业工作年限证明材料，按照规定</w:t>
      </w:r>
      <w:r>
        <w:rPr>
          <w:rFonts w:ascii="仿宋_GB2312" w:hAnsi="宋体" w:cs="仿宋_GB2312"/>
          <w:color w:val="auto"/>
          <w:spacing w:val="0"/>
          <w:w w:val="100"/>
          <w:kern w:val="21"/>
          <w:sz w:val="32"/>
        </w:rPr>
        <w:t>时间到</w:t>
      </w:r>
      <w:r>
        <w:rPr>
          <w:rFonts w:ascii="仿宋_GB2312" w:hAnsi="宋体" w:cs="仿宋_GB2312"/>
          <w:kern w:val="0"/>
        </w:rPr>
        <w:t>各</w:t>
      </w:r>
      <w:r>
        <w:rPr>
          <w:rFonts w:hint="eastAsia" w:ascii="仿宋_GB2312" w:hAnsi="宋体" w:cs="仿宋_GB2312"/>
          <w:kern w:val="0"/>
        </w:rPr>
        <w:t>区（</w:t>
      </w:r>
      <w:r>
        <w:rPr>
          <w:rFonts w:ascii="仿宋_GB2312" w:hAnsi="宋体" w:cs="仿宋_GB2312"/>
          <w:kern w:val="0"/>
        </w:rPr>
        <w:t>市</w:t>
      </w:r>
      <w:r>
        <w:rPr>
          <w:rFonts w:hint="eastAsia" w:ascii="仿宋_GB2312" w:hAnsi="宋体" w:cs="仿宋_GB2312"/>
          <w:kern w:val="0"/>
        </w:rPr>
        <w:t>）</w:t>
      </w:r>
      <w:r>
        <w:rPr>
          <w:rFonts w:ascii="仿宋_GB2312" w:hAnsi="宋体" w:cs="仿宋_GB2312"/>
          <w:color w:val="auto"/>
          <w:spacing w:val="0"/>
          <w:w w:val="100"/>
          <w:kern w:val="21"/>
          <w:sz w:val="32"/>
        </w:rPr>
        <w:t>人事考试机构</w:t>
      </w:r>
      <w:r>
        <w:rPr>
          <w:rFonts w:hint="eastAsia" w:ascii="仿宋_GB2312" w:hAnsi="宋体" w:cs="仿宋_GB2312"/>
          <w:color w:val="auto"/>
          <w:spacing w:val="0"/>
          <w:w w:val="100"/>
          <w:kern w:val="21"/>
          <w:sz w:val="32"/>
        </w:rPr>
        <w:t>规定核查</w:t>
      </w:r>
      <w:r>
        <w:rPr>
          <w:rFonts w:ascii="仿宋_GB2312" w:hAnsi="宋体" w:cs="仿宋_GB2312"/>
          <w:color w:val="auto"/>
          <w:spacing w:val="0"/>
          <w:w w:val="100"/>
          <w:kern w:val="21"/>
          <w:sz w:val="32"/>
        </w:rPr>
        <w:t>点</w:t>
      </w:r>
      <w:r>
        <w:rPr>
          <w:rFonts w:hint="eastAsia" w:ascii="仿宋_GB2312" w:hAnsi="宋体" w:cs="仿宋_GB2312"/>
          <w:kern w:val="0"/>
        </w:rPr>
        <w:t>（附件1）</w:t>
      </w:r>
      <w:r>
        <w:rPr>
          <w:rFonts w:ascii="仿宋_GB2312" w:hAnsi="宋体" w:cs="仿宋_GB2312"/>
          <w:color w:val="auto"/>
          <w:spacing w:val="0"/>
          <w:w w:val="100"/>
          <w:kern w:val="21"/>
          <w:sz w:val="32"/>
        </w:rPr>
        <w:t>接受</w:t>
      </w:r>
      <w:r>
        <w:rPr>
          <w:rFonts w:ascii="仿宋_GB2312" w:hAnsi="宋体" w:cs="仿宋_GB2312"/>
          <w:b/>
          <w:color w:val="auto"/>
          <w:spacing w:val="0"/>
          <w:w w:val="100"/>
          <w:kern w:val="21"/>
          <w:sz w:val="32"/>
        </w:rPr>
        <w:t>现场核查</w:t>
      </w:r>
      <w:r>
        <w:rPr>
          <w:rFonts w:hint="eastAsia" w:ascii="仿宋_GB2312" w:hAnsi="宋体" w:cs="仿宋_GB2312"/>
          <w:b/>
          <w:color w:val="auto"/>
          <w:spacing w:val="0"/>
          <w:w w:val="100"/>
          <w:kern w:val="21"/>
          <w:sz w:val="32"/>
        </w:rPr>
        <w:t>，</w:t>
      </w:r>
      <w:r>
        <w:rPr>
          <w:rFonts w:hint="eastAsia" w:ascii="仿宋_GB2312" w:hAnsi="宋体" w:cs="仿宋_GB2312"/>
          <w:color w:val="auto"/>
          <w:spacing w:val="0"/>
          <w:w w:val="100"/>
          <w:kern w:val="21"/>
          <w:sz w:val="32"/>
        </w:rPr>
        <w:t>核查通过后方可进行缴费</w:t>
      </w:r>
      <w:r>
        <w:rPr>
          <w:rFonts w:ascii="仿宋_GB2312" w:hAnsi="宋体" w:cs="仿宋_GB2312"/>
          <w:color w:val="auto"/>
          <w:spacing w:val="0"/>
          <w:w w:val="100"/>
          <w:kern w:val="21"/>
          <w:sz w:val="32"/>
        </w:rPr>
        <w:t>：</w:t>
      </w:r>
    </w:p>
    <w:p>
      <w:pPr>
        <w:widowControl w:val="0"/>
        <w:wordWrap/>
        <w:adjustRightInd w:val="0"/>
        <w:snapToGrid w:val="0"/>
        <w:spacing w:line="586" w:lineRule="exact"/>
        <w:ind w:firstLine="632" w:firstLineChars="200"/>
        <w:textAlignment w:val="auto"/>
        <w:rPr>
          <w:rFonts w:ascii="仿宋_GB2312" w:hAnsi="宋体" w:cs="仿宋_GB2312"/>
          <w:color w:val="auto"/>
          <w:spacing w:val="0"/>
          <w:w w:val="100"/>
          <w:kern w:val="21"/>
          <w:sz w:val="32"/>
        </w:rPr>
      </w:pPr>
      <w:r>
        <w:rPr>
          <w:rFonts w:hint="eastAsia" w:ascii="仿宋_GB2312" w:hAnsi="宋体" w:cs="仿宋_GB2312"/>
          <w:color w:val="auto"/>
          <w:spacing w:val="0"/>
          <w:w w:val="100"/>
          <w:kern w:val="21"/>
          <w:sz w:val="32"/>
        </w:rPr>
        <w:t>（1）在专业技术人员资格考试报名中存在不实承诺行为，或者因严重、特别严重违纪违规行为被记入专业技术人员资格考试诚信档案库且在记录期内的应试人员；</w:t>
      </w:r>
    </w:p>
    <w:p>
      <w:pPr>
        <w:widowControl w:val="0"/>
        <w:wordWrap/>
        <w:adjustRightInd w:val="0"/>
        <w:snapToGrid w:val="0"/>
        <w:spacing w:line="586" w:lineRule="exact"/>
        <w:ind w:firstLine="632" w:firstLineChars="200"/>
        <w:textAlignment w:val="auto"/>
        <w:rPr>
          <w:rFonts w:ascii="仿宋_GB2312" w:hAnsi="宋体" w:cs="仿宋_GB2312"/>
          <w:color w:val="auto"/>
          <w:spacing w:val="0"/>
          <w:w w:val="100"/>
          <w:kern w:val="21"/>
          <w:sz w:val="32"/>
        </w:rPr>
      </w:pPr>
      <w:r>
        <w:rPr>
          <w:rFonts w:hint="eastAsia" w:ascii="仿宋_GB2312" w:hAnsi="宋体" w:cs="仿宋_GB2312"/>
          <w:color w:val="auto"/>
          <w:spacing w:val="0"/>
          <w:w w:val="100"/>
          <w:kern w:val="21"/>
          <w:sz w:val="32"/>
        </w:rPr>
        <w:t>（2）不采用告知承诺制方式办理相关报名事项的应试人员；</w:t>
      </w:r>
    </w:p>
    <w:p>
      <w:pPr>
        <w:widowControl w:val="0"/>
        <w:wordWrap/>
        <w:adjustRightInd w:val="0"/>
        <w:snapToGrid w:val="0"/>
        <w:spacing w:line="586" w:lineRule="exact"/>
        <w:ind w:firstLine="632" w:firstLineChars="200"/>
        <w:textAlignment w:val="auto"/>
        <w:rPr>
          <w:rFonts w:ascii="仿宋_GB2312" w:hAnsi="宋体" w:cs="仿宋_GB2312"/>
          <w:color w:val="auto"/>
          <w:spacing w:val="0"/>
          <w:w w:val="100"/>
          <w:kern w:val="21"/>
          <w:sz w:val="32"/>
        </w:rPr>
      </w:pPr>
      <w:r>
        <w:rPr>
          <w:rFonts w:hint="eastAsia" w:ascii="仿宋_GB2312" w:hAnsi="宋体" w:cs="仿宋_GB2312"/>
          <w:color w:val="auto"/>
          <w:spacing w:val="0"/>
          <w:w w:val="100"/>
          <w:kern w:val="21"/>
          <w:sz w:val="32"/>
        </w:rPr>
        <w:t>（3）撤回承诺申请的应试人员。</w:t>
      </w:r>
    </w:p>
    <w:p>
      <w:pPr>
        <w:widowControl w:val="0"/>
        <w:wordWrap/>
        <w:adjustRightInd w:val="0"/>
        <w:snapToGrid w:val="0"/>
        <w:spacing w:line="586" w:lineRule="exact"/>
        <w:ind w:firstLine="632" w:firstLineChars="200"/>
        <w:textAlignment w:val="auto"/>
        <w:rPr>
          <w:rFonts w:ascii="仿宋_GB2312" w:hAnsi="仿宋_GB2312" w:cs="仿宋_GB2312"/>
          <w:color w:val="auto"/>
          <w:spacing w:val="0"/>
          <w:w w:val="100"/>
          <w:kern w:val="21"/>
          <w:sz w:val="32"/>
        </w:rPr>
      </w:pPr>
      <w:r>
        <w:rPr>
          <w:rFonts w:hint="eastAsia" w:ascii="仿宋_GB2312" w:hAnsi="仿宋_GB2312" w:cs="仿宋_GB2312"/>
          <w:color w:val="auto"/>
          <w:spacing w:val="0"/>
          <w:w w:val="100"/>
          <w:kern w:val="21"/>
          <w:sz w:val="32"/>
        </w:rPr>
        <w:t>上述应试人员现场核查需要提供的材料：</w:t>
      </w:r>
    </w:p>
    <w:p>
      <w:pPr>
        <w:widowControl w:val="0"/>
        <w:tabs>
          <w:tab w:val="left" w:pos="900"/>
        </w:tabs>
        <w:wordWrap/>
        <w:spacing w:line="586" w:lineRule="exact"/>
        <w:ind w:firstLine="632" w:firstLineChars="200"/>
        <w:textAlignment w:val="auto"/>
        <w:rPr>
          <w:rFonts w:ascii="仿宋_GB2312" w:hAnsi="宋体" w:cs="仿宋_GB2312"/>
          <w:color w:val="auto"/>
          <w:spacing w:val="0"/>
          <w:w w:val="100"/>
          <w:kern w:val="21"/>
          <w:sz w:val="32"/>
        </w:rPr>
      </w:pPr>
      <w:r>
        <w:rPr>
          <w:rFonts w:hint="eastAsia" w:ascii="仿宋_GB2312" w:hAnsi="宋体" w:cs="仿宋_GB2312"/>
          <w:color w:val="auto"/>
          <w:spacing w:val="0"/>
          <w:w w:val="100"/>
          <w:kern w:val="21"/>
          <w:sz w:val="32"/>
        </w:rPr>
        <w:t>（1）应试人员本人有效身份证原件；</w:t>
      </w:r>
    </w:p>
    <w:p>
      <w:pPr>
        <w:widowControl w:val="0"/>
        <w:tabs>
          <w:tab w:val="left" w:pos="900"/>
        </w:tabs>
        <w:wordWrap/>
        <w:spacing w:line="586" w:lineRule="exact"/>
        <w:ind w:firstLine="632" w:firstLineChars="200"/>
        <w:textAlignment w:val="auto"/>
        <w:rPr>
          <w:rFonts w:ascii="仿宋_GB2312" w:hAnsi="宋体" w:cs="仿宋_GB2312"/>
          <w:color w:val="auto"/>
          <w:spacing w:val="0"/>
          <w:w w:val="100"/>
          <w:kern w:val="21"/>
          <w:sz w:val="32"/>
        </w:rPr>
      </w:pPr>
      <w:r>
        <w:rPr>
          <w:rFonts w:hint="eastAsia" w:ascii="仿宋_GB2312" w:hAnsi="宋体" w:cs="仿宋_GB2312"/>
          <w:color w:val="auto"/>
          <w:spacing w:val="0"/>
          <w:w w:val="100"/>
          <w:kern w:val="21"/>
          <w:sz w:val="32"/>
        </w:rPr>
        <w:t>（2）学历（学位）证书原件；</w:t>
      </w:r>
    </w:p>
    <w:p>
      <w:pPr>
        <w:widowControl w:val="0"/>
        <w:tabs>
          <w:tab w:val="left" w:pos="900"/>
        </w:tabs>
        <w:wordWrap/>
        <w:spacing w:line="586" w:lineRule="exact"/>
        <w:ind w:firstLine="632" w:firstLineChars="200"/>
        <w:textAlignment w:val="auto"/>
        <w:rPr>
          <w:rFonts w:ascii="仿宋_GB2312" w:hAnsi="宋体" w:cs="仿宋_GB2312"/>
          <w:color w:val="auto"/>
          <w:spacing w:val="0"/>
          <w:w w:val="100"/>
          <w:kern w:val="21"/>
          <w:sz w:val="32"/>
        </w:rPr>
      </w:pPr>
      <w:r>
        <w:rPr>
          <w:rFonts w:hint="eastAsia" w:ascii="仿宋_GB2312" w:hAnsi="宋体" w:cs="仿宋_GB2312"/>
          <w:color w:val="auto"/>
          <w:spacing w:val="0"/>
          <w:w w:val="100"/>
          <w:kern w:val="21"/>
          <w:sz w:val="32"/>
        </w:rPr>
        <w:t>（3）从事相关专业工作年限证明；</w:t>
      </w:r>
    </w:p>
    <w:p>
      <w:pPr>
        <w:widowControl w:val="0"/>
        <w:wordWrap/>
        <w:spacing w:line="586" w:lineRule="exact"/>
        <w:ind w:firstLine="632" w:firstLineChars="200"/>
        <w:textAlignment w:val="auto"/>
        <w:rPr>
          <w:rFonts w:ascii="仿宋_GB2312" w:hAnsi="宋体" w:cs="宋体"/>
          <w:color w:val="auto"/>
          <w:spacing w:val="0"/>
          <w:w w:val="100"/>
          <w:kern w:val="21"/>
          <w:sz w:val="32"/>
        </w:rPr>
      </w:pPr>
      <w:r>
        <w:rPr>
          <w:rFonts w:hint="eastAsia" w:ascii="仿宋_GB2312" w:hAnsi="宋体" w:cs="宋体"/>
          <w:color w:val="auto"/>
          <w:spacing w:val="0"/>
          <w:w w:val="100"/>
          <w:kern w:val="21"/>
          <w:sz w:val="32"/>
        </w:rPr>
        <w:t>（4）所</w:t>
      </w:r>
      <w:r>
        <w:rPr>
          <w:rFonts w:ascii="仿宋_GB2312" w:hAnsi="宋体" w:cs="宋体"/>
          <w:color w:val="auto"/>
          <w:spacing w:val="0"/>
          <w:w w:val="100"/>
          <w:kern w:val="21"/>
          <w:sz w:val="32"/>
        </w:rPr>
        <w:t>有</w:t>
      </w:r>
      <w:r>
        <w:rPr>
          <w:rFonts w:hint="eastAsia" w:ascii="仿宋_GB2312" w:hAnsi="宋体" w:cs="宋体"/>
          <w:color w:val="auto"/>
          <w:spacing w:val="0"/>
          <w:w w:val="100"/>
          <w:kern w:val="21"/>
          <w:sz w:val="32"/>
        </w:rPr>
        <w:t>报考</w:t>
      </w:r>
      <w:r>
        <w:rPr>
          <w:rFonts w:ascii="仿宋_GB2312" w:hAnsi="宋体" w:cs="宋体"/>
          <w:color w:val="auto"/>
          <w:spacing w:val="0"/>
          <w:w w:val="100"/>
          <w:kern w:val="21"/>
          <w:sz w:val="32"/>
        </w:rPr>
        <w:t>高级</w:t>
      </w:r>
      <w:r>
        <w:rPr>
          <w:rFonts w:hint="eastAsia" w:ascii="仿宋_GB2312" w:hAnsi="宋体" w:cs="宋体"/>
          <w:color w:val="auto"/>
          <w:spacing w:val="0"/>
          <w:w w:val="100"/>
          <w:kern w:val="21"/>
          <w:sz w:val="32"/>
        </w:rPr>
        <w:t>统计及</w:t>
      </w:r>
      <w:r>
        <w:rPr>
          <w:rFonts w:hint="eastAsia" w:ascii="仿宋_GB2312" w:hAnsi="宋体"/>
          <w:color w:val="auto"/>
          <w:spacing w:val="0"/>
          <w:w w:val="100"/>
          <w:kern w:val="21"/>
          <w:sz w:val="32"/>
        </w:rPr>
        <w:t>使用普通</w:t>
      </w:r>
      <w:r>
        <w:rPr>
          <w:rFonts w:ascii="仿宋_GB2312" w:hAnsi="宋体"/>
          <w:color w:val="auto"/>
          <w:spacing w:val="0"/>
          <w:w w:val="100"/>
          <w:kern w:val="21"/>
          <w:sz w:val="32"/>
        </w:rPr>
        <w:t>高中</w:t>
      </w:r>
      <w:r>
        <w:rPr>
          <w:rFonts w:hint="eastAsia" w:ascii="仿宋_GB2312" w:hAnsi="宋体"/>
          <w:color w:val="auto"/>
          <w:spacing w:val="0"/>
          <w:w w:val="100"/>
          <w:kern w:val="21"/>
          <w:sz w:val="32"/>
        </w:rPr>
        <w:t>、</w:t>
      </w:r>
      <w:r>
        <w:rPr>
          <w:rFonts w:ascii="仿宋_GB2312" w:hAnsi="宋体"/>
          <w:color w:val="auto"/>
          <w:spacing w:val="0"/>
          <w:w w:val="100"/>
          <w:kern w:val="21"/>
          <w:sz w:val="32"/>
        </w:rPr>
        <w:t>中</w:t>
      </w:r>
      <w:r>
        <w:rPr>
          <w:rFonts w:hint="eastAsia" w:ascii="仿宋_GB2312" w:hAnsi="宋体"/>
          <w:color w:val="auto"/>
          <w:spacing w:val="0"/>
          <w:w w:val="100"/>
          <w:kern w:val="21"/>
          <w:sz w:val="32"/>
        </w:rPr>
        <w:t>职学校</w:t>
      </w:r>
      <w:r>
        <w:rPr>
          <w:rFonts w:ascii="仿宋_GB2312" w:hAnsi="宋体"/>
          <w:color w:val="auto"/>
          <w:spacing w:val="0"/>
          <w:w w:val="100"/>
          <w:kern w:val="21"/>
          <w:sz w:val="32"/>
        </w:rPr>
        <w:t>（</w:t>
      </w:r>
      <w:r>
        <w:rPr>
          <w:rFonts w:hint="eastAsia" w:ascii="仿宋_GB2312" w:hAnsi="宋体"/>
          <w:color w:val="auto"/>
          <w:spacing w:val="0"/>
          <w:w w:val="100"/>
          <w:kern w:val="21"/>
          <w:sz w:val="32"/>
        </w:rPr>
        <w:t>含</w:t>
      </w:r>
      <w:r>
        <w:rPr>
          <w:rFonts w:ascii="仿宋_GB2312" w:hAnsi="宋体"/>
          <w:color w:val="auto"/>
          <w:spacing w:val="0"/>
          <w:w w:val="100"/>
          <w:kern w:val="21"/>
          <w:sz w:val="32"/>
        </w:rPr>
        <w:t>技工学校）报考中级</w:t>
      </w:r>
      <w:r>
        <w:rPr>
          <w:rFonts w:hint="eastAsia" w:ascii="仿宋_GB2312" w:hAnsi="宋体"/>
          <w:color w:val="auto"/>
          <w:spacing w:val="0"/>
          <w:w w:val="100"/>
          <w:kern w:val="21"/>
          <w:sz w:val="32"/>
        </w:rPr>
        <w:t>统计所需</w:t>
      </w:r>
      <w:r>
        <w:rPr>
          <w:rFonts w:ascii="仿宋_GB2312" w:hAnsi="宋体"/>
          <w:color w:val="auto"/>
          <w:spacing w:val="0"/>
          <w:w w:val="100"/>
          <w:kern w:val="21"/>
          <w:sz w:val="32"/>
        </w:rPr>
        <w:t>的相</w:t>
      </w:r>
      <w:r>
        <w:rPr>
          <w:rFonts w:hint="eastAsia" w:ascii="仿宋_GB2312" w:hAnsi="宋体"/>
          <w:color w:val="auto"/>
          <w:spacing w:val="0"/>
          <w:w w:val="100"/>
          <w:kern w:val="21"/>
          <w:sz w:val="32"/>
        </w:rPr>
        <w:t>关证书</w:t>
      </w:r>
      <w:r>
        <w:rPr>
          <w:rFonts w:ascii="仿宋_GB2312" w:hAnsi="宋体"/>
          <w:color w:val="auto"/>
          <w:spacing w:val="0"/>
          <w:w w:val="100"/>
          <w:kern w:val="21"/>
          <w:sz w:val="32"/>
        </w:rPr>
        <w:t>（文件）</w:t>
      </w:r>
      <w:r>
        <w:rPr>
          <w:rFonts w:hint="eastAsia" w:ascii="仿宋_GB2312" w:hAnsi="宋体" w:cs="宋体"/>
          <w:color w:val="auto"/>
          <w:spacing w:val="0"/>
          <w:w w:val="100"/>
          <w:kern w:val="21"/>
          <w:sz w:val="32"/>
        </w:rPr>
        <w:t>。</w:t>
      </w:r>
    </w:p>
    <w:p>
      <w:pPr>
        <w:widowControl w:val="0"/>
        <w:wordWrap/>
        <w:adjustRightInd w:val="0"/>
        <w:snapToGrid w:val="0"/>
        <w:spacing w:line="586" w:lineRule="exact"/>
        <w:ind w:firstLine="632" w:firstLineChars="200"/>
        <w:textAlignment w:val="auto"/>
        <w:rPr>
          <w:rFonts w:ascii="仿宋_GB2312" w:hAnsi="宋体" w:cs="仿宋_GB2312"/>
          <w:color w:val="auto"/>
          <w:spacing w:val="0"/>
          <w:w w:val="100"/>
          <w:kern w:val="21"/>
          <w:sz w:val="32"/>
        </w:rPr>
      </w:pPr>
      <w:r>
        <w:rPr>
          <w:rFonts w:hint="eastAsia" w:ascii="仿宋_GB2312" w:hAnsi="宋体" w:cs="仿宋_GB2312"/>
          <w:color w:val="auto"/>
          <w:spacing w:val="0"/>
          <w:w w:val="100"/>
          <w:kern w:val="21"/>
          <w:sz w:val="32"/>
        </w:rPr>
        <w:t>2.以下四种情况的应试人员须在报名服务平台中上传本人有效身份证件电</w:t>
      </w:r>
      <w:r>
        <w:rPr>
          <w:rFonts w:ascii="仿宋_GB2312" w:hAnsi="宋体" w:cs="仿宋_GB2312"/>
          <w:color w:val="auto"/>
          <w:spacing w:val="0"/>
          <w:w w:val="100"/>
          <w:kern w:val="21"/>
          <w:sz w:val="32"/>
        </w:rPr>
        <w:t>子版</w:t>
      </w:r>
      <w:r>
        <w:rPr>
          <w:rFonts w:hint="eastAsia" w:ascii="仿宋_GB2312" w:hAnsi="宋体" w:cs="仿宋_GB2312"/>
          <w:color w:val="auto"/>
          <w:spacing w:val="0"/>
          <w:w w:val="100"/>
          <w:kern w:val="21"/>
          <w:sz w:val="32"/>
        </w:rPr>
        <w:t>、学历（学位）证书在</w:t>
      </w:r>
      <w:r>
        <w:rPr>
          <w:rFonts w:ascii="仿宋_GB2312" w:hAnsi="宋体" w:cs="仿宋_GB2312"/>
          <w:color w:val="auto"/>
          <w:spacing w:val="0"/>
          <w:w w:val="100"/>
          <w:kern w:val="21"/>
          <w:sz w:val="32"/>
        </w:rPr>
        <w:t>线验证</w:t>
      </w:r>
      <w:r>
        <w:rPr>
          <w:rFonts w:hint="eastAsia" w:ascii="仿宋_GB2312" w:hAnsi="宋体" w:cs="仿宋_GB2312"/>
          <w:color w:val="auto"/>
          <w:spacing w:val="0"/>
          <w:w w:val="100"/>
          <w:kern w:val="21"/>
          <w:sz w:val="32"/>
        </w:rPr>
        <w:t>/认</w:t>
      </w:r>
      <w:r>
        <w:rPr>
          <w:rFonts w:ascii="仿宋_GB2312" w:hAnsi="宋体" w:cs="仿宋_GB2312"/>
          <w:color w:val="auto"/>
          <w:spacing w:val="0"/>
          <w:w w:val="100"/>
          <w:kern w:val="21"/>
          <w:sz w:val="32"/>
        </w:rPr>
        <w:t>证报告</w:t>
      </w:r>
      <w:r>
        <w:rPr>
          <w:rFonts w:hint="eastAsia" w:ascii="仿宋_GB2312" w:hAnsi="宋体" w:cs="仿宋_GB2312"/>
          <w:color w:val="auto"/>
          <w:spacing w:val="0"/>
          <w:w w:val="100"/>
          <w:kern w:val="21"/>
          <w:sz w:val="32"/>
        </w:rPr>
        <w:t>PDF版(此</w:t>
      </w:r>
      <w:r>
        <w:rPr>
          <w:rFonts w:ascii="仿宋_GB2312" w:hAnsi="宋体" w:cs="仿宋_GB2312"/>
          <w:color w:val="auto"/>
          <w:spacing w:val="0"/>
          <w:w w:val="100"/>
          <w:kern w:val="21"/>
          <w:sz w:val="32"/>
        </w:rPr>
        <w:t>项</w:t>
      </w:r>
      <w:r>
        <w:rPr>
          <w:rFonts w:hint="eastAsia" w:ascii="仿宋_GB2312" w:hAnsi="宋体" w:cs="仿宋_GB2312"/>
          <w:color w:val="auto"/>
          <w:spacing w:val="0"/>
          <w:w w:val="100"/>
          <w:kern w:val="21"/>
          <w:sz w:val="32"/>
        </w:rPr>
        <w:t>仅大</w:t>
      </w:r>
      <w:r>
        <w:rPr>
          <w:rFonts w:ascii="仿宋_GB2312" w:hAnsi="宋体" w:cs="仿宋_GB2312"/>
          <w:color w:val="auto"/>
          <w:spacing w:val="0"/>
          <w:w w:val="100"/>
          <w:kern w:val="21"/>
          <w:sz w:val="32"/>
        </w:rPr>
        <w:t>专及以上高等</w:t>
      </w:r>
      <w:r>
        <w:rPr>
          <w:rFonts w:hint="eastAsia" w:ascii="仿宋_GB2312" w:hAnsi="宋体" w:cs="仿宋_GB2312"/>
          <w:color w:val="auto"/>
          <w:spacing w:val="0"/>
          <w:w w:val="100"/>
          <w:kern w:val="21"/>
          <w:sz w:val="32"/>
        </w:rPr>
        <w:t>教育</w:t>
      </w:r>
      <w:r>
        <w:rPr>
          <w:rFonts w:ascii="仿宋_GB2312" w:hAnsi="宋体" w:cs="仿宋_GB2312"/>
          <w:color w:val="auto"/>
          <w:spacing w:val="0"/>
          <w:w w:val="100"/>
          <w:kern w:val="21"/>
          <w:sz w:val="32"/>
        </w:rPr>
        <w:t>学</w:t>
      </w:r>
      <w:r>
        <w:rPr>
          <w:rFonts w:hint="eastAsia" w:ascii="仿宋_GB2312" w:hAnsi="宋体" w:cs="仿宋_GB2312"/>
          <w:color w:val="auto"/>
          <w:spacing w:val="0"/>
          <w:w w:val="100"/>
          <w:kern w:val="21"/>
          <w:sz w:val="32"/>
        </w:rPr>
        <w:t>历</w:t>
      </w:r>
      <w:r>
        <w:rPr>
          <w:rFonts w:ascii="仿宋_GB2312" w:hAnsi="宋体" w:cs="仿宋_GB2312"/>
          <w:color w:val="auto"/>
          <w:spacing w:val="0"/>
          <w:w w:val="100"/>
          <w:kern w:val="21"/>
          <w:sz w:val="32"/>
        </w:rPr>
        <w:t>学位</w:t>
      </w:r>
      <w:r>
        <w:rPr>
          <w:rFonts w:hint="eastAsia" w:ascii="仿宋_GB2312" w:hAnsi="宋体" w:cs="仿宋_GB2312"/>
          <w:color w:val="auto"/>
          <w:spacing w:val="0"/>
          <w:w w:val="100"/>
          <w:kern w:val="21"/>
          <w:sz w:val="32"/>
        </w:rPr>
        <w:t>的</w:t>
      </w:r>
      <w:r>
        <w:rPr>
          <w:rFonts w:ascii="仿宋_GB2312" w:hAnsi="宋体" w:cs="仿宋_GB2312"/>
          <w:color w:val="auto"/>
          <w:spacing w:val="0"/>
          <w:w w:val="100"/>
          <w:kern w:val="21"/>
          <w:sz w:val="32"/>
        </w:rPr>
        <w:t>应试</w:t>
      </w:r>
      <w:r>
        <w:rPr>
          <w:rFonts w:hint="eastAsia" w:ascii="仿宋_GB2312" w:hAnsi="宋体" w:cs="仿宋_GB2312"/>
          <w:color w:val="auto"/>
          <w:spacing w:val="0"/>
          <w:w w:val="100"/>
          <w:kern w:val="21"/>
          <w:sz w:val="32"/>
        </w:rPr>
        <w:t>人</w:t>
      </w:r>
      <w:r>
        <w:rPr>
          <w:rFonts w:ascii="仿宋_GB2312" w:hAnsi="宋体" w:cs="仿宋_GB2312"/>
          <w:color w:val="auto"/>
          <w:spacing w:val="0"/>
          <w:w w:val="100"/>
          <w:kern w:val="21"/>
          <w:sz w:val="32"/>
        </w:rPr>
        <w:t>员上传</w:t>
      </w:r>
      <w:r>
        <w:rPr>
          <w:rFonts w:hint="eastAsia" w:ascii="仿宋_GB2312" w:hAnsi="宋体" w:cs="仿宋_GB2312"/>
          <w:color w:val="auto"/>
          <w:spacing w:val="0"/>
          <w:w w:val="100"/>
          <w:kern w:val="21"/>
          <w:sz w:val="32"/>
        </w:rPr>
        <w:t>)</w:t>
      </w:r>
      <w:r>
        <w:rPr>
          <w:rFonts w:ascii="仿宋_GB2312" w:hAnsi="宋体" w:cs="仿宋_GB2312"/>
          <w:color w:val="auto"/>
          <w:spacing w:val="0"/>
          <w:w w:val="100"/>
          <w:kern w:val="21"/>
          <w:sz w:val="32"/>
        </w:rPr>
        <w:t>、</w:t>
      </w:r>
      <w:r>
        <w:rPr>
          <w:rFonts w:hint="eastAsia" w:ascii="仿宋_GB2312" w:hAnsi="宋体" w:cs="仿宋_GB2312"/>
          <w:color w:val="auto"/>
          <w:spacing w:val="0"/>
          <w:w w:val="100"/>
          <w:kern w:val="21"/>
          <w:sz w:val="32"/>
        </w:rPr>
        <w:t>学历证书</w:t>
      </w:r>
      <w:r>
        <w:rPr>
          <w:rFonts w:ascii="仿宋_GB2312" w:hAnsi="宋体" w:cs="仿宋_GB2312"/>
          <w:color w:val="auto"/>
          <w:spacing w:val="0"/>
          <w:w w:val="100"/>
          <w:kern w:val="21"/>
          <w:sz w:val="32"/>
        </w:rPr>
        <w:t>电子版（此项</w:t>
      </w:r>
      <w:r>
        <w:rPr>
          <w:rFonts w:hint="eastAsia" w:ascii="仿宋_GB2312" w:hAnsi="宋体" w:cs="仿宋_GB2312"/>
          <w:color w:val="auto"/>
          <w:spacing w:val="0"/>
          <w:w w:val="100"/>
          <w:kern w:val="21"/>
          <w:sz w:val="32"/>
        </w:rPr>
        <w:t>仅</w:t>
      </w:r>
      <w:r>
        <w:rPr>
          <w:rFonts w:hint="eastAsia" w:ascii="仿宋_GB2312" w:hAnsi="宋体"/>
          <w:color w:val="auto"/>
          <w:spacing w:val="0"/>
          <w:w w:val="100"/>
          <w:kern w:val="21"/>
          <w:sz w:val="32"/>
        </w:rPr>
        <w:t>普通</w:t>
      </w:r>
      <w:r>
        <w:rPr>
          <w:rFonts w:ascii="仿宋_GB2312" w:hAnsi="宋体"/>
          <w:color w:val="auto"/>
          <w:spacing w:val="0"/>
          <w:w w:val="100"/>
          <w:kern w:val="21"/>
          <w:sz w:val="32"/>
        </w:rPr>
        <w:t>高中</w:t>
      </w:r>
      <w:r>
        <w:rPr>
          <w:rFonts w:hint="eastAsia" w:ascii="仿宋_GB2312" w:hAnsi="宋体"/>
          <w:color w:val="auto"/>
          <w:spacing w:val="0"/>
          <w:w w:val="100"/>
          <w:kern w:val="21"/>
          <w:sz w:val="32"/>
        </w:rPr>
        <w:t>、</w:t>
      </w:r>
      <w:r>
        <w:rPr>
          <w:rFonts w:ascii="仿宋_GB2312" w:hAnsi="宋体"/>
          <w:color w:val="auto"/>
          <w:spacing w:val="0"/>
          <w:w w:val="100"/>
          <w:kern w:val="21"/>
          <w:sz w:val="32"/>
        </w:rPr>
        <w:t>中</w:t>
      </w:r>
      <w:r>
        <w:rPr>
          <w:rFonts w:hint="eastAsia" w:ascii="仿宋_GB2312" w:hAnsi="宋体"/>
          <w:color w:val="auto"/>
          <w:spacing w:val="0"/>
          <w:w w:val="100"/>
          <w:kern w:val="21"/>
          <w:sz w:val="32"/>
        </w:rPr>
        <w:t>职学校、</w:t>
      </w:r>
      <w:r>
        <w:rPr>
          <w:rFonts w:ascii="仿宋_GB2312" w:hAnsi="宋体"/>
          <w:color w:val="auto"/>
          <w:spacing w:val="0"/>
          <w:w w:val="100"/>
          <w:kern w:val="21"/>
          <w:sz w:val="32"/>
        </w:rPr>
        <w:t>技工学校</w:t>
      </w:r>
      <w:r>
        <w:rPr>
          <w:rFonts w:ascii="仿宋_GB2312" w:hAnsi="宋体" w:cs="仿宋_GB2312"/>
          <w:color w:val="auto"/>
          <w:spacing w:val="0"/>
          <w:w w:val="100"/>
          <w:kern w:val="21"/>
          <w:sz w:val="32"/>
        </w:rPr>
        <w:t>学历的应试人员上传）</w:t>
      </w:r>
      <w:r>
        <w:rPr>
          <w:rFonts w:hint="eastAsia" w:ascii="仿宋_GB2312" w:hAnsi="宋体" w:cs="仿宋_GB2312"/>
          <w:color w:val="auto"/>
          <w:spacing w:val="0"/>
          <w:w w:val="100"/>
          <w:kern w:val="21"/>
          <w:sz w:val="32"/>
        </w:rPr>
        <w:t>，由</w:t>
      </w:r>
      <w:r>
        <w:rPr>
          <w:rFonts w:ascii="仿宋_GB2312" w:hAnsi="宋体" w:cs="仿宋_GB2312"/>
          <w:kern w:val="0"/>
        </w:rPr>
        <w:t>各</w:t>
      </w:r>
      <w:r>
        <w:rPr>
          <w:rFonts w:hint="eastAsia" w:ascii="仿宋_GB2312" w:hAnsi="宋体" w:cs="仿宋_GB2312"/>
          <w:kern w:val="0"/>
        </w:rPr>
        <w:t>区（</w:t>
      </w:r>
      <w:r>
        <w:rPr>
          <w:rFonts w:ascii="仿宋_GB2312" w:hAnsi="宋体" w:cs="仿宋_GB2312"/>
          <w:kern w:val="0"/>
        </w:rPr>
        <w:t>市</w:t>
      </w:r>
      <w:r>
        <w:rPr>
          <w:rFonts w:hint="eastAsia" w:ascii="仿宋_GB2312" w:hAnsi="宋体" w:cs="仿宋_GB2312"/>
          <w:kern w:val="0"/>
        </w:rPr>
        <w:t>）</w:t>
      </w:r>
      <w:r>
        <w:rPr>
          <w:rFonts w:ascii="仿宋_GB2312" w:hAnsi="宋体" w:cs="仿宋_GB2312"/>
          <w:color w:val="auto"/>
          <w:spacing w:val="0"/>
          <w:w w:val="100"/>
          <w:kern w:val="21"/>
          <w:sz w:val="32"/>
        </w:rPr>
        <w:t>人事考试机构</w:t>
      </w:r>
      <w:r>
        <w:rPr>
          <w:rFonts w:hint="eastAsia" w:ascii="仿宋_GB2312" w:hAnsi="宋体" w:cs="仿宋_GB2312"/>
          <w:color w:val="auto"/>
          <w:spacing w:val="0"/>
          <w:w w:val="100"/>
          <w:kern w:val="21"/>
          <w:sz w:val="32"/>
        </w:rPr>
        <w:t>进行</w:t>
      </w:r>
      <w:r>
        <w:rPr>
          <w:rFonts w:hint="eastAsia" w:ascii="仿宋_GB2312" w:hAnsi="宋体" w:cs="仿宋_GB2312"/>
          <w:b/>
          <w:color w:val="auto"/>
          <w:spacing w:val="0"/>
          <w:w w:val="100"/>
          <w:kern w:val="21"/>
          <w:sz w:val="32"/>
        </w:rPr>
        <w:t>网上人</w:t>
      </w:r>
      <w:r>
        <w:rPr>
          <w:rFonts w:ascii="仿宋_GB2312" w:hAnsi="宋体" w:cs="仿宋_GB2312"/>
          <w:b/>
          <w:color w:val="auto"/>
          <w:spacing w:val="0"/>
          <w:w w:val="100"/>
          <w:kern w:val="21"/>
          <w:sz w:val="32"/>
        </w:rPr>
        <w:t>工核查</w:t>
      </w:r>
      <w:r>
        <w:rPr>
          <w:rFonts w:hint="eastAsia" w:ascii="仿宋_GB2312" w:hAnsi="宋体" w:cs="仿宋_GB2312"/>
          <w:b/>
          <w:color w:val="auto"/>
          <w:spacing w:val="0"/>
          <w:w w:val="100"/>
          <w:kern w:val="21"/>
          <w:sz w:val="32"/>
        </w:rPr>
        <w:t>，</w:t>
      </w:r>
      <w:r>
        <w:rPr>
          <w:rFonts w:hint="eastAsia" w:ascii="仿宋_GB2312" w:hAnsi="宋体" w:cs="仿宋_GB2312"/>
          <w:color w:val="auto"/>
          <w:spacing w:val="0"/>
          <w:w w:val="100"/>
          <w:kern w:val="21"/>
          <w:sz w:val="32"/>
        </w:rPr>
        <w:t>核查通过后方可进行缴费</w:t>
      </w:r>
      <w:r>
        <w:rPr>
          <w:rFonts w:ascii="仿宋_GB2312" w:hAnsi="宋体" w:cs="仿宋_GB2312"/>
          <w:color w:val="auto"/>
          <w:spacing w:val="0"/>
          <w:w w:val="100"/>
          <w:kern w:val="21"/>
          <w:sz w:val="32"/>
        </w:rPr>
        <w:t>：</w:t>
      </w:r>
    </w:p>
    <w:p>
      <w:pPr>
        <w:widowControl w:val="0"/>
        <w:wordWrap/>
        <w:adjustRightInd w:val="0"/>
        <w:snapToGrid w:val="0"/>
        <w:spacing w:line="586" w:lineRule="exact"/>
        <w:ind w:firstLine="632" w:firstLineChars="200"/>
        <w:textAlignment w:val="auto"/>
        <w:rPr>
          <w:rFonts w:ascii="仿宋_GB2312" w:hAnsi="宋体" w:cs="仿宋_GB2312"/>
          <w:color w:val="auto"/>
          <w:spacing w:val="0"/>
          <w:w w:val="100"/>
          <w:kern w:val="21"/>
          <w:sz w:val="32"/>
        </w:rPr>
      </w:pPr>
      <w:r>
        <w:rPr>
          <w:rFonts w:hint="eastAsia" w:ascii="仿宋_GB2312" w:hAnsi="宋体" w:cs="仿宋_GB2312"/>
          <w:color w:val="auto"/>
          <w:spacing w:val="0"/>
          <w:w w:val="100"/>
          <w:kern w:val="21"/>
          <w:sz w:val="32"/>
        </w:rPr>
        <w:t>（1）具有普通高</w:t>
      </w:r>
      <w:r>
        <w:rPr>
          <w:rFonts w:ascii="仿宋_GB2312" w:hAnsi="宋体" w:cs="仿宋_GB2312"/>
          <w:color w:val="auto"/>
          <w:spacing w:val="0"/>
          <w:w w:val="100"/>
          <w:kern w:val="21"/>
          <w:sz w:val="32"/>
        </w:rPr>
        <w:t>中、中职学校（含</w:t>
      </w:r>
      <w:r>
        <w:rPr>
          <w:rFonts w:hint="eastAsia" w:ascii="仿宋_GB2312" w:hAnsi="宋体" w:cs="仿宋_GB2312"/>
          <w:color w:val="auto"/>
          <w:spacing w:val="0"/>
          <w:w w:val="100"/>
          <w:kern w:val="21"/>
          <w:sz w:val="32"/>
        </w:rPr>
        <w:t>技工</w:t>
      </w:r>
      <w:r>
        <w:rPr>
          <w:rFonts w:ascii="仿宋_GB2312" w:hAnsi="宋体" w:cs="仿宋_GB2312"/>
          <w:color w:val="auto"/>
          <w:spacing w:val="0"/>
          <w:w w:val="100"/>
          <w:kern w:val="21"/>
          <w:sz w:val="32"/>
        </w:rPr>
        <w:t>学校）</w:t>
      </w:r>
      <w:r>
        <w:rPr>
          <w:rFonts w:hint="eastAsia" w:ascii="仿宋_GB2312" w:hAnsi="宋体" w:cs="仿宋_GB2312"/>
          <w:color w:val="auto"/>
          <w:spacing w:val="0"/>
          <w:w w:val="100"/>
          <w:kern w:val="21"/>
          <w:sz w:val="32"/>
        </w:rPr>
        <w:t>学历或2002年以前大专以上（含大专）学历的应试人员；</w:t>
      </w:r>
    </w:p>
    <w:p>
      <w:pPr>
        <w:widowControl w:val="0"/>
        <w:wordWrap/>
        <w:adjustRightInd w:val="0"/>
        <w:snapToGrid w:val="0"/>
        <w:spacing w:line="586" w:lineRule="exact"/>
        <w:ind w:firstLine="632" w:firstLineChars="200"/>
        <w:textAlignment w:val="auto"/>
        <w:rPr>
          <w:rFonts w:ascii="仿宋_GB2312" w:hAnsi="宋体" w:cs="仿宋_GB2312"/>
          <w:color w:val="auto"/>
          <w:spacing w:val="0"/>
          <w:w w:val="100"/>
          <w:kern w:val="21"/>
          <w:sz w:val="32"/>
        </w:rPr>
      </w:pPr>
      <w:r>
        <w:rPr>
          <w:rFonts w:hint="eastAsia" w:ascii="仿宋_GB2312" w:hAnsi="宋体" w:cs="仿宋_GB2312"/>
          <w:color w:val="auto"/>
          <w:spacing w:val="0"/>
          <w:w w:val="100"/>
          <w:kern w:val="21"/>
          <w:sz w:val="32"/>
        </w:rPr>
        <w:t>（2）2008年9月以前取得学位的应试人员；</w:t>
      </w:r>
    </w:p>
    <w:p>
      <w:pPr>
        <w:widowControl w:val="0"/>
        <w:wordWrap/>
        <w:adjustRightInd w:val="0"/>
        <w:snapToGrid w:val="0"/>
        <w:spacing w:line="586" w:lineRule="exact"/>
        <w:ind w:firstLine="632" w:firstLineChars="200"/>
        <w:textAlignment w:val="auto"/>
        <w:rPr>
          <w:rFonts w:ascii="仿宋_GB2312" w:hAnsi="宋体" w:cs="仿宋_GB2312"/>
          <w:color w:val="auto"/>
          <w:spacing w:val="0"/>
          <w:w w:val="100"/>
          <w:kern w:val="21"/>
          <w:sz w:val="32"/>
        </w:rPr>
      </w:pPr>
      <w:r>
        <w:rPr>
          <w:rFonts w:hint="eastAsia" w:ascii="仿宋_GB2312" w:hAnsi="宋体" w:cs="仿宋_GB2312"/>
          <w:color w:val="auto"/>
          <w:spacing w:val="0"/>
          <w:w w:val="100"/>
          <w:kern w:val="21"/>
          <w:sz w:val="32"/>
        </w:rPr>
        <w:t>（3）身份或学历学位信息未通过在线核验的应试人员；</w:t>
      </w:r>
    </w:p>
    <w:p>
      <w:pPr>
        <w:widowControl w:val="0"/>
        <w:wordWrap/>
        <w:adjustRightInd w:val="0"/>
        <w:snapToGrid w:val="0"/>
        <w:spacing w:line="586" w:lineRule="exact"/>
        <w:ind w:firstLine="632" w:firstLineChars="200"/>
        <w:textAlignment w:val="auto"/>
        <w:rPr>
          <w:rFonts w:ascii="仿宋_GB2312" w:hAnsi="宋体" w:cs="仿宋_GB2312"/>
          <w:color w:val="auto"/>
          <w:spacing w:val="0"/>
          <w:w w:val="100"/>
          <w:kern w:val="21"/>
          <w:sz w:val="32"/>
        </w:rPr>
      </w:pPr>
      <w:r>
        <w:rPr>
          <w:rFonts w:hint="eastAsia" w:ascii="仿宋_GB2312" w:hAnsi="宋体" w:cs="仿宋_GB2312"/>
          <w:color w:val="auto"/>
          <w:spacing w:val="0"/>
          <w:w w:val="100"/>
          <w:kern w:val="21"/>
          <w:sz w:val="32"/>
        </w:rPr>
        <w:t>（4）其他身份证件类型或境外学历学位等无法在线核验的应试人员。</w:t>
      </w:r>
    </w:p>
    <w:p>
      <w:pPr>
        <w:widowControl w:val="0"/>
        <w:wordWrap/>
        <w:spacing w:line="586" w:lineRule="exact"/>
        <w:ind w:firstLine="632" w:firstLineChars="200"/>
        <w:textAlignment w:val="auto"/>
        <w:rPr>
          <w:rFonts w:ascii="仿宋_GB2312"/>
          <w:color w:val="auto"/>
          <w:spacing w:val="0"/>
          <w:w w:val="100"/>
          <w:kern w:val="21"/>
          <w:sz w:val="32"/>
        </w:rPr>
      </w:pPr>
      <w:r>
        <w:rPr>
          <w:rFonts w:hint="eastAsia" w:ascii="仿宋_GB2312" w:hAnsi="宋体" w:cs="宋体"/>
          <w:color w:val="auto"/>
          <w:spacing w:val="0"/>
          <w:w w:val="100"/>
          <w:kern w:val="21"/>
          <w:sz w:val="32"/>
        </w:rPr>
        <w:t>3.</w:t>
      </w:r>
      <w:r>
        <w:rPr>
          <w:rFonts w:hint="eastAsia" w:ascii="仿宋_GB2312" w:hAnsi="宋体" w:cs="仿宋_GB2312"/>
          <w:color w:val="auto"/>
          <w:spacing w:val="0"/>
          <w:w w:val="100"/>
          <w:kern w:val="21"/>
          <w:sz w:val="32"/>
        </w:rPr>
        <w:t>普通高</w:t>
      </w:r>
      <w:r>
        <w:rPr>
          <w:rFonts w:ascii="仿宋_GB2312" w:hAnsi="宋体" w:cs="仿宋_GB2312"/>
          <w:color w:val="auto"/>
          <w:spacing w:val="0"/>
          <w:w w:val="100"/>
          <w:kern w:val="21"/>
          <w:sz w:val="32"/>
        </w:rPr>
        <w:t>中、中职学校（含</w:t>
      </w:r>
      <w:r>
        <w:rPr>
          <w:rFonts w:hint="eastAsia" w:ascii="仿宋_GB2312" w:hAnsi="宋体" w:cs="仿宋_GB2312"/>
          <w:color w:val="auto"/>
          <w:spacing w:val="0"/>
          <w:w w:val="100"/>
          <w:kern w:val="21"/>
          <w:sz w:val="32"/>
        </w:rPr>
        <w:t>技工</w:t>
      </w:r>
      <w:r>
        <w:rPr>
          <w:rFonts w:ascii="仿宋_GB2312" w:hAnsi="宋体" w:cs="仿宋_GB2312"/>
          <w:color w:val="auto"/>
          <w:spacing w:val="0"/>
          <w:w w:val="100"/>
          <w:kern w:val="21"/>
          <w:sz w:val="32"/>
        </w:rPr>
        <w:t>学校）</w:t>
      </w:r>
      <w:r>
        <w:rPr>
          <w:rFonts w:hint="eastAsia" w:ascii="仿宋_GB2312" w:hAnsi="宋体" w:cs="仿宋_GB2312"/>
          <w:color w:val="auto"/>
          <w:spacing w:val="0"/>
          <w:w w:val="100"/>
          <w:kern w:val="21"/>
          <w:sz w:val="32"/>
        </w:rPr>
        <w:t>毕业</w:t>
      </w:r>
      <w:r>
        <w:rPr>
          <w:rFonts w:hint="eastAsia" w:ascii="仿宋_GB2312"/>
          <w:color w:val="auto"/>
          <w:spacing w:val="0"/>
          <w:w w:val="100"/>
          <w:kern w:val="21"/>
          <w:sz w:val="32"/>
        </w:rPr>
        <w:t>使用资产</w:t>
      </w:r>
      <w:r>
        <w:rPr>
          <w:rFonts w:ascii="仿宋_GB2312"/>
          <w:color w:val="auto"/>
          <w:spacing w:val="0"/>
          <w:w w:val="100"/>
          <w:kern w:val="21"/>
          <w:sz w:val="32"/>
        </w:rPr>
        <w:t>评估师、</w:t>
      </w:r>
      <w:r>
        <w:rPr>
          <w:rFonts w:hint="eastAsia" w:ascii="仿宋_GB2312"/>
          <w:color w:val="auto"/>
          <w:spacing w:val="0"/>
          <w:w w:val="100"/>
          <w:kern w:val="21"/>
          <w:sz w:val="32"/>
        </w:rPr>
        <w:t>税务</w:t>
      </w:r>
      <w:r>
        <w:rPr>
          <w:rFonts w:ascii="仿宋_GB2312"/>
          <w:color w:val="auto"/>
          <w:spacing w:val="0"/>
          <w:w w:val="100"/>
          <w:kern w:val="21"/>
          <w:sz w:val="32"/>
        </w:rPr>
        <w:t>师等</w:t>
      </w:r>
      <w:r>
        <w:rPr>
          <w:rFonts w:hint="eastAsia" w:ascii="仿宋_GB2312"/>
          <w:color w:val="auto"/>
          <w:spacing w:val="0"/>
          <w:w w:val="100"/>
          <w:kern w:val="21"/>
          <w:sz w:val="32"/>
        </w:rPr>
        <w:t>其他</w:t>
      </w:r>
      <w:r>
        <w:rPr>
          <w:rFonts w:ascii="仿宋_GB2312"/>
          <w:color w:val="auto"/>
          <w:spacing w:val="0"/>
          <w:w w:val="100"/>
          <w:kern w:val="21"/>
          <w:sz w:val="32"/>
        </w:rPr>
        <w:t>初级职业资格</w:t>
      </w:r>
      <w:r>
        <w:rPr>
          <w:rFonts w:hint="eastAsia" w:ascii="仿宋_GB2312"/>
          <w:color w:val="auto"/>
          <w:spacing w:val="0"/>
          <w:w w:val="100"/>
          <w:kern w:val="21"/>
          <w:sz w:val="32"/>
        </w:rPr>
        <w:t>报名中</w:t>
      </w:r>
      <w:r>
        <w:rPr>
          <w:rFonts w:ascii="仿宋_GB2312"/>
          <w:color w:val="auto"/>
          <w:spacing w:val="0"/>
          <w:w w:val="100"/>
          <w:kern w:val="21"/>
          <w:sz w:val="32"/>
        </w:rPr>
        <w:t>级</w:t>
      </w:r>
      <w:r>
        <w:rPr>
          <w:rFonts w:hint="eastAsia" w:ascii="仿宋_GB2312"/>
          <w:color w:val="auto"/>
          <w:spacing w:val="0"/>
          <w:w w:val="100"/>
          <w:kern w:val="21"/>
          <w:sz w:val="32"/>
        </w:rPr>
        <w:t>统计资格</w:t>
      </w:r>
      <w:r>
        <w:rPr>
          <w:rFonts w:ascii="仿宋_GB2312"/>
          <w:color w:val="auto"/>
          <w:spacing w:val="0"/>
          <w:w w:val="100"/>
          <w:kern w:val="21"/>
          <w:sz w:val="32"/>
        </w:rPr>
        <w:t>考试</w:t>
      </w:r>
      <w:r>
        <w:rPr>
          <w:rFonts w:hint="eastAsia" w:ascii="仿宋_GB2312"/>
          <w:color w:val="auto"/>
          <w:spacing w:val="0"/>
          <w:w w:val="100"/>
          <w:kern w:val="21"/>
          <w:sz w:val="32"/>
        </w:rPr>
        <w:t>，</w:t>
      </w:r>
      <w:r>
        <w:rPr>
          <w:rFonts w:ascii="仿宋_GB2312"/>
          <w:color w:val="auto"/>
          <w:spacing w:val="0"/>
          <w:w w:val="100"/>
          <w:kern w:val="21"/>
          <w:sz w:val="32"/>
        </w:rPr>
        <w:t>须在报名期间</w:t>
      </w:r>
      <w:r>
        <w:rPr>
          <w:rFonts w:hint="eastAsia" w:ascii="仿宋_GB2312"/>
          <w:color w:val="auto"/>
          <w:spacing w:val="0"/>
          <w:w w:val="100"/>
          <w:kern w:val="21"/>
          <w:sz w:val="32"/>
        </w:rPr>
        <w:t>上</w:t>
      </w:r>
      <w:r>
        <w:rPr>
          <w:rFonts w:ascii="仿宋_GB2312"/>
          <w:color w:val="auto"/>
          <w:spacing w:val="0"/>
          <w:w w:val="100"/>
          <w:kern w:val="21"/>
          <w:sz w:val="32"/>
        </w:rPr>
        <w:t>传</w:t>
      </w:r>
      <w:r>
        <w:rPr>
          <w:rFonts w:hint="eastAsia" w:ascii="仿宋_GB2312"/>
          <w:color w:val="auto"/>
          <w:spacing w:val="0"/>
          <w:w w:val="100"/>
          <w:kern w:val="21"/>
          <w:sz w:val="32"/>
        </w:rPr>
        <w:t>相关</w:t>
      </w:r>
      <w:r>
        <w:rPr>
          <w:rFonts w:ascii="仿宋_GB2312"/>
          <w:color w:val="auto"/>
          <w:spacing w:val="0"/>
          <w:w w:val="100"/>
          <w:kern w:val="21"/>
          <w:sz w:val="32"/>
        </w:rPr>
        <w:t>初级</w:t>
      </w:r>
      <w:r>
        <w:rPr>
          <w:rFonts w:hint="eastAsia" w:ascii="仿宋_GB2312"/>
          <w:color w:val="auto"/>
          <w:spacing w:val="0"/>
          <w:w w:val="100"/>
          <w:kern w:val="21"/>
          <w:sz w:val="32"/>
        </w:rPr>
        <w:t>职业</w:t>
      </w:r>
      <w:r>
        <w:rPr>
          <w:rFonts w:ascii="仿宋_GB2312"/>
          <w:color w:val="auto"/>
          <w:spacing w:val="0"/>
          <w:w w:val="100"/>
          <w:kern w:val="21"/>
          <w:sz w:val="32"/>
        </w:rPr>
        <w:t>资格证书电子版，</w:t>
      </w:r>
      <w:r>
        <w:rPr>
          <w:rFonts w:hint="eastAsia" w:ascii="仿宋_GB2312" w:hAnsi="宋体" w:cs="仿宋_GB2312"/>
          <w:color w:val="auto"/>
          <w:spacing w:val="0"/>
          <w:w w:val="100"/>
          <w:kern w:val="21"/>
          <w:sz w:val="32"/>
        </w:rPr>
        <w:t>由</w:t>
      </w:r>
      <w:r>
        <w:rPr>
          <w:rFonts w:ascii="仿宋_GB2312" w:hAnsi="宋体" w:cs="仿宋_GB2312"/>
          <w:kern w:val="0"/>
        </w:rPr>
        <w:t>各</w:t>
      </w:r>
      <w:r>
        <w:rPr>
          <w:rFonts w:hint="eastAsia" w:ascii="仿宋_GB2312" w:hAnsi="宋体" w:cs="仿宋_GB2312"/>
          <w:kern w:val="0"/>
        </w:rPr>
        <w:t>区（</w:t>
      </w:r>
      <w:r>
        <w:rPr>
          <w:rFonts w:ascii="仿宋_GB2312" w:hAnsi="宋体" w:cs="仿宋_GB2312"/>
          <w:kern w:val="0"/>
        </w:rPr>
        <w:t>市</w:t>
      </w:r>
      <w:r>
        <w:rPr>
          <w:rFonts w:hint="eastAsia" w:ascii="仿宋_GB2312" w:hAnsi="宋体" w:cs="仿宋_GB2312"/>
          <w:kern w:val="0"/>
        </w:rPr>
        <w:t>）</w:t>
      </w:r>
      <w:r>
        <w:rPr>
          <w:rFonts w:ascii="仿宋_GB2312" w:hAnsi="宋体" w:cs="仿宋_GB2312"/>
          <w:color w:val="auto"/>
          <w:spacing w:val="0"/>
          <w:w w:val="100"/>
          <w:kern w:val="21"/>
          <w:sz w:val="32"/>
        </w:rPr>
        <w:t>人事考试机构</w:t>
      </w:r>
      <w:r>
        <w:rPr>
          <w:rFonts w:hint="eastAsia" w:ascii="仿宋_GB2312" w:hAnsi="宋体" w:cs="仿宋_GB2312"/>
          <w:color w:val="auto"/>
          <w:spacing w:val="0"/>
          <w:w w:val="100"/>
          <w:kern w:val="21"/>
          <w:sz w:val="32"/>
        </w:rPr>
        <w:t>进行</w:t>
      </w:r>
      <w:r>
        <w:rPr>
          <w:rFonts w:hint="eastAsia" w:ascii="仿宋_GB2312" w:hAnsi="宋体" w:cs="仿宋_GB2312"/>
          <w:b/>
          <w:color w:val="auto"/>
          <w:spacing w:val="0"/>
          <w:w w:val="100"/>
          <w:kern w:val="21"/>
          <w:sz w:val="32"/>
        </w:rPr>
        <w:t>网上</w:t>
      </w:r>
      <w:r>
        <w:rPr>
          <w:rFonts w:ascii="仿宋_GB2312" w:hAnsi="宋体" w:cs="仿宋_GB2312"/>
          <w:b/>
          <w:color w:val="auto"/>
          <w:spacing w:val="0"/>
          <w:w w:val="100"/>
          <w:kern w:val="21"/>
          <w:sz w:val="32"/>
        </w:rPr>
        <w:t>人工核查</w:t>
      </w:r>
      <w:r>
        <w:rPr>
          <w:rFonts w:hint="eastAsia" w:ascii="仿宋_GB2312" w:hAnsi="宋体" w:cs="仿宋_GB2312"/>
          <w:b/>
          <w:color w:val="auto"/>
          <w:spacing w:val="0"/>
          <w:w w:val="100"/>
          <w:kern w:val="21"/>
          <w:sz w:val="32"/>
        </w:rPr>
        <w:t>，</w:t>
      </w:r>
      <w:r>
        <w:rPr>
          <w:rFonts w:hint="eastAsia" w:ascii="仿宋_GB2312" w:hAnsi="仿宋_GB2312" w:cs="仿宋_GB2312"/>
          <w:color w:val="auto"/>
          <w:spacing w:val="0"/>
          <w:w w:val="100"/>
          <w:kern w:val="21"/>
          <w:sz w:val="32"/>
        </w:rPr>
        <w:t>核查通过后方可进行缴费</w:t>
      </w:r>
      <w:r>
        <w:rPr>
          <w:rFonts w:hint="eastAsia" w:ascii="仿宋_GB2312"/>
          <w:color w:val="auto"/>
          <w:spacing w:val="0"/>
          <w:w w:val="100"/>
          <w:kern w:val="21"/>
          <w:sz w:val="32"/>
        </w:rPr>
        <w:t>。</w:t>
      </w:r>
    </w:p>
    <w:p>
      <w:pPr>
        <w:widowControl w:val="0"/>
        <w:wordWrap/>
        <w:spacing w:line="586" w:lineRule="exact"/>
        <w:ind w:firstLine="632" w:firstLineChars="200"/>
        <w:textAlignment w:val="auto"/>
        <w:rPr>
          <w:rFonts w:ascii="仿宋_GB2312" w:hAnsi="仿宋_GB2312" w:cs="仿宋_GB2312"/>
          <w:color w:val="auto"/>
          <w:spacing w:val="0"/>
          <w:w w:val="100"/>
          <w:kern w:val="21"/>
          <w:sz w:val="32"/>
        </w:rPr>
      </w:pPr>
      <w:r>
        <w:rPr>
          <w:rFonts w:ascii="仿宋_GB2312" w:hAnsi="宋体" w:cs="仿宋_GB2312"/>
          <w:color w:val="auto"/>
          <w:spacing w:val="0"/>
          <w:w w:val="100"/>
          <w:kern w:val="21"/>
          <w:sz w:val="32"/>
        </w:rPr>
        <w:t>4</w:t>
      </w:r>
      <w:r>
        <w:rPr>
          <w:rFonts w:hint="eastAsia" w:ascii="仿宋_GB2312" w:hAnsi="宋体" w:cs="仿宋_GB2312"/>
          <w:color w:val="auto"/>
          <w:spacing w:val="0"/>
          <w:w w:val="100"/>
          <w:kern w:val="21"/>
          <w:sz w:val="32"/>
        </w:rPr>
        <w:t>.</w:t>
      </w:r>
      <w:r>
        <w:rPr>
          <w:rFonts w:hint="eastAsia" w:ascii="仿宋_GB2312" w:hAnsi="宋体" w:cs="仿宋_GB2312"/>
          <w:color w:val="auto"/>
          <w:spacing w:val="0"/>
          <w:w w:val="100"/>
          <w:kern w:val="21"/>
          <w:sz w:val="32"/>
          <w:szCs w:val="40"/>
        </w:rPr>
        <w:t>应试人员使用</w:t>
      </w:r>
      <w:r>
        <w:rPr>
          <w:rFonts w:ascii="仿宋_GB2312" w:hAnsi="宋体" w:cs="仿宋_GB2312"/>
          <w:color w:val="auto"/>
          <w:spacing w:val="0"/>
          <w:w w:val="100"/>
          <w:kern w:val="21"/>
          <w:sz w:val="32"/>
          <w:szCs w:val="40"/>
        </w:rPr>
        <w:t>统计、</w:t>
      </w:r>
      <w:r>
        <w:rPr>
          <w:rFonts w:hint="eastAsia" w:ascii="仿宋_GB2312" w:hAnsi="宋体" w:cs="仿宋_GB2312"/>
          <w:color w:val="auto"/>
          <w:spacing w:val="0"/>
          <w:w w:val="100"/>
          <w:kern w:val="21"/>
          <w:sz w:val="32"/>
          <w:szCs w:val="40"/>
        </w:rPr>
        <w:t>经济、会计</w:t>
      </w:r>
      <w:r>
        <w:rPr>
          <w:rFonts w:ascii="仿宋_GB2312" w:hAnsi="宋体" w:cs="仿宋_GB2312"/>
          <w:color w:val="auto"/>
          <w:spacing w:val="0"/>
          <w:w w:val="100"/>
          <w:kern w:val="21"/>
          <w:sz w:val="32"/>
          <w:szCs w:val="40"/>
        </w:rPr>
        <w:t>、审计中</w:t>
      </w:r>
      <w:r>
        <w:rPr>
          <w:rFonts w:hint="eastAsia" w:ascii="仿宋_GB2312" w:hAnsi="宋体" w:cs="仿宋_GB2312"/>
          <w:color w:val="auto"/>
          <w:spacing w:val="0"/>
          <w:w w:val="100"/>
          <w:kern w:val="21"/>
          <w:sz w:val="32"/>
          <w:szCs w:val="40"/>
        </w:rPr>
        <w:t>级</w:t>
      </w:r>
      <w:r>
        <w:rPr>
          <w:rFonts w:ascii="仿宋_GB2312" w:hAnsi="宋体" w:cs="仿宋_GB2312"/>
          <w:color w:val="auto"/>
          <w:spacing w:val="0"/>
          <w:w w:val="100"/>
          <w:kern w:val="21"/>
          <w:sz w:val="32"/>
          <w:szCs w:val="40"/>
        </w:rPr>
        <w:t>专业技术资格</w:t>
      </w:r>
      <w:r>
        <w:rPr>
          <w:rFonts w:hint="eastAsia" w:ascii="仿宋_GB2312" w:hAnsi="宋体" w:cs="仿宋_GB2312"/>
          <w:color w:val="auto"/>
          <w:spacing w:val="0"/>
          <w:w w:val="100"/>
          <w:kern w:val="21"/>
          <w:sz w:val="32"/>
          <w:szCs w:val="40"/>
        </w:rPr>
        <w:t>证书</w:t>
      </w:r>
      <w:r>
        <w:rPr>
          <w:rFonts w:ascii="仿宋_GB2312" w:hAnsi="宋体" w:cs="仿宋_GB2312"/>
          <w:color w:val="auto"/>
          <w:spacing w:val="0"/>
          <w:w w:val="100"/>
          <w:kern w:val="21"/>
          <w:sz w:val="32"/>
          <w:szCs w:val="40"/>
        </w:rPr>
        <w:t>报考（且系统</w:t>
      </w:r>
      <w:r>
        <w:rPr>
          <w:rFonts w:hint="eastAsia" w:ascii="仿宋_GB2312" w:hAnsi="宋体" w:cs="仿宋_GB2312"/>
          <w:color w:val="auto"/>
          <w:spacing w:val="0"/>
          <w:w w:val="100"/>
          <w:kern w:val="21"/>
          <w:sz w:val="32"/>
          <w:szCs w:val="40"/>
        </w:rPr>
        <w:t>对</w:t>
      </w:r>
      <w:r>
        <w:rPr>
          <w:rFonts w:ascii="仿宋_GB2312" w:hAnsi="宋体" w:cs="仿宋_GB2312"/>
          <w:color w:val="auto"/>
          <w:spacing w:val="0"/>
          <w:w w:val="100"/>
          <w:kern w:val="21"/>
          <w:sz w:val="32"/>
          <w:szCs w:val="40"/>
        </w:rPr>
        <w:t>该</w:t>
      </w:r>
      <w:r>
        <w:rPr>
          <w:rFonts w:hint="eastAsia" w:ascii="仿宋_GB2312" w:hAnsi="宋体" w:cs="仿宋_GB2312"/>
          <w:color w:val="auto"/>
          <w:spacing w:val="0"/>
          <w:w w:val="100"/>
          <w:kern w:val="21"/>
          <w:sz w:val="32"/>
          <w:szCs w:val="40"/>
        </w:rPr>
        <w:t>中</w:t>
      </w:r>
      <w:r>
        <w:rPr>
          <w:rFonts w:ascii="仿宋_GB2312" w:hAnsi="宋体" w:cs="仿宋_GB2312"/>
          <w:color w:val="auto"/>
          <w:spacing w:val="0"/>
          <w:w w:val="100"/>
          <w:kern w:val="21"/>
          <w:sz w:val="32"/>
          <w:szCs w:val="40"/>
        </w:rPr>
        <w:t>级资格信息核验未通过</w:t>
      </w:r>
      <w:r>
        <w:rPr>
          <w:rFonts w:hint="eastAsia" w:ascii="仿宋_GB2312" w:hAnsi="宋体" w:cs="仿宋_GB2312"/>
          <w:color w:val="auto"/>
          <w:spacing w:val="0"/>
          <w:w w:val="100"/>
          <w:kern w:val="21"/>
          <w:sz w:val="32"/>
          <w:szCs w:val="40"/>
        </w:rPr>
        <w:t>）以</w:t>
      </w:r>
      <w:r>
        <w:rPr>
          <w:rFonts w:ascii="仿宋_GB2312" w:hAnsi="宋体" w:cs="仿宋_GB2312"/>
          <w:color w:val="auto"/>
          <w:spacing w:val="0"/>
          <w:w w:val="100"/>
          <w:kern w:val="21"/>
          <w:sz w:val="32"/>
          <w:szCs w:val="40"/>
        </w:rPr>
        <w:t>及</w:t>
      </w:r>
      <w:r>
        <w:rPr>
          <w:rFonts w:hint="eastAsia" w:ascii="仿宋_GB2312" w:hAnsi="宋体" w:cs="仿宋_GB2312"/>
          <w:color w:val="auto"/>
          <w:spacing w:val="0"/>
          <w:w w:val="100"/>
          <w:kern w:val="21"/>
          <w:sz w:val="32"/>
          <w:szCs w:val="40"/>
        </w:rPr>
        <w:t>使用</w:t>
      </w:r>
      <w:r>
        <w:rPr>
          <w:rFonts w:ascii="仿宋_GB2312" w:hAnsi="宋体" w:cs="仿宋_GB2312"/>
          <w:color w:val="auto"/>
          <w:spacing w:val="0"/>
          <w:w w:val="100"/>
          <w:kern w:val="21"/>
          <w:sz w:val="32"/>
          <w:szCs w:val="40"/>
        </w:rPr>
        <w:t>其他职业资格证书报考</w:t>
      </w:r>
      <w:r>
        <w:rPr>
          <w:rFonts w:hint="eastAsia" w:ascii="仿宋_GB2312" w:hAnsi="宋体" w:cs="仿宋_GB2312"/>
          <w:color w:val="auto"/>
          <w:spacing w:val="0"/>
          <w:w w:val="100"/>
          <w:kern w:val="21"/>
          <w:sz w:val="32"/>
          <w:szCs w:val="40"/>
        </w:rPr>
        <w:t>高级</w:t>
      </w:r>
      <w:r>
        <w:rPr>
          <w:rFonts w:ascii="仿宋_GB2312" w:hAnsi="宋体" w:cs="仿宋_GB2312"/>
          <w:color w:val="auto"/>
          <w:spacing w:val="0"/>
          <w:w w:val="100"/>
          <w:kern w:val="21"/>
          <w:sz w:val="32"/>
          <w:szCs w:val="40"/>
        </w:rPr>
        <w:t>统计</w:t>
      </w:r>
      <w:r>
        <w:rPr>
          <w:rFonts w:hint="eastAsia" w:ascii="仿宋_GB2312" w:hAnsi="宋体" w:cs="仿宋_GB2312"/>
          <w:color w:val="auto"/>
          <w:spacing w:val="0"/>
          <w:w w:val="100"/>
          <w:kern w:val="21"/>
          <w:sz w:val="32"/>
          <w:szCs w:val="40"/>
        </w:rPr>
        <w:t>资格</w:t>
      </w:r>
      <w:r>
        <w:rPr>
          <w:rFonts w:ascii="仿宋_GB2312" w:hAnsi="宋体" w:cs="仿宋_GB2312"/>
          <w:color w:val="auto"/>
          <w:spacing w:val="0"/>
          <w:w w:val="100"/>
          <w:kern w:val="21"/>
          <w:sz w:val="32"/>
          <w:szCs w:val="40"/>
        </w:rPr>
        <w:t>考试的</w:t>
      </w:r>
      <w:r>
        <w:rPr>
          <w:rFonts w:hint="eastAsia" w:ascii="仿宋_GB2312" w:hAnsi="宋体" w:cs="仿宋_GB2312"/>
          <w:color w:val="auto"/>
          <w:spacing w:val="0"/>
          <w:w w:val="100"/>
          <w:kern w:val="21"/>
          <w:sz w:val="32"/>
          <w:szCs w:val="40"/>
        </w:rPr>
        <w:t>，须在报名期间按报名系统提示上传资格证书等相关材料。所</w:t>
      </w:r>
      <w:r>
        <w:rPr>
          <w:rFonts w:ascii="仿宋_GB2312" w:hAnsi="宋体" w:cs="仿宋_GB2312"/>
          <w:color w:val="auto"/>
          <w:spacing w:val="0"/>
          <w:w w:val="100"/>
          <w:kern w:val="21"/>
          <w:sz w:val="32"/>
          <w:szCs w:val="40"/>
        </w:rPr>
        <w:t>有</w:t>
      </w:r>
      <w:r>
        <w:rPr>
          <w:rFonts w:hint="eastAsia" w:ascii="仿宋_GB2312" w:hAnsi="宋体" w:cs="仿宋_GB2312"/>
          <w:color w:val="auto"/>
          <w:spacing w:val="0"/>
          <w:w w:val="100"/>
          <w:kern w:val="21"/>
          <w:sz w:val="32"/>
          <w:szCs w:val="40"/>
        </w:rPr>
        <w:t>使用中</w:t>
      </w:r>
      <w:r>
        <w:rPr>
          <w:rFonts w:ascii="仿宋_GB2312" w:hAnsi="宋体" w:cs="仿宋_GB2312"/>
          <w:color w:val="auto"/>
          <w:spacing w:val="0"/>
          <w:w w:val="100"/>
          <w:kern w:val="21"/>
          <w:sz w:val="32"/>
          <w:szCs w:val="40"/>
        </w:rPr>
        <w:t>级统计、经济</w:t>
      </w:r>
      <w:r>
        <w:rPr>
          <w:rFonts w:hint="eastAsia" w:ascii="仿宋_GB2312" w:hAnsi="宋体" w:cs="仿宋_GB2312"/>
          <w:color w:val="auto"/>
          <w:spacing w:val="0"/>
          <w:w w:val="100"/>
          <w:kern w:val="21"/>
          <w:sz w:val="32"/>
          <w:szCs w:val="40"/>
        </w:rPr>
        <w:t>、</w:t>
      </w:r>
      <w:r>
        <w:rPr>
          <w:rFonts w:ascii="仿宋_GB2312" w:hAnsi="宋体" w:cs="仿宋_GB2312"/>
          <w:color w:val="auto"/>
          <w:spacing w:val="0"/>
          <w:w w:val="100"/>
          <w:kern w:val="21"/>
          <w:sz w:val="32"/>
          <w:szCs w:val="40"/>
        </w:rPr>
        <w:t>会计、审计或其他职业资格证书报</w:t>
      </w:r>
      <w:r>
        <w:rPr>
          <w:rFonts w:hint="eastAsia" w:ascii="仿宋_GB2312" w:hAnsi="宋体" w:cs="仿宋_GB2312"/>
          <w:color w:val="auto"/>
          <w:spacing w:val="0"/>
          <w:w w:val="100"/>
          <w:kern w:val="21"/>
          <w:sz w:val="32"/>
          <w:szCs w:val="40"/>
        </w:rPr>
        <w:t>考高级</w:t>
      </w:r>
      <w:r>
        <w:rPr>
          <w:rFonts w:ascii="仿宋_GB2312" w:hAnsi="宋体" w:cs="仿宋_GB2312"/>
          <w:color w:val="auto"/>
          <w:spacing w:val="0"/>
          <w:w w:val="100"/>
          <w:kern w:val="21"/>
          <w:sz w:val="32"/>
          <w:szCs w:val="40"/>
        </w:rPr>
        <w:t>统计</w:t>
      </w:r>
      <w:r>
        <w:rPr>
          <w:rFonts w:hint="eastAsia" w:ascii="仿宋_GB2312" w:hAnsi="宋体" w:cs="仿宋_GB2312"/>
          <w:color w:val="auto"/>
          <w:spacing w:val="0"/>
          <w:w w:val="100"/>
          <w:kern w:val="21"/>
          <w:sz w:val="32"/>
          <w:szCs w:val="40"/>
        </w:rPr>
        <w:t>资格</w:t>
      </w:r>
      <w:r>
        <w:rPr>
          <w:rFonts w:ascii="仿宋_GB2312" w:hAnsi="宋体" w:cs="仿宋_GB2312"/>
          <w:color w:val="auto"/>
          <w:spacing w:val="0"/>
          <w:w w:val="100"/>
          <w:kern w:val="21"/>
          <w:sz w:val="32"/>
          <w:szCs w:val="40"/>
        </w:rPr>
        <w:t>考试的，均由</w:t>
      </w:r>
      <w:r>
        <w:rPr>
          <w:rFonts w:ascii="仿宋_GB2312" w:hAnsi="宋体" w:cs="仿宋_GB2312"/>
          <w:kern w:val="0"/>
        </w:rPr>
        <w:t>各</w:t>
      </w:r>
      <w:r>
        <w:rPr>
          <w:rFonts w:hint="eastAsia" w:ascii="仿宋_GB2312" w:hAnsi="宋体" w:cs="仿宋_GB2312"/>
          <w:kern w:val="0"/>
        </w:rPr>
        <w:t>区（</w:t>
      </w:r>
      <w:r>
        <w:rPr>
          <w:rFonts w:ascii="仿宋_GB2312" w:hAnsi="宋体" w:cs="仿宋_GB2312"/>
          <w:kern w:val="0"/>
        </w:rPr>
        <w:t>市</w:t>
      </w:r>
      <w:r>
        <w:rPr>
          <w:rFonts w:hint="eastAsia" w:ascii="仿宋_GB2312" w:hAnsi="宋体" w:cs="仿宋_GB2312"/>
          <w:kern w:val="0"/>
        </w:rPr>
        <w:t>）</w:t>
      </w:r>
      <w:r>
        <w:rPr>
          <w:rFonts w:hint="eastAsia" w:ascii="仿宋_GB2312" w:hAnsi="宋体" w:cs="仿宋_GB2312"/>
          <w:color w:val="auto"/>
          <w:spacing w:val="0"/>
          <w:w w:val="100"/>
          <w:kern w:val="21"/>
          <w:sz w:val="32"/>
          <w:szCs w:val="40"/>
        </w:rPr>
        <w:t>人事考试机构进行</w:t>
      </w:r>
      <w:r>
        <w:rPr>
          <w:rFonts w:hint="eastAsia" w:ascii="仿宋_GB2312" w:hAnsi="宋体" w:cs="仿宋_GB2312"/>
          <w:b/>
          <w:color w:val="auto"/>
          <w:spacing w:val="0"/>
          <w:w w:val="100"/>
          <w:kern w:val="21"/>
          <w:sz w:val="32"/>
          <w:szCs w:val="40"/>
        </w:rPr>
        <w:t>网上人工核查</w:t>
      </w:r>
      <w:r>
        <w:rPr>
          <w:rFonts w:hint="eastAsia" w:ascii="仿宋_GB2312" w:hAnsi="仿宋_GB2312" w:cs="仿宋_GB2312"/>
          <w:color w:val="auto"/>
          <w:spacing w:val="0"/>
          <w:w w:val="100"/>
          <w:kern w:val="21"/>
          <w:sz w:val="32"/>
          <w:szCs w:val="40"/>
        </w:rPr>
        <w:t>，应试人员务必</w:t>
      </w:r>
      <w:r>
        <w:rPr>
          <w:rFonts w:hint="eastAsia" w:ascii="仿宋_GB2312" w:hAnsi="宋体" w:cs="仿宋_GB2312"/>
          <w:color w:val="auto"/>
          <w:spacing w:val="0"/>
          <w:w w:val="100"/>
          <w:kern w:val="21"/>
          <w:sz w:val="32"/>
          <w:szCs w:val="40"/>
        </w:rPr>
        <w:t>于</w:t>
      </w:r>
      <w:r>
        <w:rPr>
          <w:rFonts w:ascii="仿宋_GB2312" w:hAnsi="宋体" w:cs="仿宋_GB2312"/>
          <w:color w:val="auto"/>
          <w:spacing w:val="0"/>
          <w:w w:val="100"/>
          <w:kern w:val="21"/>
          <w:sz w:val="32"/>
          <w:szCs w:val="40"/>
        </w:rPr>
        <w:t>4</w:t>
      </w:r>
      <w:r>
        <w:rPr>
          <w:rFonts w:hint="eastAsia" w:ascii="仿宋_GB2312" w:hAnsi="宋体" w:cs="仿宋_GB2312"/>
          <w:color w:val="auto"/>
          <w:spacing w:val="0"/>
          <w:w w:val="100"/>
          <w:kern w:val="21"/>
          <w:sz w:val="32"/>
          <w:szCs w:val="40"/>
        </w:rPr>
        <w:t>月</w:t>
      </w:r>
      <w:r>
        <w:rPr>
          <w:rFonts w:ascii="仿宋_GB2312" w:hAnsi="宋体" w:cs="仿宋_GB2312"/>
          <w:color w:val="auto"/>
          <w:spacing w:val="0"/>
          <w:w w:val="100"/>
          <w:kern w:val="21"/>
          <w:sz w:val="32"/>
          <w:szCs w:val="40"/>
        </w:rPr>
        <w:t>22</w:t>
      </w:r>
      <w:r>
        <w:rPr>
          <w:rFonts w:hint="eastAsia" w:ascii="仿宋_GB2312" w:hAnsi="宋体" w:cs="仿宋_GB2312"/>
          <w:color w:val="auto"/>
          <w:spacing w:val="0"/>
          <w:w w:val="100"/>
          <w:kern w:val="21"/>
          <w:sz w:val="32"/>
          <w:szCs w:val="40"/>
        </w:rPr>
        <w:t>日16:00前</w:t>
      </w:r>
      <w:r>
        <w:rPr>
          <w:rFonts w:hint="eastAsia" w:ascii="仿宋_GB2312" w:hAnsi="仿宋_GB2312" w:cs="仿宋_GB2312"/>
          <w:color w:val="auto"/>
          <w:spacing w:val="0"/>
          <w:w w:val="100"/>
          <w:kern w:val="21"/>
          <w:sz w:val="32"/>
          <w:szCs w:val="40"/>
        </w:rPr>
        <w:t>查询</w:t>
      </w:r>
      <w:r>
        <w:rPr>
          <w:rFonts w:hint="eastAsia" w:ascii="仿宋_GB2312" w:hAnsi="仿宋_GB2312" w:cs="仿宋_GB2312"/>
          <w:bCs/>
          <w:color w:val="auto"/>
          <w:spacing w:val="0"/>
          <w:w w:val="100"/>
          <w:kern w:val="21"/>
          <w:sz w:val="32"/>
          <w:szCs w:val="40"/>
        </w:rPr>
        <w:t>核查</w:t>
      </w:r>
      <w:r>
        <w:rPr>
          <w:rFonts w:hint="eastAsia" w:ascii="仿宋_GB2312" w:hAnsi="仿宋_GB2312" w:cs="仿宋_GB2312"/>
          <w:color w:val="auto"/>
          <w:spacing w:val="0"/>
          <w:w w:val="100"/>
          <w:kern w:val="21"/>
          <w:sz w:val="32"/>
          <w:szCs w:val="40"/>
        </w:rPr>
        <w:t>结果，核查通过后方可进行缴费。</w:t>
      </w:r>
      <w:r>
        <w:rPr>
          <w:rFonts w:hint="eastAsia" w:ascii="仿宋_GB2312" w:hAnsi="仿宋_GB2312" w:cs="仿宋_GB2312"/>
          <w:color w:val="auto"/>
          <w:spacing w:val="0"/>
          <w:w w:val="100"/>
          <w:kern w:val="21"/>
          <w:sz w:val="32"/>
        </w:rPr>
        <w:t>不适用告知承诺制</w:t>
      </w:r>
      <w:r>
        <w:rPr>
          <w:rFonts w:hint="eastAsia" w:ascii="仿宋_GB2312"/>
          <w:bCs/>
          <w:color w:val="auto"/>
          <w:spacing w:val="0"/>
          <w:w w:val="100"/>
          <w:kern w:val="21"/>
          <w:sz w:val="32"/>
        </w:rPr>
        <w:t>、不采用告知承诺制、撤回承诺申请</w:t>
      </w:r>
      <w:r>
        <w:rPr>
          <w:rFonts w:hint="eastAsia" w:ascii="仿宋_GB2312" w:hAnsi="仿宋_GB2312" w:cs="仿宋_GB2312"/>
          <w:color w:val="auto"/>
          <w:spacing w:val="0"/>
          <w:w w:val="100"/>
          <w:kern w:val="21"/>
          <w:sz w:val="32"/>
        </w:rPr>
        <w:t>的应试人员</w:t>
      </w:r>
      <w:r>
        <w:rPr>
          <w:rFonts w:hint="eastAsia" w:ascii="仿宋_GB2312"/>
          <w:bCs/>
          <w:color w:val="auto"/>
          <w:spacing w:val="0"/>
          <w:w w:val="100"/>
          <w:kern w:val="21"/>
          <w:sz w:val="32"/>
        </w:rPr>
        <w:t>，仍须</w:t>
      </w:r>
      <w:r>
        <w:rPr>
          <w:rFonts w:hint="eastAsia" w:ascii="仿宋_GB2312"/>
          <w:color w:val="auto"/>
          <w:spacing w:val="0"/>
          <w:w w:val="100"/>
          <w:kern w:val="21"/>
          <w:sz w:val="32"/>
        </w:rPr>
        <w:t>到</w:t>
      </w:r>
      <w:r>
        <w:rPr>
          <w:rFonts w:ascii="仿宋_GB2312" w:hAnsi="宋体" w:cs="仿宋_GB2312"/>
          <w:kern w:val="0"/>
        </w:rPr>
        <w:t>各</w:t>
      </w:r>
      <w:r>
        <w:rPr>
          <w:rFonts w:hint="eastAsia" w:ascii="仿宋_GB2312" w:hAnsi="宋体" w:cs="仿宋_GB2312"/>
          <w:kern w:val="0"/>
        </w:rPr>
        <w:t>区（</w:t>
      </w:r>
      <w:r>
        <w:rPr>
          <w:rFonts w:ascii="仿宋_GB2312" w:hAnsi="宋体" w:cs="仿宋_GB2312"/>
          <w:kern w:val="0"/>
        </w:rPr>
        <w:t>市</w:t>
      </w:r>
      <w:r>
        <w:rPr>
          <w:rFonts w:hint="eastAsia" w:ascii="仿宋_GB2312" w:hAnsi="宋体" w:cs="仿宋_GB2312"/>
          <w:kern w:val="0"/>
        </w:rPr>
        <w:t>）</w:t>
      </w:r>
      <w:r>
        <w:rPr>
          <w:rFonts w:hint="eastAsia" w:ascii="仿宋_GB2312"/>
          <w:color w:val="auto"/>
          <w:spacing w:val="0"/>
          <w:w w:val="100"/>
          <w:kern w:val="21"/>
          <w:sz w:val="32"/>
        </w:rPr>
        <w:t>人事考试机构规定核查点接受</w:t>
      </w:r>
      <w:r>
        <w:rPr>
          <w:rFonts w:hint="eastAsia" w:ascii="仿宋_GB2312"/>
          <w:b/>
          <w:color w:val="auto"/>
          <w:spacing w:val="0"/>
          <w:w w:val="100"/>
          <w:kern w:val="21"/>
          <w:sz w:val="32"/>
        </w:rPr>
        <w:t>现场核查</w:t>
      </w:r>
      <w:r>
        <w:rPr>
          <w:rFonts w:hint="eastAsia" w:ascii="仿宋_GB2312"/>
          <w:color w:val="auto"/>
          <w:spacing w:val="0"/>
          <w:w w:val="100"/>
          <w:kern w:val="21"/>
          <w:sz w:val="32"/>
        </w:rPr>
        <w:t>。</w:t>
      </w:r>
    </w:p>
    <w:p>
      <w:pPr>
        <w:widowControl w:val="0"/>
        <w:wordWrap/>
        <w:spacing w:line="586" w:lineRule="exact"/>
        <w:ind w:firstLine="632" w:firstLineChars="200"/>
        <w:textAlignment w:val="auto"/>
        <w:rPr>
          <w:rFonts w:ascii="仿宋_GB2312" w:hAnsi="宋体" w:cs="宋体"/>
          <w:color w:val="auto"/>
          <w:spacing w:val="0"/>
          <w:w w:val="100"/>
          <w:kern w:val="21"/>
          <w:sz w:val="32"/>
        </w:rPr>
      </w:pPr>
      <w:r>
        <w:rPr>
          <w:rFonts w:ascii="仿宋_GB2312"/>
          <w:color w:val="auto"/>
          <w:spacing w:val="0"/>
          <w:w w:val="100"/>
          <w:kern w:val="21"/>
          <w:sz w:val="32"/>
        </w:rPr>
        <w:t>5.</w:t>
      </w:r>
      <w:r>
        <w:rPr>
          <w:rFonts w:hint="eastAsia" w:ascii="仿宋_GB2312"/>
          <w:color w:val="auto"/>
          <w:spacing w:val="0"/>
          <w:w w:val="100"/>
          <w:kern w:val="21"/>
          <w:sz w:val="32"/>
        </w:rPr>
        <w:t>取</w:t>
      </w:r>
      <w:r>
        <w:rPr>
          <w:rFonts w:ascii="仿宋_GB2312"/>
          <w:color w:val="auto"/>
          <w:spacing w:val="0"/>
          <w:w w:val="100"/>
          <w:kern w:val="21"/>
          <w:sz w:val="32"/>
        </w:rPr>
        <w:t>得哲学社会科学研究</w:t>
      </w:r>
      <w:r>
        <w:rPr>
          <w:rFonts w:hint="eastAsia" w:ascii="仿宋_GB2312"/>
          <w:color w:val="auto"/>
          <w:spacing w:val="0"/>
          <w:w w:val="100"/>
          <w:kern w:val="21"/>
          <w:sz w:val="32"/>
        </w:rPr>
        <w:t>等</w:t>
      </w:r>
      <w:r>
        <w:rPr>
          <w:rFonts w:ascii="仿宋_GB2312"/>
          <w:color w:val="auto"/>
          <w:spacing w:val="0"/>
          <w:w w:val="100"/>
          <w:kern w:val="21"/>
          <w:sz w:val="32"/>
        </w:rPr>
        <w:t>与统计相近中级专业中级职称</w:t>
      </w:r>
      <w:r>
        <w:rPr>
          <w:rFonts w:hint="eastAsia" w:ascii="仿宋_GB2312"/>
          <w:color w:val="auto"/>
          <w:spacing w:val="0"/>
          <w:w w:val="100"/>
          <w:kern w:val="21"/>
          <w:sz w:val="32"/>
        </w:rPr>
        <w:t>报名高级统计</w:t>
      </w:r>
      <w:r>
        <w:rPr>
          <w:rFonts w:ascii="仿宋_GB2312"/>
          <w:color w:val="auto"/>
          <w:spacing w:val="0"/>
          <w:w w:val="100"/>
          <w:kern w:val="21"/>
          <w:sz w:val="32"/>
        </w:rPr>
        <w:t>资格</w:t>
      </w:r>
      <w:r>
        <w:rPr>
          <w:rFonts w:hint="eastAsia" w:ascii="仿宋_GB2312"/>
          <w:color w:val="auto"/>
          <w:spacing w:val="0"/>
          <w:w w:val="100"/>
          <w:kern w:val="21"/>
          <w:sz w:val="32"/>
        </w:rPr>
        <w:t>考试</w:t>
      </w:r>
      <w:r>
        <w:rPr>
          <w:rFonts w:ascii="仿宋_GB2312"/>
          <w:color w:val="auto"/>
          <w:spacing w:val="0"/>
          <w:w w:val="100"/>
          <w:kern w:val="21"/>
          <w:sz w:val="32"/>
        </w:rPr>
        <w:t>，</w:t>
      </w:r>
      <w:r>
        <w:rPr>
          <w:rFonts w:hint="eastAsia" w:ascii="仿宋_GB2312"/>
          <w:color w:val="auto"/>
          <w:spacing w:val="0"/>
          <w:w w:val="100"/>
          <w:kern w:val="21"/>
          <w:sz w:val="32"/>
        </w:rPr>
        <w:t>须在</w:t>
      </w:r>
      <w:r>
        <w:rPr>
          <w:rFonts w:ascii="仿宋_GB2312"/>
          <w:color w:val="auto"/>
          <w:spacing w:val="0"/>
          <w:w w:val="100"/>
          <w:kern w:val="21"/>
          <w:sz w:val="32"/>
        </w:rPr>
        <w:t>报名期间</w:t>
      </w:r>
      <w:r>
        <w:rPr>
          <w:rFonts w:hint="eastAsia" w:ascii="仿宋_GB2312"/>
          <w:color w:val="auto"/>
          <w:spacing w:val="0"/>
          <w:w w:val="100"/>
          <w:kern w:val="21"/>
          <w:sz w:val="32"/>
        </w:rPr>
        <w:t>按照系统</w:t>
      </w:r>
      <w:r>
        <w:rPr>
          <w:rFonts w:ascii="仿宋_GB2312"/>
          <w:color w:val="auto"/>
          <w:spacing w:val="0"/>
          <w:w w:val="100"/>
          <w:kern w:val="21"/>
          <w:sz w:val="32"/>
        </w:rPr>
        <w:t>提示</w:t>
      </w:r>
      <w:r>
        <w:rPr>
          <w:rFonts w:hint="eastAsia" w:ascii="仿宋_GB2312"/>
          <w:color w:val="auto"/>
          <w:spacing w:val="0"/>
          <w:w w:val="100"/>
          <w:kern w:val="21"/>
          <w:sz w:val="32"/>
        </w:rPr>
        <w:t>上传</w:t>
      </w:r>
      <w:r>
        <w:rPr>
          <w:rFonts w:ascii="仿宋_GB2312"/>
          <w:color w:val="auto"/>
          <w:spacing w:val="0"/>
          <w:w w:val="100"/>
          <w:kern w:val="21"/>
          <w:sz w:val="32"/>
        </w:rPr>
        <w:t>助理研究员</w:t>
      </w:r>
      <w:r>
        <w:rPr>
          <w:rFonts w:hint="eastAsia" w:ascii="仿宋_GB2312"/>
          <w:color w:val="auto"/>
          <w:spacing w:val="0"/>
          <w:w w:val="100"/>
          <w:kern w:val="21"/>
          <w:sz w:val="32"/>
        </w:rPr>
        <w:t>资格</w:t>
      </w:r>
      <w:r>
        <w:rPr>
          <w:rFonts w:ascii="仿宋_GB2312"/>
          <w:color w:val="auto"/>
          <w:spacing w:val="0"/>
          <w:w w:val="100"/>
          <w:kern w:val="21"/>
          <w:sz w:val="32"/>
        </w:rPr>
        <w:t>（职称）证书</w:t>
      </w:r>
      <w:r>
        <w:rPr>
          <w:rFonts w:hint="eastAsia" w:ascii="仿宋_GB2312"/>
          <w:color w:val="auto"/>
          <w:spacing w:val="0"/>
          <w:w w:val="100"/>
          <w:kern w:val="21"/>
          <w:sz w:val="32"/>
        </w:rPr>
        <w:t>或</w:t>
      </w:r>
      <w:r>
        <w:rPr>
          <w:rFonts w:ascii="仿宋_GB2312"/>
          <w:color w:val="auto"/>
          <w:spacing w:val="0"/>
          <w:w w:val="100"/>
          <w:kern w:val="21"/>
          <w:sz w:val="32"/>
        </w:rPr>
        <w:t>所在工作单位人事部门出具加盖公章的助理研究员评</w:t>
      </w:r>
      <w:r>
        <w:rPr>
          <w:rFonts w:hint="eastAsia" w:ascii="仿宋_GB2312"/>
          <w:color w:val="auto"/>
          <w:spacing w:val="0"/>
          <w:w w:val="100"/>
          <w:kern w:val="21"/>
          <w:sz w:val="32"/>
        </w:rPr>
        <w:t>（聘</w:t>
      </w:r>
      <w:r>
        <w:rPr>
          <w:rFonts w:ascii="仿宋_GB2312"/>
          <w:color w:val="auto"/>
          <w:spacing w:val="0"/>
          <w:w w:val="100"/>
          <w:kern w:val="21"/>
          <w:sz w:val="32"/>
        </w:rPr>
        <w:t>）文件</w:t>
      </w:r>
      <w:r>
        <w:rPr>
          <w:rFonts w:hint="eastAsia" w:ascii="仿宋_GB2312"/>
          <w:color w:val="auto"/>
          <w:spacing w:val="0"/>
          <w:w w:val="100"/>
          <w:kern w:val="21"/>
          <w:sz w:val="32"/>
        </w:rPr>
        <w:t>，并</w:t>
      </w:r>
      <w:r>
        <w:rPr>
          <w:rFonts w:hint="eastAsia" w:ascii="仿宋_GB2312" w:hAnsi="宋体" w:cs="仿宋_GB2312"/>
          <w:color w:val="auto"/>
          <w:spacing w:val="0"/>
          <w:w w:val="100"/>
          <w:kern w:val="21"/>
          <w:sz w:val="32"/>
        </w:rPr>
        <w:t>按照规定</w:t>
      </w:r>
      <w:r>
        <w:rPr>
          <w:rFonts w:ascii="仿宋_GB2312" w:hAnsi="宋体" w:cs="仿宋_GB2312"/>
          <w:color w:val="auto"/>
          <w:spacing w:val="0"/>
          <w:w w:val="100"/>
          <w:kern w:val="21"/>
          <w:sz w:val="32"/>
        </w:rPr>
        <w:t>时间到</w:t>
      </w:r>
      <w:r>
        <w:rPr>
          <w:rFonts w:ascii="仿宋_GB2312" w:hAnsi="宋体" w:cs="仿宋_GB2312"/>
          <w:kern w:val="0"/>
        </w:rPr>
        <w:t>各</w:t>
      </w:r>
      <w:r>
        <w:rPr>
          <w:rFonts w:hint="eastAsia" w:ascii="仿宋_GB2312" w:hAnsi="宋体" w:cs="仿宋_GB2312"/>
          <w:kern w:val="0"/>
        </w:rPr>
        <w:t>区（</w:t>
      </w:r>
      <w:r>
        <w:rPr>
          <w:rFonts w:ascii="仿宋_GB2312" w:hAnsi="宋体" w:cs="仿宋_GB2312"/>
          <w:kern w:val="0"/>
        </w:rPr>
        <w:t>市</w:t>
      </w:r>
      <w:r>
        <w:rPr>
          <w:rFonts w:hint="eastAsia" w:ascii="仿宋_GB2312" w:hAnsi="宋体" w:cs="仿宋_GB2312"/>
          <w:kern w:val="0"/>
        </w:rPr>
        <w:t>）</w:t>
      </w:r>
      <w:r>
        <w:rPr>
          <w:rFonts w:ascii="仿宋_GB2312" w:hAnsi="宋体" w:cs="仿宋_GB2312"/>
          <w:color w:val="auto"/>
          <w:spacing w:val="0"/>
          <w:w w:val="100"/>
          <w:kern w:val="21"/>
          <w:sz w:val="32"/>
        </w:rPr>
        <w:t>人事考试机构</w:t>
      </w:r>
      <w:r>
        <w:rPr>
          <w:rFonts w:hint="eastAsia" w:ascii="仿宋_GB2312" w:hAnsi="宋体" w:cs="仿宋_GB2312"/>
          <w:color w:val="auto"/>
          <w:spacing w:val="0"/>
          <w:w w:val="100"/>
          <w:kern w:val="21"/>
          <w:sz w:val="32"/>
        </w:rPr>
        <w:t>规定核查</w:t>
      </w:r>
      <w:r>
        <w:rPr>
          <w:rFonts w:ascii="仿宋_GB2312" w:hAnsi="宋体" w:cs="仿宋_GB2312"/>
          <w:color w:val="auto"/>
          <w:spacing w:val="0"/>
          <w:w w:val="100"/>
          <w:kern w:val="21"/>
          <w:sz w:val="32"/>
        </w:rPr>
        <w:t>点接受</w:t>
      </w:r>
      <w:r>
        <w:rPr>
          <w:rFonts w:ascii="仿宋_GB2312" w:hAnsi="宋体" w:cs="仿宋_GB2312"/>
          <w:b/>
          <w:color w:val="auto"/>
          <w:spacing w:val="0"/>
          <w:w w:val="100"/>
          <w:kern w:val="21"/>
          <w:sz w:val="32"/>
        </w:rPr>
        <w:t>现场核查</w:t>
      </w:r>
      <w:r>
        <w:rPr>
          <w:rFonts w:hint="eastAsia" w:ascii="仿宋_GB2312" w:hAnsi="宋体" w:cs="仿宋_GB2312"/>
          <w:b/>
          <w:color w:val="auto"/>
          <w:spacing w:val="0"/>
          <w:w w:val="100"/>
          <w:kern w:val="21"/>
          <w:sz w:val="32"/>
        </w:rPr>
        <w:t>，</w:t>
      </w:r>
      <w:r>
        <w:rPr>
          <w:rFonts w:hint="eastAsia" w:ascii="仿宋_GB2312" w:hAnsi="仿宋_GB2312" w:cs="仿宋_GB2312"/>
          <w:color w:val="auto"/>
          <w:spacing w:val="0"/>
          <w:w w:val="100"/>
          <w:kern w:val="21"/>
          <w:sz w:val="32"/>
        </w:rPr>
        <w:t>核查通过后方可进行缴费</w:t>
      </w:r>
      <w:r>
        <w:rPr>
          <w:rFonts w:hint="eastAsia" w:ascii="仿宋_GB2312"/>
          <w:color w:val="auto"/>
          <w:spacing w:val="0"/>
          <w:w w:val="100"/>
          <w:kern w:val="21"/>
          <w:sz w:val="32"/>
        </w:rPr>
        <w:t>。</w:t>
      </w:r>
      <w:r>
        <w:rPr>
          <w:rFonts w:hint="eastAsia" w:ascii="仿宋_GB2312" w:hAnsi="仿宋_GB2312" w:cs="仿宋_GB2312"/>
          <w:color w:val="auto"/>
          <w:spacing w:val="0"/>
          <w:w w:val="100"/>
          <w:kern w:val="21"/>
          <w:sz w:val="32"/>
        </w:rPr>
        <w:t>现场核查需要提供的材料：</w:t>
      </w:r>
    </w:p>
    <w:p>
      <w:pPr>
        <w:widowControl w:val="0"/>
        <w:tabs>
          <w:tab w:val="left" w:pos="900"/>
        </w:tabs>
        <w:wordWrap/>
        <w:spacing w:line="586" w:lineRule="exact"/>
        <w:ind w:firstLine="632" w:firstLineChars="200"/>
        <w:textAlignment w:val="auto"/>
        <w:rPr>
          <w:rFonts w:ascii="仿宋_GB2312" w:hAnsi="宋体" w:cs="仿宋_GB2312"/>
          <w:color w:val="auto"/>
          <w:spacing w:val="0"/>
          <w:w w:val="100"/>
          <w:kern w:val="21"/>
          <w:sz w:val="32"/>
        </w:rPr>
      </w:pPr>
      <w:r>
        <w:rPr>
          <w:rFonts w:hint="eastAsia" w:ascii="仿宋_GB2312" w:hAnsi="宋体" w:cs="仿宋_GB2312"/>
          <w:color w:val="auto"/>
          <w:spacing w:val="0"/>
          <w:w w:val="100"/>
          <w:kern w:val="21"/>
          <w:sz w:val="32"/>
        </w:rPr>
        <w:t>（1）应试人员本人有效身份证原件；</w:t>
      </w:r>
    </w:p>
    <w:p>
      <w:pPr>
        <w:widowControl w:val="0"/>
        <w:tabs>
          <w:tab w:val="left" w:pos="900"/>
        </w:tabs>
        <w:wordWrap/>
        <w:spacing w:line="586" w:lineRule="exact"/>
        <w:ind w:firstLine="632" w:firstLineChars="200"/>
        <w:textAlignment w:val="auto"/>
        <w:rPr>
          <w:rFonts w:ascii="仿宋_GB2312" w:hAnsi="宋体" w:cs="仿宋_GB2312"/>
          <w:color w:val="auto"/>
          <w:spacing w:val="0"/>
          <w:w w:val="100"/>
          <w:kern w:val="21"/>
          <w:sz w:val="32"/>
        </w:rPr>
      </w:pPr>
      <w:r>
        <w:rPr>
          <w:rFonts w:hint="eastAsia" w:ascii="仿宋_GB2312" w:hAnsi="宋体" w:cs="仿宋_GB2312"/>
          <w:color w:val="auto"/>
          <w:spacing w:val="0"/>
          <w:w w:val="100"/>
          <w:kern w:val="21"/>
          <w:sz w:val="32"/>
        </w:rPr>
        <w:t>（2）学历（学位）证书原件；</w:t>
      </w:r>
    </w:p>
    <w:p>
      <w:pPr>
        <w:widowControl w:val="0"/>
        <w:wordWrap/>
        <w:spacing w:line="586" w:lineRule="exact"/>
        <w:ind w:firstLine="632" w:firstLineChars="200"/>
        <w:textAlignment w:val="auto"/>
        <w:rPr>
          <w:rFonts w:ascii="仿宋_GB2312" w:hAnsi="宋体" w:cs="宋体"/>
          <w:color w:val="auto"/>
          <w:spacing w:val="0"/>
          <w:w w:val="100"/>
          <w:kern w:val="21"/>
          <w:sz w:val="32"/>
        </w:rPr>
      </w:pPr>
      <w:r>
        <w:rPr>
          <w:rFonts w:hint="eastAsia" w:ascii="仿宋_GB2312" w:hAnsi="宋体" w:cs="仿宋_GB2312"/>
          <w:color w:val="auto"/>
          <w:spacing w:val="0"/>
          <w:w w:val="100"/>
          <w:kern w:val="21"/>
          <w:sz w:val="32"/>
        </w:rPr>
        <w:t>（3）</w:t>
      </w:r>
      <w:r>
        <w:rPr>
          <w:rFonts w:ascii="仿宋_GB2312"/>
          <w:color w:val="auto"/>
          <w:spacing w:val="0"/>
          <w:w w:val="100"/>
          <w:kern w:val="21"/>
          <w:sz w:val="32"/>
        </w:rPr>
        <w:t>助理研究员</w:t>
      </w:r>
      <w:r>
        <w:rPr>
          <w:rFonts w:hint="eastAsia" w:ascii="仿宋_GB2312"/>
          <w:color w:val="auto"/>
          <w:spacing w:val="0"/>
          <w:w w:val="100"/>
          <w:kern w:val="21"/>
          <w:sz w:val="32"/>
        </w:rPr>
        <w:t>资格</w:t>
      </w:r>
      <w:r>
        <w:rPr>
          <w:rFonts w:ascii="仿宋_GB2312"/>
          <w:color w:val="auto"/>
          <w:spacing w:val="0"/>
          <w:w w:val="100"/>
          <w:kern w:val="21"/>
          <w:sz w:val="32"/>
        </w:rPr>
        <w:t>（职称）证书</w:t>
      </w:r>
      <w:r>
        <w:rPr>
          <w:rFonts w:hint="eastAsia" w:ascii="仿宋_GB2312"/>
          <w:color w:val="auto"/>
          <w:spacing w:val="0"/>
          <w:w w:val="100"/>
          <w:kern w:val="21"/>
          <w:sz w:val="32"/>
        </w:rPr>
        <w:t>或</w:t>
      </w:r>
      <w:r>
        <w:rPr>
          <w:rFonts w:ascii="仿宋_GB2312"/>
          <w:color w:val="auto"/>
          <w:spacing w:val="0"/>
          <w:w w:val="100"/>
          <w:kern w:val="21"/>
          <w:sz w:val="32"/>
        </w:rPr>
        <w:t>所在工作单位人事部门出具加盖公章的助理研究员评</w:t>
      </w:r>
      <w:r>
        <w:rPr>
          <w:rFonts w:hint="eastAsia" w:ascii="仿宋_GB2312"/>
          <w:color w:val="auto"/>
          <w:spacing w:val="0"/>
          <w:w w:val="100"/>
          <w:kern w:val="21"/>
          <w:sz w:val="32"/>
        </w:rPr>
        <w:t>（聘</w:t>
      </w:r>
      <w:r>
        <w:rPr>
          <w:rFonts w:ascii="仿宋_GB2312"/>
          <w:color w:val="auto"/>
          <w:spacing w:val="0"/>
          <w:w w:val="100"/>
          <w:kern w:val="21"/>
          <w:sz w:val="32"/>
        </w:rPr>
        <w:t>）文件</w:t>
      </w:r>
      <w:r>
        <w:rPr>
          <w:rFonts w:hint="eastAsia" w:ascii="仿宋_GB2312"/>
          <w:color w:val="auto"/>
          <w:spacing w:val="0"/>
          <w:w w:val="100"/>
          <w:kern w:val="21"/>
          <w:sz w:val="32"/>
        </w:rPr>
        <w:t>原件</w:t>
      </w:r>
      <w:r>
        <w:rPr>
          <w:rFonts w:hint="eastAsia" w:ascii="仿宋_GB2312" w:hAnsi="宋体" w:cs="宋体"/>
          <w:color w:val="auto"/>
          <w:spacing w:val="0"/>
          <w:w w:val="100"/>
          <w:kern w:val="21"/>
          <w:sz w:val="32"/>
        </w:rPr>
        <w:t>。</w:t>
      </w:r>
    </w:p>
    <w:p>
      <w:pPr>
        <w:widowControl w:val="0"/>
        <w:wordWrap/>
        <w:spacing w:line="586" w:lineRule="exact"/>
        <w:ind w:firstLine="632" w:firstLineChars="200"/>
        <w:textAlignment w:val="auto"/>
        <w:rPr>
          <w:rFonts w:ascii="仿宋_GB2312" w:hAnsi="宋体" w:cs="宋体"/>
          <w:color w:val="auto"/>
          <w:spacing w:val="0"/>
          <w:w w:val="100"/>
          <w:kern w:val="21"/>
          <w:sz w:val="32"/>
        </w:rPr>
      </w:pPr>
      <w:r>
        <w:rPr>
          <w:rFonts w:hint="eastAsia" w:ascii="仿宋_GB2312" w:hAnsi="宋体" w:cs="宋体"/>
          <w:color w:val="auto"/>
          <w:spacing w:val="0"/>
          <w:w w:val="100"/>
          <w:kern w:val="21"/>
          <w:sz w:val="32"/>
        </w:rPr>
        <w:t>6.</w:t>
      </w:r>
      <w:r>
        <w:rPr>
          <w:rFonts w:hint="eastAsia" w:ascii="仿宋_GB2312" w:hAnsi="宋体" w:cs="仿宋_GB2312"/>
          <w:color w:val="auto"/>
          <w:spacing w:val="0"/>
          <w:w w:val="100"/>
          <w:kern w:val="21"/>
          <w:sz w:val="32"/>
        </w:rPr>
        <w:t>获得应用统计专业硕士的人员报考中级统计专业技术资格考试免试一科的，应按系统提示上传应用统计专业硕士学位证书，</w:t>
      </w:r>
      <w:r>
        <w:rPr>
          <w:rFonts w:hint="eastAsia" w:ascii="仿宋_GB2312"/>
          <w:color w:val="auto"/>
          <w:spacing w:val="0"/>
          <w:w w:val="100"/>
          <w:kern w:val="21"/>
          <w:sz w:val="32"/>
        </w:rPr>
        <w:t>并</w:t>
      </w:r>
      <w:r>
        <w:rPr>
          <w:rFonts w:hint="eastAsia" w:ascii="仿宋_GB2312" w:hAnsi="宋体" w:cs="仿宋_GB2312"/>
          <w:color w:val="auto"/>
          <w:spacing w:val="0"/>
          <w:w w:val="100"/>
          <w:kern w:val="21"/>
          <w:sz w:val="32"/>
        </w:rPr>
        <w:t>按照规定</w:t>
      </w:r>
      <w:r>
        <w:rPr>
          <w:rFonts w:ascii="仿宋_GB2312" w:hAnsi="宋体" w:cs="仿宋_GB2312"/>
          <w:color w:val="auto"/>
          <w:spacing w:val="0"/>
          <w:w w:val="100"/>
          <w:kern w:val="21"/>
          <w:sz w:val="32"/>
        </w:rPr>
        <w:t>时间到</w:t>
      </w:r>
      <w:r>
        <w:rPr>
          <w:rFonts w:ascii="仿宋_GB2312" w:hAnsi="宋体" w:cs="仿宋_GB2312"/>
          <w:kern w:val="0"/>
        </w:rPr>
        <w:t>各</w:t>
      </w:r>
      <w:r>
        <w:rPr>
          <w:rFonts w:hint="eastAsia" w:ascii="仿宋_GB2312" w:hAnsi="宋体" w:cs="仿宋_GB2312"/>
          <w:kern w:val="0"/>
        </w:rPr>
        <w:t>区（</w:t>
      </w:r>
      <w:r>
        <w:rPr>
          <w:rFonts w:ascii="仿宋_GB2312" w:hAnsi="宋体" w:cs="仿宋_GB2312"/>
          <w:kern w:val="0"/>
        </w:rPr>
        <w:t>市</w:t>
      </w:r>
      <w:r>
        <w:rPr>
          <w:rFonts w:hint="eastAsia" w:ascii="仿宋_GB2312" w:hAnsi="宋体" w:cs="仿宋_GB2312"/>
          <w:kern w:val="0"/>
        </w:rPr>
        <w:t>）</w:t>
      </w:r>
      <w:r>
        <w:rPr>
          <w:rFonts w:ascii="仿宋_GB2312" w:hAnsi="宋体" w:cs="仿宋_GB2312"/>
          <w:color w:val="auto"/>
          <w:spacing w:val="0"/>
          <w:w w:val="100"/>
          <w:kern w:val="21"/>
          <w:sz w:val="32"/>
        </w:rPr>
        <w:t>人事考试机构</w:t>
      </w:r>
      <w:r>
        <w:rPr>
          <w:rFonts w:hint="eastAsia" w:ascii="仿宋_GB2312" w:hAnsi="宋体" w:cs="仿宋_GB2312"/>
          <w:color w:val="auto"/>
          <w:spacing w:val="0"/>
          <w:w w:val="100"/>
          <w:kern w:val="21"/>
          <w:sz w:val="32"/>
        </w:rPr>
        <w:t>规定核查</w:t>
      </w:r>
      <w:r>
        <w:rPr>
          <w:rFonts w:ascii="仿宋_GB2312" w:hAnsi="宋体" w:cs="仿宋_GB2312"/>
          <w:color w:val="auto"/>
          <w:spacing w:val="0"/>
          <w:w w:val="100"/>
          <w:kern w:val="21"/>
          <w:sz w:val="32"/>
        </w:rPr>
        <w:t>点接受</w:t>
      </w:r>
      <w:r>
        <w:rPr>
          <w:rFonts w:ascii="仿宋_GB2312" w:hAnsi="宋体" w:cs="仿宋_GB2312"/>
          <w:b/>
          <w:color w:val="auto"/>
          <w:spacing w:val="0"/>
          <w:w w:val="100"/>
          <w:kern w:val="21"/>
          <w:sz w:val="32"/>
        </w:rPr>
        <w:t>现场核查</w:t>
      </w:r>
      <w:r>
        <w:rPr>
          <w:rFonts w:hint="eastAsia" w:ascii="仿宋_GB2312" w:hAnsi="宋体" w:cs="仿宋_GB2312"/>
          <w:b/>
          <w:color w:val="auto"/>
          <w:spacing w:val="0"/>
          <w:w w:val="100"/>
          <w:kern w:val="21"/>
          <w:sz w:val="32"/>
        </w:rPr>
        <w:t>，</w:t>
      </w:r>
      <w:r>
        <w:rPr>
          <w:rFonts w:hint="eastAsia" w:ascii="仿宋_GB2312" w:hAnsi="仿宋_GB2312" w:cs="仿宋_GB2312"/>
          <w:color w:val="auto"/>
          <w:spacing w:val="0"/>
          <w:w w:val="100"/>
          <w:kern w:val="21"/>
          <w:sz w:val="32"/>
        </w:rPr>
        <w:t>核查通过后方可进行缴费</w:t>
      </w:r>
      <w:r>
        <w:rPr>
          <w:rFonts w:hint="eastAsia" w:ascii="仿宋_GB2312"/>
          <w:color w:val="auto"/>
          <w:spacing w:val="0"/>
          <w:w w:val="100"/>
          <w:kern w:val="21"/>
          <w:sz w:val="32"/>
        </w:rPr>
        <w:t>。</w:t>
      </w:r>
      <w:r>
        <w:rPr>
          <w:rFonts w:hint="eastAsia" w:ascii="仿宋_GB2312" w:hAnsi="仿宋_GB2312" w:cs="仿宋_GB2312"/>
          <w:color w:val="auto"/>
          <w:spacing w:val="0"/>
          <w:w w:val="100"/>
          <w:kern w:val="21"/>
          <w:sz w:val="32"/>
        </w:rPr>
        <w:t>现场核查需要提供的材料：</w:t>
      </w:r>
    </w:p>
    <w:p>
      <w:pPr>
        <w:widowControl w:val="0"/>
        <w:tabs>
          <w:tab w:val="left" w:pos="900"/>
        </w:tabs>
        <w:wordWrap/>
        <w:spacing w:line="586" w:lineRule="exact"/>
        <w:ind w:firstLine="632" w:firstLineChars="200"/>
        <w:textAlignment w:val="auto"/>
        <w:rPr>
          <w:rFonts w:ascii="仿宋_GB2312" w:hAnsi="宋体" w:cs="仿宋_GB2312"/>
          <w:color w:val="auto"/>
          <w:spacing w:val="0"/>
          <w:w w:val="100"/>
          <w:kern w:val="21"/>
          <w:sz w:val="32"/>
        </w:rPr>
      </w:pPr>
      <w:r>
        <w:rPr>
          <w:rFonts w:hint="eastAsia" w:ascii="仿宋_GB2312" w:hAnsi="宋体" w:cs="仿宋_GB2312"/>
          <w:color w:val="auto"/>
          <w:spacing w:val="0"/>
          <w:w w:val="100"/>
          <w:kern w:val="21"/>
          <w:sz w:val="32"/>
        </w:rPr>
        <w:t>（1）应试人员本人有效身份证原件；</w:t>
      </w:r>
    </w:p>
    <w:p>
      <w:pPr>
        <w:widowControl w:val="0"/>
        <w:tabs>
          <w:tab w:val="left" w:pos="900"/>
        </w:tabs>
        <w:wordWrap/>
        <w:spacing w:line="586" w:lineRule="exact"/>
        <w:ind w:firstLine="632" w:firstLineChars="200"/>
        <w:textAlignment w:val="auto"/>
        <w:rPr>
          <w:rFonts w:ascii="仿宋_GB2312" w:hAnsi="宋体" w:cs="仿宋_GB2312"/>
          <w:color w:val="auto"/>
          <w:spacing w:val="0"/>
          <w:w w:val="100"/>
          <w:kern w:val="21"/>
          <w:sz w:val="32"/>
        </w:rPr>
      </w:pPr>
      <w:r>
        <w:rPr>
          <w:rFonts w:hint="eastAsia" w:ascii="仿宋_GB2312" w:hAnsi="宋体" w:cs="仿宋_GB2312"/>
          <w:color w:val="auto"/>
          <w:spacing w:val="0"/>
          <w:w w:val="100"/>
          <w:kern w:val="21"/>
          <w:sz w:val="32"/>
        </w:rPr>
        <w:t>（2）</w:t>
      </w:r>
      <w:r>
        <w:rPr>
          <w:rFonts w:hint="eastAsia" w:ascii="仿宋_GB2312"/>
          <w:color w:val="auto"/>
          <w:spacing w:val="0"/>
          <w:w w:val="100"/>
          <w:kern w:val="21"/>
          <w:sz w:val="32"/>
        </w:rPr>
        <w:t>应用统计</w:t>
      </w:r>
      <w:r>
        <w:rPr>
          <w:rFonts w:ascii="仿宋_GB2312"/>
          <w:color w:val="auto"/>
          <w:spacing w:val="0"/>
          <w:w w:val="100"/>
          <w:kern w:val="21"/>
          <w:sz w:val="32"/>
        </w:rPr>
        <w:t>专业硕士</w:t>
      </w:r>
      <w:r>
        <w:rPr>
          <w:rFonts w:hint="eastAsia" w:ascii="仿宋_GB2312"/>
          <w:color w:val="auto"/>
          <w:spacing w:val="0"/>
          <w:w w:val="100"/>
          <w:kern w:val="21"/>
          <w:sz w:val="32"/>
        </w:rPr>
        <w:t>学位</w:t>
      </w:r>
      <w:r>
        <w:rPr>
          <w:rFonts w:hint="eastAsia" w:ascii="仿宋_GB2312" w:hAnsi="宋体" w:cs="仿宋_GB2312"/>
          <w:color w:val="auto"/>
          <w:spacing w:val="0"/>
          <w:w w:val="100"/>
          <w:kern w:val="21"/>
          <w:sz w:val="32"/>
        </w:rPr>
        <w:t>证书原件。</w:t>
      </w:r>
    </w:p>
    <w:p>
      <w:pPr>
        <w:widowControl w:val="0"/>
        <w:wordWrap/>
        <w:adjustRightInd w:val="0"/>
        <w:snapToGrid w:val="0"/>
        <w:spacing w:line="586" w:lineRule="exact"/>
        <w:ind w:firstLine="632" w:firstLineChars="200"/>
        <w:textAlignment w:val="auto"/>
        <w:rPr>
          <w:rFonts w:ascii="仿宋_GB2312" w:hAnsi="仿宋_GB2312" w:cs="仿宋_GB2312"/>
          <w:color w:val="auto"/>
          <w:spacing w:val="0"/>
          <w:w w:val="100"/>
          <w:kern w:val="21"/>
          <w:sz w:val="32"/>
        </w:rPr>
      </w:pPr>
      <w:r>
        <w:rPr>
          <w:rFonts w:hint="eastAsia" w:ascii="仿宋_GB2312" w:hAnsi="宋体" w:cs="宋体"/>
          <w:color w:val="auto"/>
          <w:spacing w:val="0"/>
          <w:w w:val="100"/>
          <w:kern w:val="21"/>
          <w:sz w:val="32"/>
        </w:rPr>
        <w:t>7.使用其他系列副高级以上职称报考高级统计资格考试的，应按系统提示上传相应职称证书（证明），</w:t>
      </w:r>
      <w:r>
        <w:rPr>
          <w:rFonts w:hint="eastAsia" w:ascii="仿宋_GB2312"/>
          <w:color w:val="auto"/>
          <w:spacing w:val="0"/>
          <w:w w:val="100"/>
          <w:kern w:val="21"/>
          <w:sz w:val="32"/>
        </w:rPr>
        <w:t>并</w:t>
      </w:r>
      <w:r>
        <w:rPr>
          <w:rFonts w:hint="eastAsia" w:ascii="仿宋_GB2312" w:hAnsi="宋体" w:cs="仿宋_GB2312"/>
          <w:color w:val="auto"/>
          <w:spacing w:val="0"/>
          <w:w w:val="100"/>
          <w:kern w:val="21"/>
          <w:sz w:val="32"/>
        </w:rPr>
        <w:t>按照规定</w:t>
      </w:r>
      <w:r>
        <w:rPr>
          <w:rFonts w:ascii="仿宋_GB2312" w:hAnsi="宋体" w:cs="仿宋_GB2312"/>
          <w:color w:val="auto"/>
          <w:spacing w:val="0"/>
          <w:w w:val="100"/>
          <w:kern w:val="21"/>
          <w:sz w:val="32"/>
        </w:rPr>
        <w:t>时间到</w:t>
      </w:r>
      <w:r>
        <w:rPr>
          <w:rFonts w:ascii="仿宋_GB2312" w:hAnsi="宋体" w:cs="仿宋_GB2312"/>
          <w:kern w:val="0"/>
        </w:rPr>
        <w:t>各</w:t>
      </w:r>
      <w:r>
        <w:rPr>
          <w:rFonts w:hint="eastAsia" w:ascii="仿宋_GB2312" w:hAnsi="宋体" w:cs="仿宋_GB2312"/>
          <w:kern w:val="0"/>
        </w:rPr>
        <w:t>区（</w:t>
      </w:r>
      <w:r>
        <w:rPr>
          <w:rFonts w:ascii="仿宋_GB2312" w:hAnsi="宋体" w:cs="仿宋_GB2312"/>
          <w:kern w:val="0"/>
        </w:rPr>
        <w:t>市</w:t>
      </w:r>
      <w:r>
        <w:rPr>
          <w:rFonts w:hint="eastAsia" w:ascii="仿宋_GB2312" w:hAnsi="宋体" w:cs="仿宋_GB2312"/>
          <w:kern w:val="0"/>
        </w:rPr>
        <w:t>）</w:t>
      </w:r>
      <w:r>
        <w:rPr>
          <w:rFonts w:ascii="仿宋_GB2312" w:hAnsi="宋体" w:cs="仿宋_GB2312"/>
          <w:color w:val="auto"/>
          <w:spacing w:val="0"/>
          <w:w w:val="100"/>
          <w:kern w:val="21"/>
          <w:sz w:val="32"/>
        </w:rPr>
        <w:t>人事考试机构</w:t>
      </w:r>
      <w:r>
        <w:rPr>
          <w:rFonts w:hint="eastAsia" w:ascii="仿宋_GB2312" w:hAnsi="宋体" w:cs="仿宋_GB2312"/>
          <w:color w:val="auto"/>
          <w:spacing w:val="0"/>
          <w:w w:val="100"/>
          <w:kern w:val="21"/>
          <w:sz w:val="32"/>
        </w:rPr>
        <w:t>规定核查</w:t>
      </w:r>
      <w:r>
        <w:rPr>
          <w:rFonts w:ascii="仿宋_GB2312" w:hAnsi="宋体" w:cs="仿宋_GB2312"/>
          <w:color w:val="auto"/>
          <w:spacing w:val="0"/>
          <w:w w:val="100"/>
          <w:kern w:val="21"/>
          <w:sz w:val="32"/>
        </w:rPr>
        <w:t>点接受</w:t>
      </w:r>
      <w:r>
        <w:rPr>
          <w:rFonts w:ascii="仿宋_GB2312" w:hAnsi="宋体" w:cs="仿宋_GB2312"/>
          <w:b/>
          <w:color w:val="auto"/>
          <w:spacing w:val="0"/>
          <w:w w:val="100"/>
          <w:kern w:val="21"/>
          <w:sz w:val="32"/>
        </w:rPr>
        <w:t>现场核查</w:t>
      </w:r>
      <w:r>
        <w:rPr>
          <w:rFonts w:hint="eastAsia" w:ascii="仿宋_GB2312" w:hAnsi="宋体" w:cs="仿宋_GB2312"/>
          <w:b/>
          <w:color w:val="auto"/>
          <w:spacing w:val="0"/>
          <w:w w:val="100"/>
          <w:kern w:val="21"/>
          <w:sz w:val="32"/>
        </w:rPr>
        <w:t>，</w:t>
      </w:r>
      <w:r>
        <w:rPr>
          <w:rFonts w:hint="eastAsia" w:ascii="仿宋_GB2312" w:hAnsi="仿宋_GB2312" w:cs="仿宋_GB2312"/>
          <w:color w:val="auto"/>
          <w:spacing w:val="0"/>
          <w:w w:val="100"/>
          <w:kern w:val="21"/>
          <w:sz w:val="32"/>
        </w:rPr>
        <w:t>核查通过后方可进行缴费</w:t>
      </w:r>
      <w:r>
        <w:rPr>
          <w:rFonts w:hint="eastAsia" w:ascii="仿宋_GB2312"/>
          <w:color w:val="auto"/>
          <w:spacing w:val="0"/>
          <w:w w:val="100"/>
          <w:kern w:val="21"/>
          <w:sz w:val="32"/>
        </w:rPr>
        <w:t>。</w:t>
      </w:r>
      <w:r>
        <w:rPr>
          <w:rFonts w:hint="eastAsia" w:ascii="仿宋_GB2312" w:hAnsi="仿宋_GB2312" w:cs="仿宋_GB2312"/>
          <w:color w:val="auto"/>
          <w:spacing w:val="0"/>
          <w:w w:val="100"/>
          <w:kern w:val="21"/>
          <w:sz w:val="32"/>
        </w:rPr>
        <w:t>现场核查需要提供的材料：</w:t>
      </w:r>
    </w:p>
    <w:p>
      <w:pPr>
        <w:widowControl w:val="0"/>
        <w:tabs>
          <w:tab w:val="left" w:pos="900"/>
        </w:tabs>
        <w:wordWrap/>
        <w:spacing w:line="586" w:lineRule="exact"/>
        <w:ind w:firstLine="632" w:firstLineChars="200"/>
        <w:textAlignment w:val="auto"/>
        <w:rPr>
          <w:rFonts w:ascii="仿宋_GB2312" w:hAnsi="宋体" w:cs="仿宋_GB2312"/>
          <w:color w:val="auto"/>
          <w:spacing w:val="0"/>
          <w:w w:val="100"/>
          <w:kern w:val="21"/>
          <w:sz w:val="32"/>
        </w:rPr>
      </w:pPr>
      <w:r>
        <w:rPr>
          <w:rFonts w:hint="eastAsia" w:ascii="仿宋_GB2312" w:hAnsi="宋体" w:cs="仿宋_GB2312"/>
          <w:color w:val="auto"/>
          <w:spacing w:val="0"/>
          <w:w w:val="100"/>
          <w:kern w:val="21"/>
          <w:sz w:val="32"/>
        </w:rPr>
        <w:t>（1）应试人员本人有效身份证原件；</w:t>
      </w:r>
    </w:p>
    <w:p>
      <w:pPr>
        <w:widowControl w:val="0"/>
        <w:wordWrap/>
        <w:adjustRightInd w:val="0"/>
        <w:snapToGrid w:val="0"/>
        <w:spacing w:line="586" w:lineRule="exact"/>
        <w:ind w:firstLine="632" w:firstLineChars="200"/>
        <w:textAlignment w:val="auto"/>
        <w:rPr>
          <w:rFonts w:ascii="仿宋_GB2312" w:hAnsi="宋体" w:cs="宋体"/>
          <w:color w:val="auto"/>
          <w:spacing w:val="0"/>
          <w:w w:val="100"/>
          <w:kern w:val="21"/>
          <w:sz w:val="32"/>
          <w:highlight w:val="none"/>
        </w:rPr>
      </w:pPr>
      <w:r>
        <w:rPr>
          <w:rFonts w:hint="eastAsia" w:ascii="仿宋_GB2312" w:hAnsi="宋体" w:cs="仿宋_GB2312"/>
          <w:color w:val="auto"/>
          <w:spacing w:val="0"/>
          <w:w w:val="100"/>
          <w:kern w:val="21"/>
          <w:sz w:val="32"/>
          <w:highlight w:val="none"/>
        </w:rPr>
        <w:t>（2）其他</w:t>
      </w:r>
      <w:r>
        <w:rPr>
          <w:rFonts w:ascii="仿宋_GB2312" w:hAnsi="宋体" w:cs="仿宋_GB2312"/>
          <w:color w:val="auto"/>
          <w:spacing w:val="0"/>
          <w:w w:val="100"/>
          <w:kern w:val="21"/>
          <w:sz w:val="32"/>
          <w:highlight w:val="none"/>
        </w:rPr>
        <w:t>系列副高级以上</w:t>
      </w:r>
      <w:r>
        <w:rPr>
          <w:rFonts w:hint="eastAsia" w:ascii="仿宋_GB2312" w:hAnsi="宋体" w:cs="宋体"/>
          <w:color w:val="auto"/>
          <w:spacing w:val="0"/>
          <w:w w:val="100"/>
          <w:kern w:val="21"/>
          <w:sz w:val="32"/>
          <w:highlight w:val="none"/>
        </w:rPr>
        <w:t>职称证书（证明）原件。</w:t>
      </w:r>
    </w:p>
    <w:p>
      <w:pPr>
        <w:spacing w:line="560" w:lineRule="exact"/>
        <w:ind w:firstLine="632" w:firstLineChars="200"/>
        <w:rPr>
          <w:rFonts w:hint="eastAsia" w:ascii="仿宋_GB2312"/>
          <w:highlight w:val="none"/>
        </w:rPr>
      </w:pPr>
      <w:r>
        <w:rPr>
          <w:rFonts w:hint="eastAsia" w:ascii="仿宋_GB2312"/>
          <w:highlight w:val="none"/>
          <w:lang w:val="en-US" w:eastAsia="zh-CN"/>
        </w:rPr>
        <w:t>8</w:t>
      </w:r>
      <w:r>
        <w:rPr>
          <w:rFonts w:hint="eastAsia" w:ascii="仿宋_GB2312"/>
          <w:highlight w:val="none"/>
        </w:rPr>
        <w:t>.应试人员上传材料无法辨别真伪或其他需要到现场的情形，</w:t>
      </w:r>
      <w:r>
        <w:rPr>
          <w:rFonts w:ascii="仿宋_GB2312" w:hAnsi="宋体" w:cs="仿宋_GB2312"/>
          <w:kern w:val="0"/>
          <w:highlight w:val="none"/>
        </w:rPr>
        <w:t>各</w:t>
      </w:r>
      <w:r>
        <w:rPr>
          <w:rFonts w:hint="eastAsia" w:ascii="仿宋_GB2312" w:hAnsi="宋体" w:cs="仿宋_GB2312"/>
          <w:kern w:val="0"/>
          <w:highlight w:val="none"/>
        </w:rPr>
        <w:t>区（</w:t>
      </w:r>
      <w:r>
        <w:rPr>
          <w:rFonts w:ascii="仿宋_GB2312" w:hAnsi="宋体" w:cs="仿宋_GB2312"/>
          <w:kern w:val="0"/>
          <w:highlight w:val="none"/>
        </w:rPr>
        <w:t>市</w:t>
      </w:r>
      <w:r>
        <w:rPr>
          <w:rFonts w:hint="eastAsia" w:ascii="仿宋_GB2312" w:hAnsi="宋体" w:cs="仿宋_GB2312"/>
          <w:kern w:val="0"/>
          <w:highlight w:val="none"/>
        </w:rPr>
        <w:t>）</w:t>
      </w:r>
      <w:r>
        <w:rPr>
          <w:rFonts w:ascii="仿宋_GB2312" w:hAnsi="宋体" w:cs="仿宋_GB2312"/>
          <w:kern w:val="0"/>
          <w:highlight w:val="none"/>
        </w:rPr>
        <w:t>人事考试机构</w:t>
      </w:r>
      <w:r>
        <w:rPr>
          <w:rFonts w:hint="eastAsia" w:ascii="仿宋_GB2312"/>
          <w:highlight w:val="none"/>
        </w:rPr>
        <w:t>可要求应试人员到指定地点进行现场核查。</w:t>
      </w:r>
    </w:p>
    <w:p>
      <w:pPr>
        <w:adjustRightInd w:val="0"/>
        <w:snapToGrid w:val="0"/>
        <w:spacing w:line="560" w:lineRule="exact"/>
        <w:ind w:firstLine="632" w:firstLineChars="200"/>
        <w:rPr>
          <w:rFonts w:hint="eastAsia" w:ascii="仿宋_GB2312" w:hAnsi="仿宋_GB2312" w:cs="仿宋_GB2312"/>
          <w:color w:val="000000"/>
          <w:kern w:val="0"/>
        </w:rPr>
      </w:pPr>
      <w:r>
        <w:rPr>
          <w:rFonts w:hint="eastAsia" w:ascii="仿宋_GB2312" w:hAnsi="仿宋_GB2312" w:cs="仿宋_GB2312"/>
          <w:color w:val="000000"/>
          <w:kern w:val="0"/>
          <w:highlight w:val="none"/>
        </w:rPr>
        <w:t>（五）</w:t>
      </w:r>
      <w:r>
        <w:rPr>
          <w:rFonts w:hint="eastAsia" w:ascii="仿宋_GB2312" w:hAnsi="仿宋_GB2312" w:cs="仿宋_GB2312"/>
          <w:color w:val="000000"/>
          <w:kern w:val="0"/>
        </w:rPr>
        <w:t>应试人员如忘记登录用户名、密码的，请登录青岛市</w:t>
      </w:r>
      <w:r>
        <w:rPr>
          <w:rFonts w:hint="eastAsia" w:ascii="仿宋_GB2312" w:hAnsi="仿宋_GB2312" w:cs="仿宋_GB2312"/>
          <w:color w:val="000000"/>
          <w:spacing w:val="-6"/>
          <w:kern w:val="0"/>
        </w:rPr>
        <w:t>人力资源和社会保障局官方网站</w:t>
      </w:r>
      <w:r>
        <w:rPr>
          <w:rFonts w:hint="eastAsia" w:ascii="仿宋_GB2312"/>
          <w:color w:val="000000"/>
        </w:rPr>
        <w:t>(hrss.qingdao.gov.cn)</w:t>
      </w:r>
      <w:r>
        <w:rPr>
          <w:rFonts w:hint="eastAsia" w:ascii="仿宋_GB2312" w:hAnsi="仿宋_GB2312" w:cs="仿宋_GB2312"/>
          <w:color w:val="000000"/>
          <w:kern w:val="0"/>
        </w:rPr>
        <w:t>人事考试板块相关下载栏下载</w:t>
      </w:r>
      <w:r>
        <w:rPr>
          <w:rFonts w:hint="eastAsia" w:ascii="仿宋_GB2312" w:hAnsi="仿宋_GB2312" w:cs="仿宋_GB2312"/>
          <w:color w:val="000000"/>
          <w:kern w:val="0"/>
          <w:lang w:eastAsia="zh-CN"/>
        </w:rPr>
        <w:t>《</w:t>
      </w:r>
      <w:r>
        <w:rPr>
          <w:rFonts w:hint="eastAsia" w:ascii="仿宋_GB2312" w:hAnsi="仿宋_GB2312" w:cs="仿宋_GB2312"/>
          <w:color w:val="000000"/>
          <w:kern w:val="0"/>
        </w:rPr>
        <w:t>网上报名信息查询修改申请表</w:t>
      </w:r>
      <w:r>
        <w:rPr>
          <w:rFonts w:hint="eastAsia" w:ascii="仿宋_GB2312" w:hAnsi="仿宋_GB2312" w:cs="仿宋_GB2312"/>
          <w:color w:val="000000"/>
          <w:kern w:val="0"/>
          <w:lang w:eastAsia="zh-CN"/>
        </w:rPr>
        <w:t>》</w:t>
      </w:r>
      <w:r>
        <w:rPr>
          <w:rFonts w:hint="eastAsia" w:ascii="仿宋_GB2312" w:hAnsi="仿宋_GB2312" w:cs="仿宋_GB2312"/>
          <w:color w:val="000000"/>
          <w:kern w:val="0"/>
        </w:rPr>
        <w:t>,按要求填写相关信息后,联系各区(市)人事考试机构进行修改。</w:t>
      </w:r>
    </w:p>
    <w:p>
      <w:pPr>
        <w:adjustRightInd w:val="0"/>
        <w:snapToGrid w:val="0"/>
        <w:spacing w:line="560" w:lineRule="exact"/>
        <w:ind w:firstLine="632" w:firstLineChars="200"/>
        <w:jc w:val="left"/>
        <w:rPr>
          <w:rFonts w:hint="eastAsia" w:ascii="仿宋_GB2312" w:hAnsi="仿宋_GB2312" w:cs="仿宋_GB2312"/>
          <w:color w:val="000000"/>
          <w:kern w:val="0"/>
        </w:rPr>
      </w:pPr>
      <w:r>
        <w:rPr>
          <w:rFonts w:hint="eastAsia" w:ascii="仿宋_GB2312" w:hAnsi="仿宋_GB2312" w:cs="仿宋_GB2312"/>
          <w:color w:val="000000"/>
          <w:kern w:val="0"/>
        </w:rPr>
        <w:t>（六）报名系统操作问题由人力资源社会保障部人事考试中心（联系方式：</w:t>
      </w:r>
      <w:r>
        <w:rPr>
          <w:rFonts w:hint="eastAsia" w:ascii="仿宋_GB2312"/>
          <w:color w:val="000000"/>
        </w:rPr>
        <w:t>010-87901800</w:t>
      </w:r>
      <w:r>
        <w:rPr>
          <w:rFonts w:hint="eastAsia" w:ascii="仿宋_GB2312" w:hAnsi="仿宋_GB2312" w:cs="仿宋_GB2312"/>
          <w:color w:val="000000"/>
          <w:kern w:val="0"/>
        </w:rPr>
        <w:t>）进行解答。</w:t>
      </w:r>
    </w:p>
    <w:p>
      <w:pPr>
        <w:adjustRightInd w:val="0"/>
        <w:snapToGrid w:val="0"/>
        <w:spacing w:line="560" w:lineRule="exact"/>
        <w:ind w:firstLine="632" w:firstLineChars="200"/>
        <w:rPr>
          <w:rFonts w:hint="eastAsia" w:ascii="仿宋_GB2312" w:hAnsi="仿宋" w:cs="宋体"/>
          <w:snapToGrid w:val="0"/>
          <w:color w:val="000000"/>
          <w:kern w:val="0"/>
        </w:rPr>
      </w:pPr>
      <w:r>
        <w:rPr>
          <w:rFonts w:hint="eastAsia" w:ascii="仿宋_GB2312" w:hAnsi="仿宋_GB2312" w:cs="仿宋_GB2312"/>
          <w:color w:val="000000"/>
          <w:kern w:val="0"/>
        </w:rPr>
        <w:t>（七</w:t>
      </w:r>
      <w:r>
        <w:rPr>
          <w:rFonts w:hint="eastAsia" w:ascii="仿宋_GB2312" w:hAnsi="仿宋" w:cs="宋体"/>
          <w:snapToGrid w:val="0"/>
          <w:color w:val="000000"/>
          <w:kern w:val="0"/>
        </w:rPr>
        <w:t>）应试人员咨询报考政策可拨打青岛市人力资源和社会保障局统一咨询电话：0532-12333。</w:t>
      </w:r>
    </w:p>
    <w:p>
      <w:pPr>
        <w:widowControl w:val="0"/>
        <w:wordWrap/>
        <w:adjustRightInd w:val="0"/>
        <w:snapToGrid w:val="0"/>
        <w:spacing w:line="586" w:lineRule="exact"/>
        <w:ind w:firstLine="632" w:firstLineChars="200"/>
        <w:textAlignment w:val="auto"/>
        <w:rPr>
          <w:rFonts w:ascii="黑体" w:hAnsi="黑体" w:eastAsia="黑体" w:cs="仿宋_GB2312"/>
          <w:color w:val="auto"/>
          <w:spacing w:val="0"/>
          <w:w w:val="100"/>
          <w:kern w:val="21"/>
          <w:sz w:val="32"/>
        </w:rPr>
      </w:pPr>
      <w:r>
        <w:rPr>
          <w:rFonts w:hint="eastAsia" w:ascii="黑体" w:hAnsi="黑体" w:eastAsia="黑体" w:cs="仿宋_GB2312"/>
          <w:color w:val="auto"/>
          <w:spacing w:val="0"/>
          <w:w w:val="100"/>
          <w:kern w:val="21"/>
          <w:sz w:val="32"/>
          <w:lang w:eastAsia="zh-CN"/>
        </w:rPr>
        <w:t>六</w:t>
      </w:r>
      <w:r>
        <w:rPr>
          <w:rFonts w:hint="eastAsia" w:ascii="黑体" w:hAnsi="黑体" w:eastAsia="黑体" w:cs="仿宋_GB2312"/>
          <w:color w:val="auto"/>
          <w:spacing w:val="0"/>
          <w:w w:val="100"/>
          <w:kern w:val="21"/>
          <w:sz w:val="32"/>
        </w:rPr>
        <w:t>、</w:t>
      </w:r>
      <w:r>
        <w:rPr>
          <w:rFonts w:ascii="黑体" w:hAnsi="黑体" w:eastAsia="黑体" w:cs="仿宋_GB2312"/>
          <w:color w:val="auto"/>
          <w:spacing w:val="0"/>
          <w:w w:val="100"/>
          <w:kern w:val="21"/>
          <w:sz w:val="32"/>
        </w:rPr>
        <w:t>准考证打印</w:t>
      </w:r>
    </w:p>
    <w:p>
      <w:pPr>
        <w:widowControl w:val="0"/>
        <w:wordWrap/>
        <w:adjustRightInd w:val="0"/>
        <w:snapToGrid w:val="0"/>
        <w:spacing w:line="586" w:lineRule="exact"/>
        <w:ind w:firstLine="632" w:firstLineChars="200"/>
        <w:textAlignment w:val="auto"/>
        <w:rPr>
          <w:rFonts w:ascii="仿宋_GB2312" w:hAnsi="宋体" w:cs="仿宋_GB2312"/>
          <w:color w:val="auto"/>
          <w:spacing w:val="0"/>
          <w:w w:val="100"/>
          <w:kern w:val="21"/>
          <w:sz w:val="32"/>
        </w:rPr>
      </w:pPr>
      <w:r>
        <w:rPr>
          <w:rFonts w:hint="eastAsia" w:ascii="仿宋_GB2312" w:hAnsi="宋体" w:cs="仿宋_GB2312"/>
          <w:color w:val="auto"/>
          <w:spacing w:val="0"/>
          <w:w w:val="100"/>
          <w:kern w:val="21"/>
          <w:sz w:val="32"/>
        </w:rPr>
        <w:t>应试人员参加考试前须登录中国人事考试网打印准考证。准考证打印系统开放时间为6月23日9∶00至6月28日1</w:t>
      </w:r>
      <w:r>
        <w:rPr>
          <w:rFonts w:ascii="仿宋_GB2312" w:hAnsi="宋体" w:cs="仿宋_GB2312"/>
          <w:color w:val="auto"/>
          <w:spacing w:val="0"/>
          <w:w w:val="100"/>
          <w:kern w:val="21"/>
          <w:sz w:val="32"/>
        </w:rPr>
        <w:t>7</w:t>
      </w:r>
      <w:r>
        <w:rPr>
          <w:rFonts w:hint="eastAsia" w:ascii="仿宋_GB2312" w:hAnsi="宋体" w:cs="仿宋_GB2312"/>
          <w:color w:val="auto"/>
          <w:spacing w:val="0"/>
          <w:w w:val="100"/>
          <w:kern w:val="21"/>
          <w:sz w:val="32"/>
        </w:rPr>
        <w:t>∶</w:t>
      </w:r>
      <w:r>
        <w:rPr>
          <w:rFonts w:ascii="仿宋_GB2312" w:hAnsi="宋体" w:cs="仿宋_GB2312"/>
          <w:color w:val="auto"/>
          <w:spacing w:val="0"/>
          <w:w w:val="100"/>
          <w:kern w:val="21"/>
          <w:sz w:val="32"/>
        </w:rPr>
        <w:t>00</w:t>
      </w:r>
      <w:r>
        <w:rPr>
          <w:rFonts w:hint="eastAsia" w:ascii="仿宋_GB2312" w:hAnsi="宋体" w:cs="仿宋_GB2312"/>
          <w:color w:val="auto"/>
          <w:spacing w:val="0"/>
          <w:w w:val="100"/>
          <w:kern w:val="21"/>
          <w:sz w:val="32"/>
        </w:rPr>
        <w:t>。</w:t>
      </w:r>
    </w:p>
    <w:p>
      <w:pPr>
        <w:adjustRightInd w:val="0"/>
        <w:snapToGrid w:val="0"/>
        <w:spacing w:line="560" w:lineRule="exact"/>
        <w:ind w:firstLine="632" w:firstLineChars="200"/>
        <w:rPr>
          <w:rFonts w:hint="eastAsia" w:ascii="黑体" w:hAnsi="黑体" w:eastAsia="黑体" w:cs="黑体"/>
          <w:snapToGrid w:val="0"/>
          <w:color w:val="000000"/>
          <w:kern w:val="0"/>
        </w:rPr>
      </w:pPr>
      <w:r>
        <w:rPr>
          <w:rFonts w:hint="eastAsia" w:ascii="黑体" w:hAnsi="黑体" w:eastAsia="黑体" w:cs="黑体"/>
          <w:snapToGrid w:val="0"/>
          <w:color w:val="000000"/>
          <w:kern w:val="0"/>
        </w:rPr>
        <w:t>七、考区设置</w:t>
      </w:r>
    </w:p>
    <w:p>
      <w:pPr>
        <w:spacing w:line="560" w:lineRule="exact"/>
        <w:ind w:firstLine="632" w:firstLineChars="200"/>
        <w:rPr>
          <w:rFonts w:ascii="仿宋_GB2312"/>
        </w:rPr>
      </w:pPr>
      <w:r>
        <w:rPr>
          <w:rFonts w:hint="eastAsia" w:ascii="仿宋_GB2312"/>
        </w:rPr>
        <w:t>初、</w:t>
      </w:r>
      <w:r>
        <w:rPr>
          <w:rFonts w:ascii="仿宋_GB2312"/>
        </w:rPr>
        <w:t>中</w:t>
      </w:r>
      <w:r>
        <w:rPr>
          <w:rFonts w:hint="eastAsia" w:ascii="仿宋_GB2312"/>
        </w:rPr>
        <w:t>、</w:t>
      </w:r>
      <w:r>
        <w:rPr>
          <w:rFonts w:ascii="仿宋_GB2312"/>
        </w:rPr>
        <w:t>高</w:t>
      </w:r>
      <w:r>
        <w:rPr>
          <w:rFonts w:hint="eastAsia" w:ascii="仿宋_GB2312"/>
        </w:rPr>
        <w:t>级资格考试均在济南、</w:t>
      </w:r>
      <w:r>
        <w:rPr>
          <w:rFonts w:ascii="仿宋_GB2312"/>
        </w:rPr>
        <w:t>青岛、</w:t>
      </w:r>
      <w:r>
        <w:rPr>
          <w:rFonts w:hint="eastAsia" w:ascii="仿宋_GB2312"/>
        </w:rPr>
        <w:t>枣庄</w:t>
      </w:r>
      <w:r>
        <w:rPr>
          <w:rFonts w:ascii="仿宋_GB2312"/>
        </w:rPr>
        <w:t>、聊城</w:t>
      </w:r>
      <w:r>
        <w:rPr>
          <w:rFonts w:hint="eastAsia" w:ascii="仿宋_GB2312"/>
        </w:rPr>
        <w:t>设置考区。考点</w:t>
      </w:r>
      <w:r>
        <w:rPr>
          <w:rFonts w:hint="eastAsia" w:ascii="仿宋_GB2312" w:cs="微软雅黑"/>
          <w:kern w:val="0"/>
          <w:lang w:val="zh-CN"/>
        </w:rPr>
        <w:t>考场由国家考务管理系统随机编排，具体安排情况以准考证为准。</w:t>
      </w:r>
    </w:p>
    <w:p>
      <w:pPr>
        <w:widowControl w:val="0"/>
        <w:wordWrap/>
        <w:spacing w:line="586" w:lineRule="exact"/>
        <w:ind w:firstLine="632" w:firstLineChars="200"/>
        <w:textAlignment w:val="auto"/>
        <w:rPr>
          <w:rFonts w:ascii="华文仿宋" w:hAnsi="华文仿宋" w:eastAsia="华文仿宋"/>
          <w:color w:val="auto"/>
          <w:spacing w:val="0"/>
          <w:w w:val="100"/>
          <w:kern w:val="21"/>
          <w:sz w:val="32"/>
        </w:rPr>
      </w:pPr>
      <w:r>
        <w:rPr>
          <w:rFonts w:hint="eastAsia" w:ascii="黑体" w:hAnsi="华文仿宋" w:eastAsia="黑体"/>
          <w:color w:val="auto"/>
          <w:spacing w:val="0"/>
          <w:w w:val="100"/>
          <w:kern w:val="21"/>
          <w:sz w:val="32"/>
        </w:rPr>
        <w:t>八、收费标准</w:t>
      </w:r>
    </w:p>
    <w:p>
      <w:pPr>
        <w:widowControl w:val="0"/>
        <w:wordWrap/>
        <w:spacing w:line="586" w:lineRule="exact"/>
        <w:ind w:firstLine="632" w:firstLineChars="200"/>
        <w:textAlignment w:val="auto"/>
        <w:rPr>
          <w:rFonts w:ascii="仿宋_GB2312"/>
          <w:color w:val="auto"/>
          <w:spacing w:val="0"/>
          <w:w w:val="100"/>
          <w:kern w:val="21"/>
          <w:sz w:val="32"/>
        </w:rPr>
      </w:pPr>
      <w:r>
        <w:rPr>
          <w:rFonts w:hint="eastAsia" w:ascii="仿宋_GB2312"/>
          <w:color w:val="auto"/>
          <w:spacing w:val="0"/>
          <w:w w:val="100"/>
          <w:kern w:val="21"/>
          <w:sz w:val="32"/>
        </w:rPr>
        <w:t>根据</w:t>
      </w:r>
      <w:r>
        <w:rPr>
          <w:rFonts w:hint="eastAsia" w:ascii="仿宋_GB2312" w:hAnsi="宋体-18030"/>
          <w:color w:val="auto"/>
          <w:spacing w:val="0"/>
          <w:w w:val="100"/>
          <w:kern w:val="21"/>
          <w:sz w:val="32"/>
        </w:rPr>
        <w:t>《山东省人力资源和社会保障厅关于职业资格考试收费标准有关事项的通知》（鲁人社字〔2026〕1号）</w:t>
      </w:r>
      <w:r>
        <w:rPr>
          <w:rFonts w:hint="eastAsia" w:ascii="仿宋_GB2312"/>
          <w:color w:val="auto"/>
          <w:spacing w:val="0"/>
          <w:w w:val="100"/>
          <w:kern w:val="21"/>
          <w:sz w:val="32"/>
        </w:rPr>
        <w:t>文件规定，2026年度统计专业技术资格考试收费标准为：初级每人每科65元，中级每人每科63元，高级每人每科50元。</w:t>
      </w:r>
    </w:p>
    <w:p>
      <w:pPr>
        <w:widowControl w:val="0"/>
        <w:wordWrap/>
        <w:spacing w:line="586" w:lineRule="exact"/>
        <w:ind w:firstLine="632" w:firstLineChars="200"/>
        <w:textAlignment w:val="auto"/>
        <w:rPr>
          <w:rFonts w:ascii="黑体" w:hAnsi="华文仿宋" w:eastAsia="黑体"/>
          <w:color w:val="auto"/>
          <w:spacing w:val="0"/>
          <w:w w:val="100"/>
          <w:kern w:val="21"/>
          <w:sz w:val="32"/>
        </w:rPr>
      </w:pPr>
      <w:r>
        <w:rPr>
          <w:rFonts w:hint="eastAsia" w:ascii="黑体" w:hAnsi="华文仿宋" w:eastAsia="黑体"/>
          <w:color w:val="auto"/>
          <w:spacing w:val="0"/>
          <w:w w:val="100"/>
          <w:kern w:val="21"/>
          <w:sz w:val="32"/>
        </w:rPr>
        <w:t>九、考试大纲</w:t>
      </w:r>
    </w:p>
    <w:p>
      <w:pPr>
        <w:widowControl w:val="0"/>
        <w:wordWrap/>
        <w:spacing w:line="586" w:lineRule="exact"/>
        <w:ind w:firstLine="632" w:firstLineChars="200"/>
        <w:textAlignment w:val="auto"/>
        <w:rPr>
          <w:rFonts w:ascii="仿宋_GB2312"/>
          <w:color w:val="auto"/>
        </w:rPr>
      </w:pPr>
      <w:r>
        <w:rPr>
          <w:rFonts w:hint="eastAsia" w:ascii="仿宋_GB2312"/>
          <w:color w:val="auto"/>
          <w:spacing w:val="0"/>
          <w:w w:val="100"/>
          <w:kern w:val="21"/>
          <w:sz w:val="32"/>
        </w:rPr>
        <w:t>2026年统计专业技术初</w:t>
      </w:r>
      <w:r>
        <w:rPr>
          <w:rFonts w:ascii="仿宋_GB2312"/>
          <w:color w:val="auto"/>
          <w:spacing w:val="0"/>
          <w:w w:val="100"/>
          <w:kern w:val="21"/>
          <w:sz w:val="32"/>
        </w:rPr>
        <w:t>、中、高级</w:t>
      </w:r>
      <w:r>
        <w:rPr>
          <w:rFonts w:hint="eastAsia" w:ascii="仿宋_GB2312"/>
          <w:color w:val="auto"/>
          <w:spacing w:val="0"/>
          <w:w w:val="100"/>
          <w:kern w:val="21"/>
          <w:sz w:val="32"/>
        </w:rPr>
        <w:t>资格考试大纲继续</w:t>
      </w:r>
      <w:r>
        <w:rPr>
          <w:rFonts w:ascii="仿宋_GB2312"/>
          <w:color w:val="auto"/>
          <w:spacing w:val="0"/>
          <w:w w:val="100"/>
          <w:kern w:val="21"/>
          <w:sz w:val="32"/>
        </w:rPr>
        <w:t>使用</w:t>
      </w:r>
      <w:r>
        <w:rPr>
          <w:rFonts w:hint="eastAsia" w:ascii="仿宋_GB2312"/>
          <w:color w:val="auto"/>
          <w:spacing w:val="0"/>
          <w:w w:val="100"/>
          <w:kern w:val="21"/>
          <w:sz w:val="32"/>
        </w:rPr>
        <w:t>2021年度</w:t>
      </w:r>
      <w:r>
        <w:rPr>
          <w:rFonts w:ascii="仿宋_GB2312"/>
          <w:color w:val="auto"/>
          <w:spacing w:val="0"/>
          <w:w w:val="100"/>
          <w:kern w:val="21"/>
          <w:sz w:val="32"/>
        </w:rPr>
        <w:t>的考试大纲。</w:t>
      </w:r>
      <w:r>
        <w:rPr>
          <w:rFonts w:hint="eastAsia" w:ascii="仿宋_GB2312"/>
          <w:color w:val="auto"/>
          <w:spacing w:val="0"/>
          <w:w w:val="100"/>
          <w:kern w:val="21"/>
          <w:sz w:val="32"/>
        </w:rPr>
        <w:t>各级</w:t>
      </w:r>
      <w:r>
        <w:rPr>
          <w:rFonts w:ascii="仿宋_GB2312"/>
          <w:color w:val="auto"/>
          <w:spacing w:val="0"/>
          <w:w w:val="100"/>
          <w:kern w:val="21"/>
          <w:sz w:val="32"/>
        </w:rPr>
        <w:t>别考试大纲</w:t>
      </w:r>
      <w:r>
        <w:rPr>
          <w:rFonts w:hint="eastAsia" w:ascii="仿宋_GB2312"/>
          <w:color w:val="auto"/>
          <w:spacing w:val="0"/>
          <w:w w:val="100"/>
          <w:kern w:val="21"/>
          <w:sz w:val="32"/>
        </w:rPr>
        <w:t>均已在国家统计局门户</w:t>
      </w:r>
      <w:r>
        <w:rPr>
          <w:rFonts w:ascii="仿宋_GB2312"/>
          <w:color w:val="auto"/>
          <w:spacing w:val="0"/>
          <w:w w:val="100"/>
          <w:kern w:val="21"/>
          <w:sz w:val="32"/>
        </w:rPr>
        <w:t>网站</w:t>
      </w:r>
      <w:r>
        <w:rPr>
          <w:rFonts w:hint="eastAsia" w:ascii="仿宋_GB2312"/>
          <w:color w:val="auto"/>
          <w:spacing w:val="0"/>
          <w:w w:val="100"/>
          <w:kern w:val="21"/>
          <w:sz w:val="32"/>
        </w:rPr>
        <w:t>主页“政务服务”栏目内的“统计专业技术资格考试”专栏（</w:t>
      </w:r>
      <w:r>
        <w:rPr>
          <w:color w:val="auto"/>
          <w:spacing w:val="0"/>
          <w:w w:val="100"/>
          <w:kern w:val="21"/>
          <w:sz w:val="32"/>
        </w:rPr>
        <w:fldChar w:fldCharType="begin"/>
      </w:r>
      <w:r>
        <w:rPr>
          <w:color w:val="auto"/>
          <w:spacing w:val="0"/>
          <w:w w:val="100"/>
          <w:kern w:val="21"/>
          <w:sz w:val="32"/>
        </w:rPr>
        <w:instrText xml:space="preserve"> HYPERLINK "http://www.stats.gov.cn/tjfw/tjzyjszgks" </w:instrText>
      </w:r>
      <w:r>
        <w:rPr>
          <w:color w:val="auto"/>
          <w:spacing w:val="0"/>
          <w:w w:val="100"/>
          <w:kern w:val="21"/>
          <w:sz w:val="32"/>
        </w:rPr>
        <w:fldChar w:fldCharType="separate"/>
      </w:r>
      <w:r>
        <w:rPr>
          <w:rFonts w:hint="eastAsia" w:ascii="仿宋_GB2312"/>
          <w:color w:val="auto"/>
          <w:spacing w:val="0"/>
          <w:w w:val="100"/>
          <w:kern w:val="21"/>
          <w:sz w:val="32"/>
        </w:rPr>
        <w:t>http://www.stats.gov.cn/fw/tjzyjszgks</w:t>
      </w:r>
      <w:r>
        <w:rPr>
          <w:rFonts w:hint="eastAsia" w:ascii="仿宋_GB2312"/>
          <w:color w:val="auto"/>
          <w:spacing w:val="0"/>
          <w:w w:val="100"/>
          <w:kern w:val="21"/>
          <w:sz w:val="32"/>
        </w:rPr>
        <w:fldChar w:fldCharType="end"/>
      </w:r>
      <w:r>
        <w:rPr>
          <w:rFonts w:hint="eastAsia" w:ascii="仿宋_GB2312"/>
          <w:color w:val="auto"/>
          <w:spacing w:val="0"/>
          <w:w w:val="100"/>
          <w:kern w:val="21"/>
          <w:sz w:val="32"/>
        </w:rPr>
        <w:t>/</w:t>
      </w:r>
      <w:r>
        <w:rPr>
          <w:rFonts w:ascii="仿宋_GB2312"/>
          <w:color w:val="auto"/>
          <w:spacing w:val="0"/>
          <w:w w:val="100"/>
          <w:kern w:val="21"/>
          <w:sz w:val="32"/>
        </w:rPr>
        <w:t>fxbk/</w:t>
      </w:r>
      <w:r>
        <w:rPr>
          <w:rFonts w:hint="eastAsia" w:ascii="仿宋_GB2312"/>
          <w:color w:val="auto"/>
          <w:spacing w:val="0"/>
          <w:w w:val="100"/>
          <w:kern w:val="21"/>
          <w:sz w:val="32"/>
        </w:rPr>
        <w:t>）公布。</w:t>
      </w:r>
    </w:p>
    <w:p>
      <w:pPr>
        <w:spacing w:line="560" w:lineRule="exact"/>
        <w:ind w:firstLine="632" w:firstLineChars="200"/>
        <w:rPr>
          <w:rFonts w:hint="eastAsia" w:ascii="黑体" w:hAnsi="黑体" w:eastAsia="黑体"/>
          <w:color w:val="000000"/>
        </w:rPr>
      </w:pPr>
      <w:r>
        <w:rPr>
          <w:rFonts w:hint="eastAsia" w:ascii="黑体" w:hAnsi="黑体" w:eastAsia="黑体"/>
          <w:color w:val="000000"/>
        </w:rPr>
        <w:t>十、证书发放</w:t>
      </w:r>
    </w:p>
    <w:p>
      <w:pPr>
        <w:adjustRightInd w:val="0"/>
        <w:snapToGrid w:val="0"/>
        <w:spacing w:line="560" w:lineRule="exact"/>
        <w:ind w:firstLine="632" w:firstLineChars="200"/>
        <w:rPr>
          <w:rFonts w:hint="eastAsia" w:ascii="仿宋_GB2312" w:hAnsi="仿宋" w:cs="宋体"/>
          <w:bCs/>
          <w:snapToGrid w:val="0"/>
          <w:color w:val="000000"/>
          <w:kern w:val="0"/>
        </w:rPr>
      </w:pPr>
      <w:r>
        <w:rPr>
          <w:rFonts w:hint="eastAsia" w:ascii="仿宋_GB2312" w:hAnsi="仿宋" w:cs="宋体"/>
          <w:bCs/>
          <w:snapToGrid w:val="0"/>
          <w:color w:val="000000"/>
          <w:kern w:val="0"/>
        </w:rPr>
        <w:t>考试合格的应试人员请关注青岛市人力资源和社会保障局官方网站（hrss.qingdao.gov.cn）人事考试版块发布的有关通知，根据通知要求提交材料办理证书。</w:t>
      </w:r>
    </w:p>
    <w:p>
      <w:pPr>
        <w:adjustRightInd w:val="0"/>
        <w:snapToGrid w:val="0"/>
        <w:spacing w:line="560" w:lineRule="exact"/>
        <w:ind w:firstLine="632" w:firstLineChars="200"/>
        <w:rPr>
          <w:rFonts w:hint="eastAsia" w:ascii="仿宋_GB2312" w:hAnsi="仿宋" w:cs="宋体"/>
          <w:bCs/>
          <w:snapToGrid w:val="0"/>
          <w:color w:val="000000"/>
          <w:kern w:val="0"/>
        </w:rPr>
      </w:pPr>
      <w:r>
        <w:rPr>
          <w:rFonts w:hint="eastAsia" w:ascii="仿宋_GB2312" w:hAnsi="仿宋" w:cs="宋体"/>
          <w:bCs/>
          <w:snapToGrid w:val="0"/>
          <w:color w:val="000000"/>
          <w:kern w:val="0"/>
        </w:rPr>
        <w:t>电子证书通过中国人事考试网“</w:t>
      </w:r>
      <w:r>
        <w:rPr>
          <w:rFonts w:hint="eastAsia" w:ascii="仿宋_GB2312" w:hAnsi="仿宋" w:cs="宋体"/>
          <w:bCs/>
          <w:snapToGrid w:val="0"/>
          <w:color w:val="000000"/>
          <w:kern w:val="0"/>
          <w:lang w:eastAsia="zh-CN"/>
        </w:rPr>
        <w:t>电子证书下载</w:t>
      </w:r>
      <w:r>
        <w:rPr>
          <w:rFonts w:hint="eastAsia" w:ascii="仿宋_GB2312" w:hAnsi="仿宋" w:cs="宋体"/>
          <w:bCs/>
          <w:snapToGrid w:val="0"/>
          <w:color w:val="000000"/>
          <w:kern w:val="0"/>
        </w:rPr>
        <w:t>”栏目查询、下载。纸质证书由我市人事考试机构负责发放，可现场领取或登录山东人事考试信息网（hrss.shandong.gov.cn/rsks/）、爱山东APP办理邮寄。</w:t>
      </w:r>
    </w:p>
    <w:p>
      <w:pPr>
        <w:adjustRightInd w:val="0"/>
        <w:snapToGrid w:val="0"/>
        <w:spacing w:line="560" w:lineRule="exact"/>
        <w:ind w:firstLine="632" w:firstLineChars="200"/>
        <w:rPr>
          <w:rFonts w:hint="eastAsia" w:ascii="仿宋_GB2312" w:hAnsi="仿宋_GB2312" w:cs="仿宋_GB2312"/>
          <w:color w:val="000000"/>
          <w:kern w:val="0"/>
        </w:rPr>
      </w:pPr>
      <w:r>
        <w:rPr>
          <w:rFonts w:hint="eastAsia" w:ascii="黑体" w:hAnsi="黑体" w:eastAsia="黑体"/>
          <w:color w:val="000000"/>
        </w:rPr>
        <w:t>十一、监督举报</w:t>
      </w:r>
    </w:p>
    <w:p>
      <w:pPr>
        <w:adjustRightInd w:val="0"/>
        <w:snapToGrid w:val="0"/>
        <w:spacing w:line="560" w:lineRule="exact"/>
        <w:ind w:firstLine="632" w:firstLineChars="200"/>
        <w:rPr>
          <w:rFonts w:hint="eastAsia" w:ascii="仿宋_GB2312" w:hAnsi="仿宋_GB2312" w:cs="仿宋_GB2312"/>
          <w:color w:val="000000"/>
          <w:kern w:val="0"/>
        </w:rPr>
      </w:pPr>
      <w:r>
        <w:rPr>
          <w:rFonts w:hint="eastAsia" w:ascii="仿宋_GB2312" w:hAnsi="仿宋_GB2312" w:cs="仿宋_GB2312"/>
          <w:color w:val="000000"/>
          <w:kern w:val="0"/>
        </w:rPr>
        <w:t>资格核查工作贯穿考前、考中和考后全过程，全程接受社会监督。监督举报邮箱：</w:t>
      </w:r>
      <w:r>
        <w:rPr>
          <w:rFonts w:hint="eastAsia" w:ascii="仿宋_GB2312"/>
          <w:color w:val="000000"/>
        </w:rPr>
        <w:t>qdrskszxkw@qd.shandong.cn</w:t>
      </w:r>
      <w:r>
        <w:rPr>
          <w:rFonts w:hint="eastAsia" w:ascii="仿宋_GB2312" w:hAnsi="仿宋_GB2312" w:cs="仿宋_GB2312"/>
          <w:color w:val="000000"/>
          <w:kern w:val="0"/>
        </w:rPr>
        <w:t>。</w:t>
      </w:r>
    </w:p>
    <w:p>
      <w:pPr>
        <w:adjustRightInd w:val="0"/>
        <w:snapToGrid w:val="0"/>
        <w:spacing w:line="560" w:lineRule="exact"/>
        <w:ind w:firstLine="632" w:firstLineChars="200"/>
        <w:rPr>
          <w:rFonts w:hint="eastAsia" w:ascii="黑体" w:hAnsi="黑体" w:eastAsia="黑体"/>
          <w:color w:val="000000"/>
        </w:rPr>
      </w:pPr>
      <w:r>
        <w:rPr>
          <w:rFonts w:hint="eastAsia" w:ascii="黑体" w:hAnsi="黑体" w:eastAsia="黑体"/>
          <w:color w:val="000000"/>
        </w:rPr>
        <w:t>十二、违纪违规处理</w:t>
      </w:r>
    </w:p>
    <w:p>
      <w:pPr>
        <w:adjustRightInd w:val="0"/>
        <w:snapToGrid w:val="0"/>
        <w:spacing w:line="560" w:lineRule="exact"/>
        <w:ind w:firstLine="632" w:firstLineChars="200"/>
        <w:rPr>
          <w:rFonts w:ascii="仿宋_GB2312" w:hAnsi="仿宋_GB2312" w:cs="仿宋_GB2312"/>
          <w:color w:val="000000"/>
          <w:kern w:val="0"/>
          <w:highlight w:val="none"/>
        </w:rPr>
      </w:pPr>
      <w:r>
        <w:rPr>
          <w:rFonts w:hint="eastAsia" w:ascii="仿宋_GB2312" w:hAnsi="仿宋_GB2312" w:cs="仿宋_GB2312"/>
          <w:color w:val="000000"/>
          <w:kern w:val="0"/>
        </w:rPr>
        <w:t>应试人员承诺后，在核查或者日常监管过程中发现其不符合报考条件的，或未按照</w:t>
      </w:r>
      <w:r>
        <w:rPr>
          <w:rFonts w:hint="eastAsia" w:ascii="仿宋_GB2312" w:hAnsi="仿宋_GB2312" w:cs="仿宋_GB2312"/>
          <w:color w:val="000000"/>
          <w:kern w:val="0"/>
          <w:highlight w:val="none"/>
        </w:rPr>
        <w:t>我市</w:t>
      </w:r>
      <w:r>
        <w:rPr>
          <w:rFonts w:hint="eastAsia" w:ascii="仿宋_GB2312" w:hAnsi="仿宋_GB2312" w:cs="仿宋_GB2312"/>
          <w:color w:val="000000"/>
          <w:kern w:val="0"/>
          <w:highlight w:val="none"/>
          <w:lang w:eastAsia="zh-CN"/>
        </w:rPr>
        <w:t>各级</w:t>
      </w:r>
      <w:r>
        <w:rPr>
          <w:rFonts w:hint="eastAsia" w:ascii="仿宋_GB2312" w:hAnsi="仿宋_GB2312" w:cs="仿宋_GB2312"/>
          <w:color w:val="000000"/>
          <w:kern w:val="0"/>
          <w:highlight w:val="none"/>
        </w:rPr>
        <w:t>人事考试机构要求办理报考相关事项的，考试报名</w:t>
      </w:r>
      <w:r>
        <w:rPr>
          <w:rFonts w:hint="eastAsia" w:ascii="仿宋_GB2312" w:hAnsi="宋体" w:cs="仿宋_GB2312"/>
          <w:color w:val="auto"/>
          <w:spacing w:val="0"/>
          <w:w w:val="100"/>
          <w:kern w:val="21"/>
          <w:sz w:val="32"/>
          <w:highlight w:val="none"/>
        </w:rPr>
        <w:t>无效或考试成绩无效处理，</w:t>
      </w:r>
      <w:r>
        <w:rPr>
          <w:rFonts w:hint="eastAsia" w:ascii="仿宋_GB2312" w:hAnsi="仿宋_GB2312" w:cs="仿宋_GB2312"/>
          <w:color w:val="000000"/>
          <w:kern w:val="0"/>
          <w:highlight w:val="none"/>
        </w:rPr>
        <w:t>已缴费用不予退还；取得成绩的，当次全部科目考试成绩无效；取得资格证书或者成绩证明的，资格证书或者成绩证明无效。提供虚假证明材料或者以其他不正当手段取得相应资格证书或者成绩证明等严重违纪违规行为的，按照《专业技术人员资格考试违纪违规行为处理规定》（人力资源和社会保障部令第</w:t>
      </w:r>
      <w:r>
        <w:rPr>
          <w:rFonts w:hint="eastAsia" w:ascii="仿宋_GB2312" w:hAnsi="仿宋" w:cs="宋体"/>
          <w:bCs/>
          <w:snapToGrid w:val="0"/>
          <w:color w:val="000000"/>
          <w:kern w:val="0"/>
          <w:highlight w:val="none"/>
        </w:rPr>
        <w:t>31</w:t>
      </w:r>
      <w:r>
        <w:rPr>
          <w:rFonts w:hint="eastAsia" w:ascii="仿宋_GB2312" w:hAnsi="仿宋_GB2312" w:cs="仿宋_GB2312"/>
          <w:color w:val="000000"/>
          <w:kern w:val="0"/>
          <w:highlight w:val="none"/>
        </w:rPr>
        <w:t>号）处理</w:t>
      </w:r>
      <w:r>
        <w:rPr>
          <w:rFonts w:hint="eastAsia" w:ascii="仿宋_GB2312" w:hAnsi="宋体" w:cs="仿宋_GB2312"/>
          <w:color w:val="auto"/>
          <w:spacing w:val="0"/>
          <w:w w:val="100"/>
          <w:kern w:val="21"/>
          <w:sz w:val="32"/>
          <w:highlight w:val="none"/>
        </w:rPr>
        <w:t>，记入专业技术人员资格考试诚信档案库。</w:t>
      </w:r>
      <w:r>
        <w:rPr>
          <w:rFonts w:hint="eastAsia" w:ascii="仿宋_GB2312" w:hAnsi="仿宋_GB2312" w:cs="仿宋_GB2312"/>
          <w:color w:val="000000"/>
          <w:kern w:val="0"/>
          <w:highlight w:val="none"/>
        </w:rPr>
        <w:t>涉嫌犯罪的，依法移送司法机关处理。考试结束后将采用技术手段甄别雷同答卷，雷同答卷成绩按无效处理。</w:t>
      </w:r>
    </w:p>
    <w:p>
      <w:pPr>
        <w:spacing w:line="560" w:lineRule="exact"/>
        <w:ind w:left="1920" w:hanging="1896" w:hangingChars="600"/>
        <w:rPr>
          <w:rFonts w:hint="eastAsia" w:ascii="仿宋_GB2312"/>
          <w:snapToGrid w:val="0"/>
          <w:kern w:val="0"/>
        </w:rPr>
      </w:pPr>
    </w:p>
    <w:p>
      <w:pPr>
        <w:spacing w:line="560" w:lineRule="exact"/>
        <w:ind w:left="1920" w:hanging="1896" w:hangingChars="600"/>
        <w:rPr>
          <w:rFonts w:ascii="仿宋_GB2312"/>
          <w:snapToGrid w:val="0"/>
          <w:kern w:val="0"/>
        </w:rPr>
      </w:pPr>
      <w:r>
        <w:rPr>
          <w:rFonts w:hint="eastAsia" w:ascii="仿宋_GB2312"/>
          <w:snapToGrid w:val="0"/>
          <w:kern w:val="0"/>
        </w:rPr>
        <w:t xml:space="preserve">     附件:1.青岛市202</w:t>
      </w:r>
      <w:r>
        <w:rPr>
          <w:rFonts w:hint="eastAsia" w:ascii="仿宋_GB2312"/>
          <w:snapToGrid w:val="0"/>
          <w:kern w:val="0"/>
          <w:lang w:val="en-US" w:eastAsia="zh-CN"/>
        </w:rPr>
        <w:t>6</w:t>
      </w:r>
      <w:r>
        <w:rPr>
          <w:rFonts w:hint="eastAsia" w:ascii="仿宋_GB2312"/>
          <w:snapToGrid w:val="0"/>
          <w:kern w:val="0"/>
        </w:rPr>
        <w:t>年度统计专业技术资格考试</w:t>
      </w:r>
      <w:r>
        <w:rPr>
          <w:rFonts w:hint="eastAsia" w:ascii="仿宋_GB2312"/>
          <w:snapToGrid w:val="0"/>
          <w:kern w:val="0"/>
          <w:lang w:eastAsia="zh-CN"/>
        </w:rPr>
        <w:t>报考</w:t>
      </w:r>
      <w:r>
        <w:rPr>
          <w:rFonts w:hint="eastAsia" w:ascii="仿宋_GB2312"/>
          <w:snapToGrid w:val="0"/>
          <w:kern w:val="0"/>
        </w:rPr>
        <w:t>人员信息审核点汇总表</w:t>
      </w:r>
    </w:p>
    <w:p>
      <w:pPr>
        <w:spacing w:line="560" w:lineRule="exact"/>
        <w:ind w:firstLine="1580" w:firstLineChars="500"/>
        <w:rPr>
          <w:rFonts w:hint="eastAsia" w:ascii="仿宋_GB2312" w:hAnsi="仿宋" w:cs="宋体"/>
          <w:bCs/>
          <w:snapToGrid w:val="0"/>
          <w:color w:val="000000"/>
          <w:kern w:val="0"/>
        </w:rPr>
      </w:pPr>
      <w:r>
        <w:rPr>
          <w:rFonts w:ascii="仿宋_GB2312" w:hAnsi="仿宋" w:cs="宋体"/>
          <w:bCs/>
          <w:snapToGrid w:val="0"/>
          <w:kern w:val="0"/>
        </w:rPr>
        <w:t>2.</w:t>
      </w:r>
      <w:r>
        <w:rPr>
          <w:rFonts w:ascii="仿宋_GB2312"/>
        </w:rPr>
        <w:t>全国统计专业技术资格考试考场规则</w:t>
      </w:r>
    </w:p>
    <w:p>
      <w:pPr>
        <w:spacing w:line="540" w:lineRule="exact"/>
        <w:jc w:val="left"/>
        <w:rPr>
          <w:rFonts w:hint="eastAsia" w:ascii="仿宋_GB2312" w:hAnsi="仿宋" w:cs="宋体"/>
          <w:bCs/>
          <w:snapToGrid w:val="0"/>
          <w:color w:val="000000"/>
          <w:kern w:val="0"/>
        </w:rPr>
      </w:pPr>
    </w:p>
    <w:p>
      <w:pPr>
        <w:adjustRightInd w:val="0"/>
        <w:snapToGrid w:val="0"/>
        <w:spacing w:line="540" w:lineRule="exact"/>
        <w:rPr>
          <w:rFonts w:hint="eastAsia" w:ascii="仿宋_GB2312" w:hAnsi="仿宋" w:cs="宋体"/>
          <w:bCs/>
          <w:snapToGrid w:val="0"/>
          <w:color w:val="0000FF"/>
          <w:kern w:val="0"/>
        </w:rPr>
      </w:pPr>
    </w:p>
    <w:p>
      <w:pPr>
        <w:adjustRightInd w:val="0"/>
        <w:snapToGrid w:val="0"/>
        <w:spacing w:line="540" w:lineRule="exact"/>
        <w:ind w:firstLine="632" w:firstLineChars="200"/>
        <w:jc w:val="right"/>
        <w:rPr>
          <w:rFonts w:ascii="仿宋_GB2312" w:hAnsi="仿宋" w:cs="宋体"/>
          <w:bCs/>
          <w:snapToGrid w:val="0"/>
          <w:color w:val="000000"/>
          <w:kern w:val="0"/>
        </w:rPr>
      </w:pPr>
      <w:r>
        <w:rPr>
          <w:rFonts w:hint="eastAsia" w:ascii="仿宋_GB2312" w:hAnsi="仿宋" w:cs="宋体"/>
          <w:bCs/>
          <w:snapToGrid w:val="0"/>
          <w:color w:val="000000"/>
          <w:kern w:val="0"/>
        </w:rPr>
        <w:t xml:space="preserve">青岛市人力资源和社会保障局    </w:t>
      </w:r>
    </w:p>
    <w:p>
      <w:pPr>
        <w:adjustRightInd w:val="0"/>
        <w:snapToGrid w:val="0"/>
        <w:spacing w:line="540" w:lineRule="exact"/>
        <w:ind w:right="960" w:firstLine="632" w:firstLineChars="200"/>
        <w:jc w:val="right"/>
        <w:rPr>
          <w:rFonts w:hint="eastAsia" w:ascii="仿宋_GB2312" w:hAnsi="仿宋" w:cs="宋体"/>
          <w:bCs/>
          <w:snapToGrid w:val="0"/>
          <w:color w:val="000000"/>
          <w:kern w:val="0"/>
        </w:rPr>
      </w:pPr>
      <w:r>
        <w:rPr>
          <w:rFonts w:hint="eastAsia" w:ascii="仿宋_GB2312" w:hAnsi="仿宋" w:cs="宋体"/>
          <w:bCs/>
          <w:snapToGrid w:val="0"/>
          <w:color w:val="000000"/>
          <w:kern w:val="0"/>
        </w:rPr>
        <w:t>202</w:t>
      </w:r>
      <w:r>
        <w:rPr>
          <w:rFonts w:hint="eastAsia" w:ascii="仿宋_GB2312" w:hAnsi="仿宋" w:cs="宋体"/>
          <w:bCs/>
          <w:snapToGrid w:val="0"/>
          <w:color w:val="000000"/>
          <w:kern w:val="0"/>
          <w:lang w:val="en-US" w:eastAsia="zh-CN"/>
        </w:rPr>
        <w:t>6</w:t>
      </w:r>
      <w:r>
        <w:rPr>
          <w:rFonts w:hint="eastAsia" w:ascii="仿宋_GB2312" w:hAnsi="仿宋" w:cs="宋体"/>
          <w:bCs/>
          <w:snapToGrid w:val="0"/>
          <w:color w:val="000000"/>
          <w:kern w:val="0"/>
        </w:rPr>
        <w:t>年</w:t>
      </w:r>
      <w:r>
        <w:rPr>
          <w:rFonts w:hint="eastAsia" w:ascii="仿宋_GB2312" w:hAnsi="仿宋" w:cs="宋体"/>
          <w:bCs/>
          <w:snapToGrid w:val="0"/>
          <w:color w:val="000000"/>
          <w:kern w:val="0"/>
          <w:lang w:val="en-US" w:eastAsia="zh-CN"/>
        </w:rPr>
        <w:t>4</w:t>
      </w:r>
      <w:r>
        <w:rPr>
          <w:rFonts w:hint="eastAsia" w:ascii="仿宋_GB2312" w:hAnsi="仿宋" w:cs="宋体"/>
          <w:bCs/>
          <w:snapToGrid w:val="0"/>
          <w:color w:val="000000"/>
          <w:kern w:val="0"/>
        </w:rPr>
        <w:t>月</w:t>
      </w:r>
      <w:r>
        <w:rPr>
          <w:rFonts w:hint="eastAsia" w:ascii="仿宋_GB2312" w:hAnsi="仿宋" w:cs="宋体"/>
          <w:bCs/>
          <w:snapToGrid w:val="0"/>
          <w:color w:val="000000"/>
          <w:kern w:val="0"/>
          <w:lang w:val="en-US" w:eastAsia="zh-CN"/>
        </w:rPr>
        <w:t>9</w:t>
      </w:r>
      <w:r>
        <w:rPr>
          <w:rFonts w:hint="eastAsia" w:ascii="仿宋_GB2312" w:hAnsi="仿宋" w:cs="宋体"/>
          <w:bCs/>
          <w:snapToGrid w:val="0"/>
          <w:color w:val="000000"/>
          <w:kern w:val="0"/>
        </w:rPr>
        <w:t xml:space="preserve">日   </w:t>
      </w:r>
    </w:p>
    <w:p>
      <w:pPr>
        <w:rPr>
          <w:rFonts w:ascii="仿宋_GB2312" w:hAnsi="宋体"/>
          <w:color w:val="auto"/>
          <w:kern w:val="0"/>
        </w:rPr>
      </w:pPr>
      <w:r>
        <w:rPr>
          <w:rFonts w:ascii="仿宋_GB2312" w:hAnsi="宋体"/>
          <w:color w:val="auto"/>
          <w:kern w:val="0"/>
        </w:rPr>
        <w:br w:type="page"/>
      </w:r>
    </w:p>
    <w:p>
      <w:pPr>
        <w:tabs>
          <w:tab w:val="left" w:pos="594"/>
          <w:tab w:val="left" w:pos="7560"/>
        </w:tabs>
        <w:adjustRightInd w:val="0"/>
        <w:jc w:val="left"/>
        <w:rPr>
          <w:rFonts w:hint="eastAsia" w:ascii="黑体" w:hAnsi="黑体" w:eastAsia="黑体" w:cs="黑体"/>
          <w:snapToGrid w:val="0"/>
          <w:kern w:val="0"/>
          <w:sz w:val="32"/>
          <w:szCs w:val="32"/>
          <w:lang w:val="en-US" w:eastAsia="zh-CN"/>
        </w:rPr>
      </w:pPr>
      <w:r>
        <w:rPr>
          <w:rFonts w:hint="eastAsia" w:ascii="黑体" w:hAnsi="黑体" w:eastAsia="黑体" w:cs="黑体"/>
          <w:snapToGrid w:val="0"/>
          <w:kern w:val="0"/>
          <w:sz w:val="32"/>
          <w:szCs w:val="32"/>
        </w:rPr>
        <w:t>附件</w:t>
      </w:r>
      <w:r>
        <w:rPr>
          <w:rFonts w:hint="eastAsia" w:ascii="黑体" w:hAnsi="黑体" w:eastAsia="黑体" w:cs="黑体"/>
          <w:snapToGrid w:val="0"/>
          <w:kern w:val="0"/>
          <w:sz w:val="32"/>
          <w:szCs w:val="32"/>
          <w:lang w:val="en-US" w:eastAsia="zh-CN"/>
        </w:rPr>
        <w:t>1</w:t>
      </w:r>
    </w:p>
    <w:p>
      <w:pPr>
        <w:tabs>
          <w:tab w:val="left" w:pos="594"/>
          <w:tab w:val="left" w:pos="7560"/>
        </w:tabs>
        <w:adjustRightInd w:val="0"/>
        <w:jc w:val="left"/>
        <w:rPr>
          <w:rFonts w:hint="eastAsia" w:ascii="黑体" w:hAnsi="黑体" w:eastAsia="黑体" w:cs="黑体"/>
          <w:snapToGrid w:val="0"/>
          <w:kern w:val="0"/>
          <w:sz w:val="32"/>
          <w:szCs w:val="32"/>
        </w:rPr>
      </w:pPr>
    </w:p>
    <w:p>
      <w:pPr>
        <w:tabs>
          <w:tab w:val="left" w:pos="594"/>
          <w:tab w:val="left" w:pos="7560"/>
        </w:tabs>
        <w:adjustRightInd w:val="0"/>
        <w:snapToGrid w:val="0"/>
        <w:spacing w:line="560" w:lineRule="exact"/>
        <w:jc w:val="center"/>
        <w:rPr>
          <w:rFonts w:ascii="方正小标宋_GBK" w:hAnsi="方正小标宋_GBK" w:eastAsia="方正小标宋_GBK" w:cs="方正小标宋_GBK"/>
          <w:kern w:val="0"/>
          <w:sz w:val="44"/>
          <w:szCs w:val="44"/>
        </w:rPr>
      </w:pPr>
      <w:r>
        <w:rPr>
          <w:rFonts w:hint="eastAsia" w:ascii="方正小标宋_GBK" w:hAnsi="方正小标宋_GBK" w:eastAsia="方正小标宋_GBK" w:cs="方正小标宋_GBK"/>
          <w:snapToGrid w:val="0"/>
          <w:kern w:val="0"/>
          <w:sz w:val="44"/>
          <w:szCs w:val="44"/>
        </w:rPr>
        <w:t>青岛市202</w:t>
      </w:r>
      <w:r>
        <w:rPr>
          <w:rFonts w:hint="eastAsia" w:ascii="方正小标宋_GBK" w:hAnsi="方正小标宋_GBK" w:eastAsia="方正小标宋_GBK" w:cs="方正小标宋_GBK"/>
          <w:snapToGrid w:val="0"/>
          <w:kern w:val="0"/>
          <w:sz w:val="44"/>
          <w:szCs w:val="44"/>
          <w:lang w:val="en-US" w:eastAsia="zh-CN"/>
        </w:rPr>
        <w:t>6</w:t>
      </w:r>
      <w:r>
        <w:rPr>
          <w:rFonts w:hint="eastAsia" w:ascii="方正小标宋_GBK" w:hAnsi="方正小标宋_GBK" w:eastAsia="方正小标宋_GBK" w:cs="方正小标宋_GBK"/>
          <w:snapToGrid w:val="0"/>
          <w:kern w:val="0"/>
          <w:sz w:val="44"/>
          <w:szCs w:val="44"/>
        </w:rPr>
        <w:t>年度</w:t>
      </w:r>
      <w:r>
        <w:rPr>
          <w:rFonts w:hint="eastAsia" w:ascii="方正小标宋_GBK" w:hAnsi="方正小标宋_GBK" w:eastAsia="方正小标宋_GBK" w:cs="方正小标宋_GBK"/>
          <w:kern w:val="0"/>
          <w:sz w:val="44"/>
          <w:szCs w:val="44"/>
          <w:lang w:eastAsia="zh-CN"/>
        </w:rPr>
        <w:t>统计专业技术</w:t>
      </w:r>
      <w:r>
        <w:rPr>
          <w:rFonts w:hint="eastAsia" w:ascii="方正小标宋_GBK" w:hAnsi="方正小标宋_GBK" w:eastAsia="方正小标宋_GBK" w:cs="方正小标宋_GBK"/>
          <w:kern w:val="0"/>
          <w:sz w:val="44"/>
          <w:szCs w:val="44"/>
        </w:rPr>
        <w:t>资格考试</w:t>
      </w:r>
    </w:p>
    <w:p>
      <w:pPr>
        <w:tabs>
          <w:tab w:val="left" w:pos="594"/>
          <w:tab w:val="left" w:pos="7560"/>
        </w:tabs>
        <w:adjustRightInd w:val="0"/>
        <w:snapToGrid w:val="0"/>
        <w:spacing w:line="560" w:lineRule="exact"/>
        <w:jc w:val="center"/>
        <w:rPr>
          <w:rFonts w:ascii="方正小标宋简体" w:hAnsi="仿宋" w:eastAsia="方正小标宋简体" w:cs="宋体"/>
          <w:snapToGrid w:val="0"/>
          <w:kern w:val="0"/>
          <w:sz w:val="44"/>
          <w:szCs w:val="44"/>
        </w:rPr>
      </w:pPr>
      <w:r>
        <w:rPr>
          <w:rFonts w:hint="eastAsia" w:ascii="方正小标宋_GBK" w:hAnsi="方正小标宋_GBK" w:eastAsia="方正小标宋_GBK" w:cs="方正小标宋_GBK"/>
          <w:kern w:val="0"/>
          <w:sz w:val="44"/>
          <w:szCs w:val="44"/>
        </w:rPr>
        <w:t>报考人员信息审核</w:t>
      </w:r>
      <w:r>
        <w:rPr>
          <w:rFonts w:hint="eastAsia" w:ascii="方正小标宋_GBK" w:hAnsi="方正小标宋_GBK" w:eastAsia="方正小标宋_GBK" w:cs="方正小标宋_GBK"/>
          <w:snapToGrid w:val="0"/>
          <w:kern w:val="0"/>
          <w:sz w:val="44"/>
          <w:szCs w:val="44"/>
        </w:rPr>
        <w:t>点汇总表</w:t>
      </w:r>
    </w:p>
    <w:tbl>
      <w:tblPr>
        <w:tblStyle w:val="19"/>
        <w:tblpPr w:leftFromText="180" w:rightFromText="180" w:vertAnchor="text" w:horzAnchor="page" w:tblpXSpec="center" w:tblpY="270"/>
        <w:tblOverlap w:val="never"/>
        <w:tblW w:w="963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26"/>
        <w:gridCol w:w="3605"/>
        <w:gridCol w:w="1619"/>
        <w:gridCol w:w="21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exact"/>
          <w:jc w:val="center"/>
        </w:trPr>
        <w:tc>
          <w:tcPr>
            <w:tcW w:w="2226" w:type="dxa"/>
            <w:vAlign w:val="center"/>
          </w:tcPr>
          <w:p>
            <w:pPr>
              <w:wordWrap/>
              <w:adjustRightInd/>
              <w:snapToGrid/>
              <w:spacing w:before="0" w:beforeAutospacing="0" w:after="0" w:afterAutospacing="0" w:line="320" w:lineRule="exact"/>
              <w:ind w:left="0" w:right="0"/>
              <w:jc w:val="center"/>
              <w:rPr>
                <w:rFonts w:ascii="Times New Roman" w:hAnsi="Times New Roman" w:eastAsia="仿宋_GB2312" w:cs="Times New Roman"/>
                <w:kern w:val="0"/>
                <w:sz w:val="28"/>
                <w:szCs w:val="28"/>
              </w:rPr>
            </w:pPr>
            <w:r>
              <w:rPr>
                <w:rFonts w:hint="eastAsia" w:ascii="黑体" w:hAnsi="黑体" w:eastAsia="黑体" w:cs="Times New Roman"/>
                <w:color w:val="000000"/>
                <w:kern w:val="0"/>
                <w:sz w:val="28"/>
                <w:szCs w:val="28"/>
              </w:rPr>
              <w:t>区市</w:t>
            </w:r>
          </w:p>
        </w:tc>
        <w:tc>
          <w:tcPr>
            <w:tcW w:w="3605" w:type="dxa"/>
            <w:vAlign w:val="center"/>
          </w:tcPr>
          <w:p>
            <w:pPr>
              <w:wordWrap/>
              <w:adjustRightInd/>
              <w:snapToGrid/>
              <w:spacing w:before="0" w:beforeAutospacing="0" w:after="0" w:afterAutospacing="0" w:line="320" w:lineRule="exact"/>
              <w:ind w:left="0" w:right="0"/>
              <w:jc w:val="center"/>
              <w:rPr>
                <w:rFonts w:ascii="Times New Roman" w:hAnsi="Times New Roman" w:eastAsia="仿宋_GB2312" w:cs="Times New Roman"/>
                <w:kern w:val="0"/>
                <w:sz w:val="28"/>
                <w:szCs w:val="28"/>
              </w:rPr>
            </w:pPr>
            <w:r>
              <w:rPr>
                <w:rFonts w:hint="eastAsia" w:ascii="黑体" w:hAnsi="黑体" w:eastAsia="黑体" w:cs="Times New Roman"/>
                <w:color w:val="000000"/>
                <w:kern w:val="0"/>
                <w:sz w:val="28"/>
                <w:szCs w:val="28"/>
              </w:rPr>
              <w:t>核查点地址</w:t>
            </w:r>
          </w:p>
        </w:tc>
        <w:tc>
          <w:tcPr>
            <w:tcW w:w="1619" w:type="dxa"/>
            <w:vAlign w:val="center"/>
          </w:tcPr>
          <w:p>
            <w:pPr>
              <w:widowControl/>
              <w:wordWrap/>
              <w:adjustRightInd/>
              <w:snapToGrid/>
              <w:spacing w:before="0" w:beforeAutospacing="0" w:after="0" w:afterAutospacing="0" w:line="320" w:lineRule="exact"/>
              <w:ind w:left="0" w:right="0"/>
              <w:jc w:val="center"/>
              <w:textAlignment w:val="center"/>
              <w:rPr>
                <w:rFonts w:hint="default" w:ascii="黑体" w:hAnsi="宋体" w:eastAsia="黑体" w:cs="黑体"/>
                <w:color w:val="000000"/>
                <w:kern w:val="0"/>
                <w:sz w:val="28"/>
                <w:szCs w:val="28"/>
                <w:lang w:val="en-US" w:eastAsia="zh-CN"/>
              </w:rPr>
            </w:pPr>
            <w:r>
              <w:rPr>
                <w:rFonts w:hint="eastAsia" w:ascii="黑体" w:hAnsi="宋体" w:eastAsia="黑体" w:cs="黑体"/>
                <w:color w:val="000000"/>
                <w:kern w:val="0"/>
                <w:sz w:val="28"/>
                <w:szCs w:val="28"/>
                <w:lang w:val="en-US" w:eastAsia="zh-CN"/>
              </w:rPr>
              <w:t>核查时间</w:t>
            </w:r>
          </w:p>
        </w:tc>
        <w:tc>
          <w:tcPr>
            <w:tcW w:w="2186" w:type="dxa"/>
            <w:vAlign w:val="center"/>
          </w:tcPr>
          <w:p>
            <w:pPr>
              <w:widowControl/>
              <w:wordWrap/>
              <w:adjustRightInd/>
              <w:snapToGrid/>
              <w:spacing w:before="0" w:beforeAutospacing="0" w:after="0" w:afterAutospacing="0" w:line="320" w:lineRule="exact"/>
              <w:ind w:left="0" w:right="0"/>
              <w:jc w:val="center"/>
              <w:textAlignment w:val="center"/>
              <w:rPr>
                <w:rFonts w:ascii="Times New Roman" w:hAnsi="Times New Roman" w:eastAsia="仿宋_GB2312" w:cs="Times New Roman"/>
                <w:kern w:val="0"/>
                <w:sz w:val="28"/>
                <w:szCs w:val="28"/>
              </w:rPr>
            </w:pPr>
            <w:r>
              <w:rPr>
                <w:rFonts w:hint="eastAsia" w:ascii="黑体" w:hAnsi="宋体" w:eastAsia="黑体" w:cs="黑体"/>
                <w:color w:val="000000"/>
                <w:kern w:val="0"/>
                <w:sz w:val="28"/>
                <w:szCs w:val="28"/>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exact"/>
          <w:jc w:val="center"/>
        </w:trPr>
        <w:tc>
          <w:tcPr>
            <w:tcW w:w="2226" w:type="dxa"/>
            <w:vAlign w:val="center"/>
          </w:tcPr>
          <w:p>
            <w:pPr>
              <w:widowControl/>
              <w:wordWrap/>
              <w:adjustRightInd/>
              <w:snapToGrid/>
              <w:spacing w:line="320" w:lineRule="exact"/>
              <w:jc w:val="center"/>
              <w:textAlignment w:val="center"/>
              <w:rPr>
                <w:rFonts w:ascii="仿宋_GB2312" w:hAnsi="宋体" w:eastAsia="仿宋_GB2312" w:cs="仿宋_GB2312"/>
                <w:color w:val="000000"/>
                <w:kern w:val="0"/>
                <w:sz w:val="24"/>
                <w:szCs w:val="24"/>
                <w:lang w:val="en-US" w:eastAsia="zh-CN" w:bidi="ar-SA"/>
              </w:rPr>
            </w:pPr>
            <w:r>
              <w:rPr>
                <w:rFonts w:hint="eastAsia" w:ascii="仿宋_GB2312" w:hAnsi="宋体" w:eastAsia="仿宋_GB2312" w:cs="仿宋_GB2312"/>
                <w:color w:val="000000"/>
                <w:kern w:val="0"/>
                <w:sz w:val="24"/>
                <w:szCs w:val="24"/>
              </w:rPr>
              <w:t>城阳区人力资源和社会保障局</w:t>
            </w:r>
          </w:p>
        </w:tc>
        <w:tc>
          <w:tcPr>
            <w:tcW w:w="3605" w:type="dxa"/>
            <w:vAlign w:val="center"/>
          </w:tcPr>
          <w:p>
            <w:pPr>
              <w:widowControl/>
              <w:wordWrap/>
              <w:adjustRightInd/>
              <w:snapToGrid/>
              <w:spacing w:line="320" w:lineRule="exact"/>
              <w:jc w:val="center"/>
              <w:textAlignment w:val="center"/>
              <w:rPr>
                <w:rFonts w:ascii="仿宋_GB2312" w:hAnsi="宋体" w:eastAsia="仿宋_GB2312" w:cs="仿宋_GB2312"/>
                <w:color w:val="000000"/>
                <w:kern w:val="0"/>
                <w:sz w:val="24"/>
                <w:szCs w:val="24"/>
                <w:lang w:val="en-US" w:eastAsia="zh-CN" w:bidi="ar-SA"/>
              </w:rPr>
            </w:pPr>
            <w:r>
              <w:rPr>
                <w:rFonts w:hint="eastAsia" w:ascii="仿宋_GB2312" w:hAnsi="宋体" w:eastAsia="仿宋_GB2312" w:cs="仿宋_GB2312"/>
                <w:color w:val="000000"/>
                <w:kern w:val="0"/>
                <w:sz w:val="24"/>
                <w:szCs w:val="24"/>
              </w:rPr>
              <w:t>城阳区正阳路211号511房间</w:t>
            </w:r>
          </w:p>
        </w:tc>
        <w:tc>
          <w:tcPr>
            <w:tcW w:w="1619" w:type="dxa"/>
            <w:vMerge w:val="restart"/>
            <w:vAlign w:val="center"/>
          </w:tcPr>
          <w:p>
            <w:pPr>
              <w:widowControl/>
              <w:wordWrap/>
              <w:adjustRightInd/>
              <w:snapToGrid/>
              <w:spacing w:before="0" w:beforeAutospacing="0" w:after="0" w:afterAutospacing="0" w:line="320" w:lineRule="exact"/>
              <w:ind w:left="0" w:leftChars="0" w:right="0" w:firstLine="0" w:firstLineChars="0"/>
              <w:jc w:val="left"/>
              <w:textAlignment w:val="center"/>
              <w:outlineLvl w:val="9"/>
              <w:rPr>
                <w:rFonts w:hint="eastAsia" w:ascii="仿宋_GB2312" w:hAnsi="宋体" w:eastAsia="仿宋_GB2312" w:cs="仿宋_GB2312"/>
                <w:color w:val="000000"/>
                <w:kern w:val="0"/>
                <w:sz w:val="24"/>
                <w:szCs w:val="24"/>
                <w:lang w:val="en-US" w:eastAsia="zh-CN"/>
              </w:rPr>
            </w:pPr>
            <w:r>
              <w:rPr>
                <w:rFonts w:hint="eastAsia" w:ascii="仿宋_GB2312" w:hAnsi="宋体" w:eastAsia="仿宋_GB2312" w:cs="仿宋_GB2312"/>
                <w:color w:val="000000"/>
                <w:kern w:val="0"/>
                <w:sz w:val="24"/>
                <w:szCs w:val="24"/>
                <w:lang w:val="en-US" w:eastAsia="zh-CN"/>
              </w:rPr>
              <w:t>现场资格核查日期：</w:t>
            </w:r>
          </w:p>
          <w:p>
            <w:pPr>
              <w:widowControl/>
              <w:wordWrap/>
              <w:adjustRightInd/>
              <w:snapToGrid/>
              <w:spacing w:before="0" w:beforeAutospacing="0" w:after="0" w:afterAutospacing="0" w:line="320" w:lineRule="exact"/>
              <w:ind w:left="0" w:leftChars="0" w:right="0" w:firstLine="0" w:firstLineChars="0"/>
              <w:jc w:val="left"/>
              <w:textAlignment w:val="center"/>
              <w:outlineLvl w:val="9"/>
              <w:rPr>
                <w:rFonts w:hint="eastAsia" w:ascii="仿宋_GB2312" w:hAnsi="宋体" w:eastAsia="仿宋_GB2312" w:cs="仿宋_GB2312"/>
                <w:color w:val="000000"/>
                <w:kern w:val="0"/>
                <w:sz w:val="24"/>
                <w:szCs w:val="24"/>
                <w:lang w:val="en-US" w:eastAsia="zh-CN"/>
              </w:rPr>
            </w:pPr>
            <w:r>
              <w:rPr>
                <w:rFonts w:hint="eastAsia" w:ascii="仿宋_GB2312" w:hAnsi="宋体" w:eastAsia="仿宋_GB2312" w:cs="仿宋_GB2312"/>
                <w:color w:val="000000"/>
                <w:kern w:val="0"/>
                <w:sz w:val="24"/>
                <w:szCs w:val="24"/>
                <w:lang w:val="en-US" w:eastAsia="zh-CN"/>
              </w:rPr>
              <w:t>2026年</w:t>
            </w:r>
            <w:r>
              <w:rPr>
                <w:rFonts w:hint="eastAsia" w:ascii="仿宋_GB2312" w:hAnsi="宋体" w:cs="仿宋_GB2312"/>
                <w:color w:val="000000"/>
                <w:kern w:val="0"/>
                <w:sz w:val="24"/>
                <w:szCs w:val="24"/>
                <w:lang w:val="en-US" w:eastAsia="zh-CN"/>
              </w:rPr>
              <w:t>4</w:t>
            </w:r>
            <w:r>
              <w:rPr>
                <w:rFonts w:hint="eastAsia" w:ascii="仿宋_GB2312" w:hAnsi="宋体" w:eastAsia="仿宋_GB2312" w:cs="仿宋_GB2312"/>
                <w:color w:val="000000"/>
                <w:kern w:val="0"/>
                <w:sz w:val="24"/>
                <w:szCs w:val="24"/>
                <w:lang w:val="en-US" w:eastAsia="zh-CN"/>
              </w:rPr>
              <w:t>月</w:t>
            </w:r>
            <w:r>
              <w:rPr>
                <w:rFonts w:hint="eastAsia" w:ascii="仿宋_GB2312" w:hAnsi="宋体" w:cs="仿宋_GB2312"/>
                <w:color w:val="000000"/>
                <w:kern w:val="0"/>
                <w:sz w:val="24"/>
                <w:szCs w:val="24"/>
                <w:lang w:val="en-US" w:eastAsia="zh-CN"/>
              </w:rPr>
              <w:t>11</w:t>
            </w:r>
            <w:r>
              <w:rPr>
                <w:rFonts w:hint="eastAsia" w:ascii="仿宋_GB2312" w:hAnsi="宋体" w:eastAsia="仿宋_GB2312" w:cs="仿宋_GB2312"/>
                <w:color w:val="000000"/>
                <w:kern w:val="0"/>
                <w:sz w:val="24"/>
                <w:szCs w:val="24"/>
                <w:lang w:val="en-US" w:eastAsia="zh-CN"/>
              </w:rPr>
              <w:t>日—4月</w:t>
            </w:r>
            <w:r>
              <w:rPr>
                <w:rFonts w:hint="eastAsia" w:ascii="仿宋_GB2312" w:hAnsi="宋体" w:cs="仿宋_GB2312"/>
                <w:color w:val="000000"/>
                <w:kern w:val="0"/>
                <w:sz w:val="24"/>
                <w:szCs w:val="24"/>
                <w:lang w:val="en-US" w:eastAsia="zh-CN"/>
              </w:rPr>
              <w:t>21</w:t>
            </w:r>
            <w:r>
              <w:rPr>
                <w:rFonts w:hint="eastAsia" w:ascii="仿宋_GB2312" w:hAnsi="宋体" w:eastAsia="仿宋_GB2312" w:cs="仿宋_GB2312"/>
                <w:color w:val="000000"/>
                <w:kern w:val="0"/>
                <w:sz w:val="24"/>
                <w:szCs w:val="24"/>
                <w:lang w:val="en-US" w:eastAsia="zh-CN"/>
              </w:rPr>
              <w:t>日（周末及国家法定节假日除外）</w:t>
            </w:r>
            <w:r>
              <w:rPr>
                <w:rFonts w:hint="eastAsia" w:ascii="仿宋_GB2312" w:hAnsi="宋体" w:cs="仿宋_GB2312"/>
                <w:color w:val="000000"/>
                <w:kern w:val="0"/>
                <w:sz w:val="24"/>
                <w:szCs w:val="24"/>
                <w:lang w:val="en-US" w:eastAsia="zh-CN"/>
              </w:rPr>
              <w:t>。</w:t>
            </w:r>
          </w:p>
          <w:p>
            <w:pPr>
              <w:widowControl/>
              <w:wordWrap/>
              <w:adjustRightInd/>
              <w:snapToGrid/>
              <w:spacing w:before="0" w:beforeAutospacing="0" w:after="0" w:afterAutospacing="0" w:line="320" w:lineRule="exact"/>
              <w:ind w:left="0" w:right="0"/>
              <w:jc w:val="center"/>
              <w:textAlignment w:val="center"/>
              <w:rPr>
                <w:rFonts w:hint="eastAsia" w:ascii="仿宋_GB2312" w:hAnsi="宋体" w:eastAsia="仿宋_GB2312" w:cs="仿宋_GB2312"/>
                <w:color w:val="000000"/>
                <w:kern w:val="0"/>
                <w:sz w:val="28"/>
                <w:szCs w:val="28"/>
              </w:rPr>
            </w:pPr>
            <w:r>
              <w:rPr>
                <w:rFonts w:hint="eastAsia" w:ascii="仿宋_GB2312" w:hAnsi="宋体" w:eastAsia="仿宋_GB2312" w:cs="仿宋_GB2312"/>
                <w:color w:val="000000"/>
                <w:kern w:val="0"/>
                <w:sz w:val="24"/>
                <w:szCs w:val="24"/>
                <w:lang w:val="en-US" w:eastAsia="zh-CN"/>
              </w:rPr>
              <w:t>现场资格核查时间：上午9:00-11:30，下午1:30-5:00（4月</w:t>
            </w:r>
            <w:r>
              <w:rPr>
                <w:rFonts w:hint="eastAsia" w:ascii="仿宋_GB2312" w:hAnsi="宋体" w:cs="仿宋_GB2312"/>
                <w:color w:val="000000"/>
                <w:kern w:val="0"/>
                <w:sz w:val="24"/>
                <w:szCs w:val="24"/>
                <w:lang w:val="en-US" w:eastAsia="zh-CN"/>
              </w:rPr>
              <w:t>22</w:t>
            </w:r>
            <w:r>
              <w:rPr>
                <w:rFonts w:hint="eastAsia" w:ascii="仿宋_GB2312" w:hAnsi="宋体" w:eastAsia="仿宋_GB2312" w:cs="仿宋_GB2312"/>
                <w:color w:val="000000"/>
                <w:kern w:val="0"/>
                <w:sz w:val="24"/>
                <w:szCs w:val="24"/>
                <w:lang w:val="en-US" w:eastAsia="zh-CN"/>
              </w:rPr>
              <w:t>日下午1:30-4:00）。</w:t>
            </w:r>
          </w:p>
        </w:tc>
        <w:tc>
          <w:tcPr>
            <w:tcW w:w="2186" w:type="dxa"/>
            <w:vAlign w:val="center"/>
          </w:tcPr>
          <w:p>
            <w:pPr>
              <w:widowControl/>
              <w:wordWrap/>
              <w:adjustRightInd/>
              <w:snapToGrid/>
              <w:spacing w:line="320" w:lineRule="exact"/>
              <w:jc w:val="center"/>
              <w:textAlignment w:val="center"/>
              <w:rPr>
                <w:rFonts w:ascii="仿宋_GB2312" w:hAnsi="宋体" w:eastAsia="仿宋_GB2312" w:cs="仿宋_GB2312"/>
                <w:color w:val="000000"/>
                <w:kern w:val="0"/>
                <w:sz w:val="24"/>
                <w:szCs w:val="24"/>
                <w:lang w:val="en-US" w:eastAsia="zh-CN" w:bidi="ar-SA"/>
              </w:rPr>
            </w:pPr>
            <w:r>
              <w:rPr>
                <w:rFonts w:hint="eastAsia" w:ascii="仿宋_GB2312" w:hAnsi="宋体" w:eastAsia="仿宋_GB2312" w:cs="仿宋_GB2312"/>
                <w:color w:val="000000"/>
                <w:kern w:val="0"/>
                <w:sz w:val="24"/>
                <w:szCs w:val="24"/>
              </w:rPr>
              <w:t>0532-58659757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exact"/>
          <w:jc w:val="center"/>
        </w:trPr>
        <w:tc>
          <w:tcPr>
            <w:tcW w:w="2226" w:type="dxa"/>
            <w:vAlign w:val="center"/>
          </w:tcPr>
          <w:p>
            <w:pPr>
              <w:widowControl/>
              <w:wordWrap/>
              <w:adjustRightInd/>
              <w:snapToGrid/>
              <w:spacing w:line="320" w:lineRule="exact"/>
              <w:jc w:val="center"/>
              <w:textAlignment w:val="center"/>
              <w:rPr>
                <w:rFonts w:ascii="仿宋_GB2312" w:hAnsi="宋体" w:eastAsia="仿宋_GB2312" w:cs="仿宋_GB2312"/>
                <w:color w:val="000000"/>
                <w:kern w:val="0"/>
                <w:sz w:val="24"/>
                <w:szCs w:val="24"/>
                <w:lang w:val="en-US" w:eastAsia="zh-CN" w:bidi="ar-SA"/>
              </w:rPr>
            </w:pPr>
            <w:r>
              <w:rPr>
                <w:rFonts w:hint="eastAsia" w:ascii="仿宋_GB2312" w:hAnsi="宋体" w:eastAsia="仿宋_GB2312" w:cs="仿宋_GB2312"/>
                <w:color w:val="000000"/>
                <w:kern w:val="0"/>
                <w:sz w:val="24"/>
                <w:szCs w:val="24"/>
              </w:rPr>
              <w:t>西海岸新区人力资源和社会保障局</w:t>
            </w:r>
          </w:p>
        </w:tc>
        <w:tc>
          <w:tcPr>
            <w:tcW w:w="3605" w:type="dxa"/>
            <w:vAlign w:val="center"/>
          </w:tcPr>
          <w:p>
            <w:pPr>
              <w:widowControl/>
              <w:wordWrap/>
              <w:adjustRightInd/>
              <w:snapToGrid/>
              <w:spacing w:line="320" w:lineRule="exact"/>
              <w:jc w:val="center"/>
              <w:textAlignment w:val="center"/>
              <w:rPr>
                <w:rFonts w:ascii="仿宋_GB2312" w:hAnsi="宋体" w:eastAsia="仿宋_GB2312" w:cs="仿宋_GB2312"/>
                <w:color w:val="000000"/>
                <w:kern w:val="0"/>
                <w:sz w:val="24"/>
                <w:szCs w:val="24"/>
                <w:lang w:val="en-US" w:eastAsia="zh-CN" w:bidi="ar-SA"/>
              </w:rPr>
            </w:pPr>
            <w:r>
              <w:rPr>
                <w:rFonts w:hint="eastAsia" w:ascii="仿宋_GB2312" w:hAnsi="宋体" w:eastAsia="仿宋_GB2312" w:cs="仿宋_GB2312"/>
                <w:color w:val="000000"/>
                <w:kern w:val="0"/>
                <w:sz w:val="24"/>
                <w:szCs w:val="24"/>
              </w:rPr>
              <w:t>西海岸新区水灵山路188号2号楼101室</w:t>
            </w:r>
          </w:p>
        </w:tc>
        <w:tc>
          <w:tcPr>
            <w:tcW w:w="1619" w:type="dxa"/>
            <w:vMerge w:val="continue"/>
            <w:vAlign w:val="center"/>
          </w:tcPr>
          <w:p>
            <w:pPr>
              <w:widowControl/>
              <w:wordWrap/>
              <w:adjustRightInd/>
              <w:snapToGrid/>
              <w:spacing w:before="0" w:beforeAutospacing="0" w:after="0" w:afterAutospacing="0" w:line="320" w:lineRule="exact"/>
              <w:ind w:left="0" w:right="0"/>
              <w:textAlignment w:val="center"/>
              <w:rPr>
                <w:rFonts w:hint="eastAsia" w:ascii="仿宋_GB2312" w:hAnsi="宋体" w:eastAsia="仿宋_GB2312" w:cs="仿宋_GB2312"/>
                <w:color w:val="000000"/>
                <w:kern w:val="0"/>
                <w:sz w:val="28"/>
                <w:szCs w:val="28"/>
              </w:rPr>
            </w:pPr>
          </w:p>
        </w:tc>
        <w:tc>
          <w:tcPr>
            <w:tcW w:w="2186" w:type="dxa"/>
            <w:vAlign w:val="center"/>
          </w:tcPr>
          <w:p>
            <w:pPr>
              <w:widowControl/>
              <w:wordWrap/>
              <w:adjustRightInd/>
              <w:snapToGrid/>
              <w:spacing w:line="320" w:lineRule="exact"/>
              <w:jc w:val="center"/>
              <w:textAlignment w:val="center"/>
              <w:rPr>
                <w:rFonts w:ascii="仿宋_GB2312" w:hAnsi="宋体" w:eastAsia="仿宋_GB2312" w:cs="仿宋_GB2312"/>
                <w:color w:val="000000"/>
                <w:kern w:val="0"/>
                <w:sz w:val="24"/>
                <w:szCs w:val="24"/>
                <w:lang w:val="en-US" w:eastAsia="zh-CN" w:bidi="ar-SA"/>
              </w:rPr>
            </w:pPr>
            <w:r>
              <w:rPr>
                <w:rFonts w:hint="eastAsia" w:ascii="仿宋_GB2312" w:hAnsi="宋体" w:eastAsia="仿宋_GB2312" w:cs="仿宋_GB2312"/>
                <w:color w:val="000000"/>
                <w:kern w:val="0"/>
                <w:sz w:val="24"/>
                <w:szCs w:val="24"/>
              </w:rPr>
              <w:t>0532-85166766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exact"/>
          <w:jc w:val="center"/>
        </w:trPr>
        <w:tc>
          <w:tcPr>
            <w:tcW w:w="2226" w:type="dxa"/>
            <w:vAlign w:val="center"/>
          </w:tcPr>
          <w:p>
            <w:pPr>
              <w:widowControl/>
              <w:wordWrap/>
              <w:adjustRightInd/>
              <w:snapToGrid/>
              <w:spacing w:line="320" w:lineRule="exact"/>
              <w:jc w:val="center"/>
              <w:textAlignment w:val="center"/>
              <w:rPr>
                <w:rFonts w:ascii="仿宋_GB2312" w:hAnsi="宋体" w:eastAsia="仿宋_GB2312" w:cs="仿宋_GB2312"/>
                <w:color w:val="000000"/>
                <w:kern w:val="0"/>
                <w:sz w:val="24"/>
                <w:szCs w:val="24"/>
                <w:lang w:val="en-US" w:eastAsia="zh-CN" w:bidi="ar-SA"/>
              </w:rPr>
            </w:pPr>
            <w:r>
              <w:rPr>
                <w:rFonts w:hint="eastAsia" w:ascii="仿宋_GB2312" w:hAnsi="宋体" w:eastAsia="仿宋_GB2312" w:cs="仿宋_GB2312"/>
                <w:color w:val="000000"/>
                <w:kern w:val="0"/>
                <w:sz w:val="24"/>
                <w:szCs w:val="24"/>
              </w:rPr>
              <w:t>即墨区人力资源和社会保障局</w:t>
            </w:r>
          </w:p>
        </w:tc>
        <w:tc>
          <w:tcPr>
            <w:tcW w:w="3605" w:type="dxa"/>
            <w:vAlign w:val="center"/>
          </w:tcPr>
          <w:p>
            <w:pPr>
              <w:widowControl/>
              <w:wordWrap/>
              <w:adjustRightInd/>
              <w:snapToGrid/>
              <w:spacing w:line="320" w:lineRule="exact"/>
              <w:jc w:val="center"/>
              <w:textAlignment w:val="center"/>
              <w:rPr>
                <w:rFonts w:ascii="仿宋_GB2312" w:hAnsi="宋体" w:eastAsia="仿宋_GB2312" w:cs="仿宋_GB2312"/>
                <w:color w:val="000000"/>
                <w:kern w:val="0"/>
                <w:sz w:val="24"/>
                <w:szCs w:val="24"/>
                <w:lang w:val="en-US" w:eastAsia="zh-CN" w:bidi="ar-SA"/>
              </w:rPr>
            </w:pPr>
            <w:r>
              <w:rPr>
                <w:rFonts w:hint="eastAsia" w:ascii="仿宋_GB2312" w:hAnsi="宋体" w:eastAsia="仿宋_GB2312" w:cs="仿宋_GB2312"/>
                <w:color w:val="000000"/>
                <w:kern w:val="0"/>
                <w:sz w:val="24"/>
                <w:szCs w:val="24"/>
              </w:rPr>
              <w:t>即墨区振武路496号政务服务大厅k楼809室</w:t>
            </w:r>
          </w:p>
        </w:tc>
        <w:tc>
          <w:tcPr>
            <w:tcW w:w="1619" w:type="dxa"/>
            <w:vMerge w:val="continue"/>
            <w:vAlign w:val="center"/>
          </w:tcPr>
          <w:p>
            <w:pPr>
              <w:widowControl/>
              <w:wordWrap/>
              <w:adjustRightInd/>
              <w:snapToGrid/>
              <w:spacing w:before="0" w:beforeAutospacing="0" w:after="0" w:afterAutospacing="0" w:line="320" w:lineRule="exact"/>
              <w:ind w:left="0" w:right="0"/>
              <w:textAlignment w:val="center"/>
              <w:rPr>
                <w:rFonts w:hint="eastAsia" w:ascii="仿宋_GB2312" w:hAnsi="宋体" w:eastAsia="仿宋_GB2312" w:cs="仿宋_GB2312"/>
                <w:color w:val="000000"/>
                <w:kern w:val="0"/>
                <w:sz w:val="28"/>
                <w:szCs w:val="28"/>
              </w:rPr>
            </w:pPr>
          </w:p>
        </w:tc>
        <w:tc>
          <w:tcPr>
            <w:tcW w:w="2186" w:type="dxa"/>
            <w:vAlign w:val="center"/>
          </w:tcPr>
          <w:p>
            <w:pPr>
              <w:widowControl/>
              <w:wordWrap/>
              <w:adjustRightInd/>
              <w:snapToGrid/>
              <w:spacing w:line="320" w:lineRule="exact"/>
              <w:jc w:val="center"/>
              <w:textAlignment w:val="center"/>
              <w:rPr>
                <w:rFonts w:ascii="仿宋_GB2312" w:hAnsi="宋体" w:eastAsia="仿宋_GB2312" w:cs="仿宋_GB2312"/>
                <w:color w:val="000000"/>
                <w:kern w:val="0"/>
                <w:sz w:val="24"/>
                <w:szCs w:val="24"/>
                <w:lang w:val="en-US" w:eastAsia="zh-CN" w:bidi="ar-SA"/>
              </w:rPr>
            </w:pPr>
            <w:r>
              <w:rPr>
                <w:rFonts w:hint="eastAsia" w:ascii="仿宋_GB2312" w:hAnsi="宋体" w:eastAsia="仿宋_GB2312" w:cs="仿宋_GB2312"/>
                <w:color w:val="000000"/>
                <w:kern w:val="0"/>
                <w:sz w:val="24"/>
                <w:szCs w:val="24"/>
              </w:rPr>
              <w:t>0532-88551734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exact"/>
          <w:jc w:val="center"/>
        </w:trPr>
        <w:tc>
          <w:tcPr>
            <w:tcW w:w="2226" w:type="dxa"/>
            <w:vAlign w:val="center"/>
          </w:tcPr>
          <w:p>
            <w:pPr>
              <w:widowControl/>
              <w:wordWrap/>
              <w:adjustRightInd/>
              <w:snapToGrid/>
              <w:spacing w:line="320" w:lineRule="exact"/>
              <w:jc w:val="center"/>
              <w:textAlignment w:val="center"/>
              <w:rPr>
                <w:rFonts w:ascii="仿宋_GB2312" w:hAnsi="宋体" w:eastAsia="仿宋_GB2312" w:cs="仿宋_GB2312"/>
                <w:color w:val="000000"/>
                <w:kern w:val="0"/>
                <w:sz w:val="24"/>
                <w:szCs w:val="24"/>
                <w:lang w:val="en-US" w:eastAsia="zh-CN" w:bidi="ar-SA"/>
              </w:rPr>
            </w:pPr>
            <w:r>
              <w:rPr>
                <w:rFonts w:hint="eastAsia" w:ascii="仿宋_GB2312" w:hAnsi="宋体" w:eastAsia="仿宋_GB2312" w:cs="仿宋_GB2312"/>
                <w:color w:val="000000"/>
                <w:kern w:val="0"/>
                <w:sz w:val="24"/>
                <w:szCs w:val="24"/>
              </w:rPr>
              <w:t>胶州市人力资源和社会保障局</w:t>
            </w:r>
          </w:p>
        </w:tc>
        <w:tc>
          <w:tcPr>
            <w:tcW w:w="3605" w:type="dxa"/>
            <w:vAlign w:val="center"/>
          </w:tcPr>
          <w:p>
            <w:pPr>
              <w:widowControl/>
              <w:wordWrap/>
              <w:adjustRightInd/>
              <w:snapToGrid/>
              <w:spacing w:line="320" w:lineRule="exact"/>
              <w:jc w:val="center"/>
              <w:textAlignment w:val="center"/>
              <w:rPr>
                <w:rFonts w:ascii="仿宋_GB2312" w:hAnsi="宋体" w:eastAsia="仿宋_GB2312" w:cs="仿宋_GB2312"/>
                <w:color w:val="000000"/>
                <w:kern w:val="0"/>
                <w:sz w:val="24"/>
                <w:szCs w:val="24"/>
                <w:lang w:val="en-US" w:eastAsia="zh-CN" w:bidi="ar-SA"/>
              </w:rPr>
            </w:pPr>
            <w:r>
              <w:rPr>
                <w:rFonts w:hint="eastAsia" w:ascii="仿宋_GB2312" w:hAnsi="宋体" w:eastAsia="仿宋_GB2312" w:cs="仿宋_GB2312"/>
                <w:color w:val="000000"/>
                <w:kern w:val="0"/>
                <w:sz w:val="24"/>
                <w:szCs w:val="24"/>
              </w:rPr>
              <w:t>胶州市北京路2号行政服务大楼13楼1309房间</w:t>
            </w:r>
          </w:p>
        </w:tc>
        <w:tc>
          <w:tcPr>
            <w:tcW w:w="1619" w:type="dxa"/>
            <w:vMerge w:val="continue"/>
            <w:vAlign w:val="center"/>
          </w:tcPr>
          <w:p>
            <w:pPr>
              <w:widowControl/>
              <w:wordWrap/>
              <w:adjustRightInd/>
              <w:snapToGrid/>
              <w:spacing w:before="0" w:beforeAutospacing="0" w:after="0" w:afterAutospacing="0" w:line="320" w:lineRule="exact"/>
              <w:ind w:left="0" w:right="0"/>
              <w:jc w:val="center"/>
              <w:textAlignment w:val="center"/>
              <w:rPr>
                <w:rFonts w:hint="eastAsia" w:ascii="仿宋_GB2312" w:hAnsi="宋体" w:eastAsia="仿宋_GB2312" w:cs="仿宋_GB2312"/>
                <w:color w:val="000000"/>
                <w:kern w:val="0"/>
                <w:sz w:val="28"/>
                <w:szCs w:val="28"/>
              </w:rPr>
            </w:pPr>
          </w:p>
        </w:tc>
        <w:tc>
          <w:tcPr>
            <w:tcW w:w="2186" w:type="dxa"/>
            <w:vAlign w:val="center"/>
          </w:tcPr>
          <w:p>
            <w:pPr>
              <w:widowControl/>
              <w:wordWrap/>
              <w:adjustRightInd/>
              <w:snapToGrid/>
              <w:spacing w:line="320" w:lineRule="exact"/>
              <w:jc w:val="center"/>
              <w:textAlignment w:val="center"/>
              <w:rPr>
                <w:rFonts w:ascii="仿宋_GB2312" w:hAnsi="宋体" w:eastAsia="仿宋_GB2312" w:cs="仿宋_GB2312"/>
                <w:color w:val="000000"/>
                <w:kern w:val="0"/>
                <w:sz w:val="24"/>
                <w:szCs w:val="24"/>
                <w:lang w:val="en-US" w:eastAsia="zh-CN" w:bidi="ar-SA"/>
              </w:rPr>
            </w:pPr>
            <w:r>
              <w:rPr>
                <w:rFonts w:hint="eastAsia" w:ascii="仿宋_GB2312" w:hAnsi="宋体" w:eastAsia="仿宋_GB2312" w:cs="仿宋_GB2312"/>
                <w:color w:val="000000"/>
                <w:kern w:val="0"/>
                <w:sz w:val="24"/>
                <w:szCs w:val="24"/>
              </w:rPr>
              <w:t>0532-82206551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exact"/>
          <w:jc w:val="center"/>
        </w:trPr>
        <w:tc>
          <w:tcPr>
            <w:tcW w:w="2226" w:type="dxa"/>
            <w:vAlign w:val="center"/>
          </w:tcPr>
          <w:p>
            <w:pPr>
              <w:widowControl/>
              <w:wordWrap/>
              <w:adjustRightInd/>
              <w:snapToGrid/>
              <w:spacing w:line="320" w:lineRule="exact"/>
              <w:jc w:val="center"/>
              <w:textAlignment w:val="center"/>
              <w:rPr>
                <w:rFonts w:ascii="仿宋_GB2312" w:hAnsi="宋体" w:eastAsia="仿宋_GB2312" w:cs="仿宋_GB2312"/>
                <w:color w:val="000000"/>
                <w:kern w:val="0"/>
                <w:sz w:val="24"/>
                <w:szCs w:val="24"/>
                <w:lang w:val="en-US" w:eastAsia="zh-CN" w:bidi="ar-SA"/>
              </w:rPr>
            </w:pPr>
            <w:r>
              <w:rPr>
                <w:rFonts w:hint="eastAsia" w:ascii="仿宋_GB2312" w:hAnsi="宋体" w:eastAsia="仿宋_GB2312" w:cs="仿宋_GB2312"/>
                <w:color w:val="000000"/>
                <w:kern w:val="0"/>
                <w:sz w:val="24"/>
                <w:szCs w:val="24"/>
              </w:rPr>
              <w:t>莱西市人力资源和社会保障局</w:t>
            </w:r>
          </w:p>
        </w:tc>
        <w:tc>
          <w:tcPr>
            <w:tcW w:w="3605" w:type="dxa"/>
            <w:vAlign w:val="center"/>
          </w:tcPr>
          <w:p>
            <w:pPr>
              <w:widowControl/>
              <w:wordWrap/>
              <w:adjustRightInd/>
              <w:snapToGrid/>
              <w:spacing w:line="320" w:lineRule="exact"/>
              <w:jc w:val="center"/>
              <w:textAlignment w:val="center"/>
              <w:rPr>
                <w:rFonts w:hint="default" w:ascii="仿宋_GB2312" w:hAnsi="宋体" w:eastAsia="仿宋_GB2312" w:cs="仿宋_GB2312"/>
                <w:color w:val="000000"/>
                <w:kern w:val="0"/>
                <w:sz w:val="24"/>
                <w:szCs w:val="24"/>
                <w:lang w:val="en-US" w:eastAsia="zh-CN" w:bidi="ar-SA"/>
              </w:rPr>
            </w:pPr>
            <w:r>
              <w:rPr>
                <w:rFonts w:hint="eastAsia" w:ascii="仿宋_GB2312" w:hAnsi="宋体" w:eastAsia="仿宋_GB2312" w:cs="仿宋_GB2312"/>
                <w:color w:val="000000"/>
                <w:kern w:val="0"/>
                <w:sz w:val="24"/>
                <w:szCs w:val="24"/>
              </w:rPr>
              <w:t>莱西市烟台路79号公共就业和人才服务中心1号楼101室</w:t>
            </w:r>
          </w:p>
        </w:tc>
        <w:tc>
          <w:tcPr>
            <w:tcW w:w="1619" w:type="dxa"/>
            <w:vMerge w:val="continue"/>
            <w:vAlign w:val="center"/>
          </w:tcPr>
          <w:p>
            <w:pPr>
              <w:widowControl/>
              <w:wordWrap/>
              <w:adjustRightInd/>
              <w:snapToGrid/>
              <w:spacing w:before="0" w:beforeAutospacing="0" w:after="0" w:afterAutospacing="0" w:line="320" w:lineRule="exact"/>
              <w:ind w:left="0" w:right="0"/>
              <w:jc w:val="center"/>
              <w:textAlignment w:val="center"/>
              <w:rPr>
                <w:rFonts w:hint="eastAsia" w:ascii="仿宋_GB2312" w:hAnsi="宋体" w:eastAsia="仿宋_GB2312" w:cs="仿宋_GB2312"/>
                <w:color w:val="000000"/>
                <w:kern w:val="0"/>
                <w:sz w:val="28"/>
                <w:szCs w:val="28"/>
              </w:rPr>
            </w:pPr>
          </w:p>
        </w:tc>
        <w:tc>
          <w:tcPr>
            <w:tcW w:w="2186" w:type="dxa"/>
            <w:vAlign w:val="center"/>
          </w:tcPr>
          <w:p>
            <w:pPr>
              <w:widowControl/>
              <w:wordWrap/>
              <w:adjustRightInd/>
              <w:snapToGrid/>
              <w:spacing w:line="320" w:lineRule="exact"/>
              <w:jc w:val="center"/>
              <w:textAlignment w:val="center"/>
              <w:rPr>
                <w:rFonts w:ascii="仿宋_GB2312" w:hAnsi="宋体" w:eastAsia="仿宋_GB2312" w:cs="仿宋_GB2312"/>
                <w:color w:val="000000"/>
                <w:kern w:val="0"/>
                <w:sz w:val="24"/>
                <w:szCs w:val="24"/>
                <w:lang w:val="en-US" w:eastAsia="zh-CN" w:bidi="ar-SA"/>
              </w:rPr>
            </w:pPr>
            <w:r>
              <w:rPr>
                <w:rFonts w:hint="eastAsia" w:ascii="仿宋_GB2312" w:hAnsi="宋体" w:eastAsia="仿宋_GB2312" w:cs="仿宋_GB2312"/>
                <w:color w:val="000000"/>
                <w:kern w:val="0"/>
                <w:sz w:val="24"/>
                <w:szCs w:val="24"/>
              </w:rPr>
              <w:t>0532-88475177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exact"/>
          <w:jc w:val="center"/>
        </w:trPr>
        <w:tc>
          <w:tcPr>
            <w:tcW w:w="2226" w:type="dxa"/>
            <w:vAlign w:val="center"/>
          </w:tcPr>
          <w:p>
            <w:pPr>
              <w:widowControl/>
              <w:wordWrap/>
              <w:adjustRightInd/>
              <w:snapToGrid/>
              <w:spacing w:line="320" w:lineRule="exact"/>
              <w:jc w:val="center"/>
              <w:textAlignment w:val="center"/>
              <w:rPr>
                <w:rFonts w:hint="eastAsia" w:ascii="仿宋_GB2312" w:hAnsi="宋体" w:eastAsia="仿宋_GB2312" w:cs="仿宋_GB2312"/>
                <w:color w:val="000000"/>
                <w:kern w:val="0"/>
                <w:sz w:val="24"/>
                <w:szCs w:val="24"/>
                <w:lang w:val="en-US" w:eastAsia="zh-CN" w:bidi="ar-SA"/>
              </w:rPr>
            </w:pPr>
            <w:r>
              <w:rPr>
                <w:rFonts w:hint="eastAsia" w:ascii="仿宋_GB2312" w:hAnsi="宋体" w:eastAsia="仿宋_GB2312" w:cs="仿宋_GB2312"/>
                <w:color w:val="000000"/>
                <w:kern w:val="0"/>
                <w:sz w:val="24"/>
                <w:szCs w:val="24"/>
              </w:rPr>
              <w:t>平度市人力资源和社会保障局</w:t>
            </w:r>
          </w:p>
        </w:tc>
        <w:tc>
          <w:tcPr>
            <w:tcW w:w="3605" w:type="dxa"/>
            <w:vAlign w:val="center"/>
          </w:tcPr>
          <w:p>
            <w:pPr>
              <w:widowControl/>
              <w:wordWrap/>
              <w:adjustRightInd/>
              <w:snapToGrid/>
              <w:spacing w:line="320" w:lineRule="exact"/>
              <w:jc w:val="center"/>
              <w:textAlignment w:val="center"/>
              <w:rPr>
                <w:rFonts w:hint="eastAsia" w:ascii="仿宋_GB2312" w:hAnsi="宋体" w:eastAsia="仿宋_GB2312" w:cs="仿宋_GB2312"/>
                <w:color w:val="000000"/>
                <w:kern w:val="0"/>
                <w:sz w:val="24"/>
                <w:szCs w:val="24"/>
                <w:lang w:val="en-US" w:eastAsia="zh-CN" w:bidi="ar-SA"/>
              </w:rPr>
            </w:pPr>
            <w:r>
              <w:rPr>
                <w:rFonts w:hint="eastAsia" w:ascii="仿宋_GB2312" w:hAnsi="宋体" w:eastAsia="仿宋_GB2312" w:cs="仿宋_GB2312"/>
                <w:color w:val="000000"/>
                <w:kern w:val="0"/>
                <w:sz w:val="24"/>
                <w:szCs w:val="24"/>
              </w:rPr>
              <w:t>平度市北京路379号1号楼219室</w:t>
            </w:r>
          </w:p>
        </w:tc>
        <w:tc>
          <w:tcPr>
            <w:tcW w:w="1619" w:type="dxa"/>
            <w:vMerge w:val="continue"/>
            <w:vAlign w:val="center"/>
          </w:tcPr>
          <w:p>
            <w:pPr>
              <w:widowControl/>
              <w:wordWrap/>
              <w:adjustRightInd/>
              <w:snapToGrid/>
              <w:spacing w:before="0" w:beforeAutospacing="0" w:after="0" w:afterAutospacing="0" w:line="320" w:lineRule="exact"/>
              <w:ind w:left="0" w:right="0"/>
              <w:jc w:val="center"/>
              <w:textAlignment w:val="center"/>
              <w:rPr>
                <w:rFonts w:hint="eastAsia" w:ascii="仿宋_GB2312" w:hAnsi="宋体" w:eastAsia="仿宋_GB2312" w:cs="仿宋_GB2312"/>
                <w:color w:val="000000"/>
                <w:kern w:val="0"/>
                <w:sz w:val="28"/>
                <w:szCs w:val="28"/>
              </w:rPr>
            </w:pPr>
          </w:p>
        </w:tc>
        <w:tc>
          <w:tcPr>
            <w:tcW w:w="2186" w:type="dxa"/>
            <w:vAlign w:val="center"/>
          </w:tcPr>
          <w:p>
            <w:pPr>
              <w:widowControl/>
              <w:wordWrap/>
              <w:adjustRightInd/>
              <w:snapToGrid/>
              <w:spacing w:line="320" w:lineRule="exact"/>
              <w:jc w:val="center"/>
              <w:textAlignment w:val="center"/>
              <w:rPr>
                <w:rFonts w:hint="eastAsia" w:ascii="仿宋_GB2312" w:hAnsi="宋体" w:eastAsia="仿宋_GB2312" w:cs="仿宋_GB2312"/>
                <w:color w:val="000000"/>
                <w:kern w:val="0"/>
                <w:sz w:val="24"/>
                <w:szCs w:val="24"/>
                <w:lang w:val="en-US" w:eastAsia="zh-CN" w:bidi="ar-SA"/>
              </w:rPr>
            </w:pPr>
            <w:r>
              <w:rPr>
                <w:rFonts w:hint="eastAsia" w:ascii="仿宋_GB2312" w:hAnsi="宋体" w:eastAsia="仿宋_GB2312" w:cs="仿宋_GB2312"/>
                <w:color w:val="000000"/>
                <w:kern w:val="0"/>
                <w:sz w:val="24"/>
                <w:szCs w:val="24"/>
              </w:rPr>
              <w:t>0532-88396837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exact"/>
          <w:jc w:val="center"/>
        </w:trPr>
        <w:tc>
          <w:tcPr>
            <w:tcW w:w="2226" w:type="dxa"/>
            <w:vAlign w:val="center"/>
          </w:tcPr>
          <w:p>
            <w:pPr>
              <w:widowControl/>
              <w:wordWrap/>
              <w:adjustRightInd/>
              <w:snapToGrid/>
              <w:spacing w:line="320" w:lineRule="exact"/>
              <w:jc w:val="center"/>
              <w:textAlignment w:val="center"/>
              <w:rPr>
                <w:rFonts w:hint="eastAsia" w:ascii="仿宋_GB2312" w:hAnsi="宋体" w:eastAsia="仿宋_GB2312" w:cs="仿宋_GB2312"/>
                <w:color w:val="000000"/>
                <w:kern w:val="0"/>
                <w:sz w:val="24"/>
                <w:szCs w:val="24"/>
                <w:lang w:val="en-US" w:eastAsia="zh-CN" w:bidi="ar-SA"/>
              </w:rPr>
            </w:pPr>
            <w:r>
              <w:rPr>
                <w:rFonts w:hint="eastAsia" w:ascii="仿宋_GB2312" w:hAnsi="宋体" w:eastAsia="仿宋_GB2312" w:cs="仿宋_GB2312"/>
                <w:color w:val="000000"/>
                <w:kern w:val="0"/>
                <w:sz w:val="24"/>
                <w:szCs w:val="24"/>
              </w:rPr>
              <w:t>市南区人力资源和社会保障局</w:t>
            </w:r>
          </w:p>
        </w:tc>
        <w:tc>
          <w:tcPr>
            <w:tcW w:w="3605" w:type="dxa"/>
            <w:vAlign w:val="center"/>
          </w:tcPr>
          <w:p>
            <w:pPr>
              <w:widowControl/>
              <w:wordWrap/>
              <w:adjustRightInd/>
              <w:snapToGrid/>
              <w:spacing w:line="320" w:lineRule="exact"/>
              <w:jc w:val="center"/>
              <w:textAlignment w:val="center"/>
              <w:rPr>
                <w:rFonts w:hint="eastAsia" w:ascii="仿宋_GB2312" w:hAnsi="宋体" w:eastAsia="仿宋_GB2312" w:cs="仿宋_GB2312"/>
                <w:color w:val="000000"/>
                <w:kern w:val="0"/>
                <w:sz w:val="24"/>
                <w:szCs w:val="24"/>
                <w:lang w:val="en-US" w:eastAsia="zh-CN" w:bidi="ar-SA"/>
              </w:rPr>
            </w:pPr>
            <w:r>
              <w:rPr>
                <w:rFonts w:hint="eastAsia" w:ascii="仿宋_GB2312" w:hAnsi="宋体" w:eastAsia="仿宋_GB2312" w:cs="仿宋_GB2312"/>
                <w:color w:val="000000"/>
                <w:kern w:val="0"/>
                <w:sz w:val="24"/>
                <w:szCs w:val="24"/>
              </w:rPr>
              <w:t>市南区延安三路105号民生大厦一楼大厅6号窗口</w:t>
            </w:r>
          </w:p>
        </w:tc>
        <w:tc>
          <w:tcPr>
            <w:tcW w:w="1619" w:type="dxa"/>
            <w:vMerge w:val="continue"/>
            <w:vAlign w:val="center"/>
          </w:tcPr>
          <w:p>
            <w:pPr>
              <w:widowControl/>
              <w:wordWrap/>
              <w:adjustRightInd/>
              <w:snapToGrid/>
              <w:spacing w:before="0" w:beforeAutospacing="0" w:after="0" w:afterAutospacing="0" w:line="320" w:lineRule="exact"/>
              <w:ind w:left="0" w:right="0"/>
              <w:jc w:val="center"/>
              <w:textAlignment w:val="center"/>
              <w:rPr>
                <w:rFonts w:hint="eastAsia" w:ascii="仿宋_GB2312" w:hAnsi="宋体" w:eastAsia="仿宋_GB2312" w:cs="仿宋_GB2312"/>
                <w:color w:val="000000"/>
                <w:kern w:val="0"/>
                <w:sz w:val="28"/>
                <w:szCs w:val="28"/>
              </w:rPr>
            </w:pPr>
          </w:p>
        </w:tc>
        <w:tc>
          <w:tcPr>
            <w:tcW w:w="2186" w:type="dxa"/>
            <w:vAlign w:val="center"/>
          </w:tcPr>
          <w:p>
            <w:pPr>
              <w:widowControl/>
              <w:wordWrap/>
              <w:adjustRightInd/>
              <w:snapToGrid/>
              <w:spacing w:line="320" w:lineRule="exact"/>
              <w:jc w:val="center"/>
              <w:textAlignment w:val="center"/>
              <w:rPr>
                <w:rFonts w:hint="eastAsia" w:ascii="仿宋_GB2312" w:hAnsi="宋体" w:eastAsia="仿宋_GB2312" w:cs="仿宋_GB2312"/>
                <w:color w:val="000000"/>
                <w:kern w:val="0"/>
                <w:sz w:val="24"/>
                <w:szCs w:val="24"/>
                <w:lang w:val="en-US" w:eastAsia="zh-CN" w:bidi="ar-SA"/>
              </w:rPr>
            </w:pPr>
            <w:r>
              <w:rPr>
                <w:rFonts w:hint="eastAsia" w:ascii="仿宋_GB2312" w:hAnsi="宋体" w:eastAsia="仿宋_GB2312" w:cs="仿宋_GB2312"/>
                <w:color w:val="000000"/>
                <w:kern w:val="0"/>
                <w:sz w:val="24"/>
                <w:szCs w:val="24"/>
              </w:rPr>
              <w:t>0532-68896015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exact"/>
          <w:jc w:val="center"/>
        </w:trPr>
        <w:tc>
          <w:tcPr>
            <w:tcW w:w="2226" w:type="dxa"/>
            <w:vAlign w:val="center"/>
          </w:tcPr>
          <w:p>
            <w:pPr>
              <w:widowControl/>
              <w:wordWrap/>
              <w:adjustRightInd/>
              <w:snapToGrid/>
              <w:spacing w:line="320" w:lineRule="exact"/>
              <w:jc w:val="center"/>
              <w:textAlignment w:val="center"/>
              <w:rPr>
                <w:rFonts w:hint="eastAsia" w:ascii="仿宋_GB2312" w:hAnsi="宋体" w:eastAsia="仿宋_GB2312" w:cs="仿宋_GB2312"/>
                <w:color w:val="000000"/>
                <w:kern w:val="0"/>
                <w:sz w:val="24"/>
                <w:szCs w:val="24"/>
                <w:lang w:val="en-US" w:eastAsia="zh-CN" w:bidi="ar-SA"/>
              </w:rPr>
            </w:pPr>
            <w:r>
              <w:rPr>
                <w:rFonts w:hint="eastAsia" w:ascii="仿宋_GB2312" w:hAnsi="宋体" w:eastAsia="仿宋_GB2312" w:cs="仿宋_GB2312"/>
                <w:color w:val="000000"/>
                <w:kern w:val="0"/>
                <w:sz w:val="24"/>
                <w:szCs w:val="24"/>
              </w:rPr>
              <w:t>市北区人力资源和社会保障局</w:t>
            </w:r>
          </w:p>
        </w:tc>
        <w:tc>
          <w:tcPr>
            <w:tcW w:w="3605" w:type="dxa"/>
            <w:vAlign w:val="center"/>
          </w:tcPr>
          <w:p>
            <w:pPr>
              <w:widowControl/>
              <w:wordWrap/>
              <w:adjustRightInd/>
              <w:snapToGrid/>
              <w:spacing w:line="320" w:lineRule="exact"/>
              <w:jc w:val="center"/>
              <w:textAlignment w:val="center"/>
              <w:rPr>
                <w:rFonts w:hint="eastAsia" w:ascii="仿宋_GB2312" w:hAnsi="宋体" w:eastAsia="仿宋_GB2312" w:cs="仿宋_GB2312"/>
                <w:color w:val="000000"/>
                <w:kern w:val="0"/>
                <w:sz w:val="24"/>
                <w:szCs w:val="24"/>
                <w:lang w:val="en-US" w:eastAsia="zh-CN" w:bidi="ar-SA"/>
              </w:rPr>
            </w:pPr>
            <w:r>
              <w:rPr>
                <w:rFonts w:hint="eastAsia" w:ascii="仿宋_GB2312" w:hAnsi="宋体" w:eastAsia="仿宋_GB2312" w:cs="仿宋_GB2312"/>
                <w:color w:val="000000"/>
                <w:kern w:val="0"/>
                <w:sz w:val="24"/>
                <w:szCs w:val="24"/>
              </w:rPr>
              <w:t>市北区台柳路179号和达中心城B座二楼公共服务大厅</w:t>
            </w:r>
          </w:p>
        </w:tc>
        <w:tc>
          <w:tcPr>
            <w:tcW w:w="1619" w:type="dxa"/>
            <w:vMerge w:val="continue"/>
            <w:vAlign w:val="center"/>
          </w:tcPr>
          <w:p>
            <w:pPr>
              <w:widowControl/>
              <w:wordWrap/>
              <w:adjustRightInd/>
              <w:snapToGrid/>
              <w:spacing w:before="0" w:beforeAutospacing="0" w:after="0" w:afterAutospacing="0" w:line="320" w:lineRule="exact"/>
              <w:ind w:left="0" w:right="0"/>
              <w:jc w:val="center"/>
              <w:textAlignment w:val="center"/>
              <w:rPr>
                <w:rFonts w:hint="eastAsia" w:ascii="仿宋_GB2312" w:hAnsi="宋体" w:eastAsia="仿宋_GB2312" w:cs="仿宋_GB2312"/>
                <w:color w:val="000000"/>
                <w:kern w:val="0"/>
                <w:sz w:val="28"/>
                <w:szCs w:val="28"/>
              </w:rPr>
            </w:pPr>
          </w:p>
        </w:tc>
        <w:tc>
          <w:tcPr>
            <w:tcW w:w="2186" w:type="dxa"/>
            <w:vAlign w:val="center"/>
          </w:tcPr>
          <w:p>
            <w:pPr>
              <w:widowControl/>
              <w:wordWrap/>
              <w:adjustRightInd/>
              <w:snapToGrid/>
              <w:spacing w:line="320" w:lineRule="exact"/>
              <w:jc w:val="center"/>
              <w:textAlignment w:val="center"/>
              <w:rPr>
                <w:rFonts w:hint="eastAsia" w:ascii="仿宋_GB2312" w:hAnsi="宋体" w:eastAsia="仿宋_GB2312" w:cs="仿宋_GB2312"/>
                <w:color w:val="000000"/>
                <w:kern w:val="0"/>
                <w:sz w:val="24"/>
                <w:szCs w:val="24"/>
                <w:lang w:val="en-US" w:eastAsia="zh-CN" w:bidi="ar-SA"/>
              </w:rPr>
            </w:pPr>
            <w:r>
              <w:rPr>
                <w:rFonts w:hint="eastAsia" w:ascii="仿宋_GB2312" w:hAnsi="宋体" w:eastAsia="仿宋_GB2312" w:cs="仿宋_GB2312"/>
                <w:color w:val="000000"/>
                <w:kern w:val="0"/>
                <w:sz w:val="24"/>
                <w:szCs w:val="24"/>
              </w:rPr>
              <w:t>0532-51986590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exact"/>
          <w:jc w:val="center"/>
        </w:trPr>
        <w:tc>
          <w:tcPr>
            <w:tcW w:w="2226" w:type="dxa"/>
            <w:vAlign w:val="center"/>
          </w:tcPr>
          <w:p>
            <w:pPr>
              <w:widowControl/>
              <w:wordWrap/>
              <w:adjustRightInd/>
              <w:snapToGrid/>
              <w:spacing w:line="320" w:lineRule="exact"/>
              <w:jc w:val="center"/>
              <w:textAlignment w:val="center"/>
              <w:rPr>
                <w:rFonts w:hint="eastAsia" w:ascii="仿宋_GB2312" w:hAnsi="宋体" w:eastAsia="仿宋_GB2312" w:cs="仿宋_GB2312"/>
                <w:color w:val="000000"/>
                <w:kern w:val="0"/>
                <w:sz w:val="24"/>
                <w:szCs w:val="24"/>
                <w:lang w:val="en-US" w:eastAsia="zh-CN" w:bidi="ar-SA"/>
              </w:rPr>
            </w:pPr>
            <w:r>
              <w:rPr>
                <w:rFonts w:hint="eastAsia" w:ascii="仿宋_GB2312" w:hAnsi="宋体" w:eastAsia="仿宋_GB2312" w:cs="仿宋_GB2312"/>
                <w:color w:val="000000"/>
                <w:kern w:val="0"/>
                <w:sz w:val="24"/>
                <w:szCs w:val="24"/>
              </w:rPr>
              <w:t>李沧区人力资源和社会保障局</w:t>
            </w:r>
          </w:p>
        </w:tc>
        <w:tc>
          <w:tcPr>
            <w:tcW w:w="3605" w:type="dxa"/>
            <w:vAlign w:val="center"/>
          </w:tcPr>
          <w:p>
            <w:pPr>
              <w:widowControl/>
              <w:wordWrap/>
              <w:adjustRightInd/>
              <w:snapToGrid/>
              <w:spacing w:line="320" w:lineRule="exact"/>
              <w:jc w:val="center"/>
              <w:textAlignment w:val="center"/>
              <w:rPr>
                <w:rFonts w:hint="eastAsia" w:ascii="仿宋_GB2312" w:hAnsi="宋体" w:eastAsia="仿宋_GB2312" w:cs="仿宋_GB2312"/>
                <w:color w:val="000000"/>
                <w:kern w:val="0"/>
                <w:sz w:val="24"/>
                <w:szCs w:val="24"/>
                <w:lang w:val="en-US" w:eastAsia="zh-CN" w:bidi="ar-SA"/>
              </w:rPr>
            </w:pPr>
            <w:r>
              <w:rPr>
                <w:rFonts w:hint="eastAsia" w:ascii="仿宋_GB2312" w:hAnsi="宋体" w:eastAsia="仿宋_GB2312" w:cs="仿宋_GB2312"/>
                <w:color w:val="000000"/>
                <w:kern w:val="0"/>
                <w:sz w:val="24"/>
                <w:szCs w:val="24"/>
              </w:rPr>
              <w:t>李沧区永平路19号甲李沧区公共就业和人才服务中心一楼大厅</w:t>
            </w:r>
          </w:p>
        </w:tc>
        <w:tc>
          <w:tcPr>
            <w:tcW w:w="1619" w:type="dxa"/>
            <w:vMerge w:val="continue"/>
            <w:vAlign w:val="center"/>
          </w:tcPr>
          <w:p>
            <w:pPr>
              <w:widowControl/>
              <w:wordWrap/>
              <w:adjustRightInd/>
              <w:snapToGrid/>
              <w:spacing w:before="0" w:beforeAutospacing="0" w:after="0" w:afterAutospacing="0" w:line="320" w:lineRule="exact"/>
              <w:ind w:left="0" w:right="0"/>
              <w:jc w:val="center"/>
              <w:textAlignment w:val="center"/>
              <w:rPr>
                <w:rFonts w:hint="eastAsia" w:ascii="仿宋_GB2312" w:hAnsi="宋体" w:eastAsia="仿宋_GB2312" w:cs="仿宋_GB2312"/>
                <w:color w:val="000000"/>
                <w:kern w:val="0"/>
                <w:sz w:val="28"/>
                <w:szCs w:val="28"/>
              </w:rPr>
            </w:pPr>
          </w:p>
        </w:tc>
        <w:tc>
          <w:tcPr>
            <w:tcW w:w="2186" w:type="dxa"/>
            <w:vAlign w:val="center"/>
          </w:tcPr>
          <w:p>
            <w:pPr>
              <w:widowControl/>
              <w:wordWrap/>
              <w:adjustRightInd/>
              <w:snapToGrid/>
              <w:spacing w:before="0" w:beforeAutospacing="0" w:after="0" w:afterAutospacing="0" w:line="320" w:lineRule="exact"/>
              <w:ind w:left="0" w:right="0"/>
              <w:jc w:val="center"/>
              <w:textAlignment w:val="center"/>
              <w:rPr>
                <w:rFonts w:hint="eastAsia" w:ascii="仿宋_GB2312" w:hAnsi="宋体" w:eastAsia="仿宋_GB2312" w:cs="仿宋_GB2312"/>
                <w:color w:val="000000"/>
                <w:kern w:val="0"/>
                <w:sz w:val="28"/>
                <w:szCs w:val="28"/>
              </w:rPr>
            </w:pPr>
            <w:r>
              <w:rPr>
                <w:rFonts w:hint="eastAsia" w:ascii="仿宋_GB2312" w:hAnsi="宋体" w:eastAsia="仿宋_GB2312" w:cs="仿宋_GB2312"/>
                <w:color w:val="000000"/>
                <w:kern w:val="0"/>
                <w:sz w:val="24"/>
                <w:szCs w:val="24"/>
              </w:rPr>
              <w:t>0532-87896069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exact"/>
          <w:jc w:val="center"/>
        </w:trPr>
        <w:tc>
          <w:tcPr>
            <w:tcW w:w="2226" w:type="dxa"/>
            <w:vAlign w:val="center"/>
          </w:tcPr>
          <w:p>
            <w:pPr>
              <w:widowControl/>
              <w:wordWrap/>
              <w:adjustRightInd/>
              <w:snapToGrid/>
              <w:spacing w:line="320" w:lineRule="exact"/>
              <w:jc w:val="center"/>
              <w:textAlignment w:val="center"/>
              <w:rPr>
                <w:rFonts w:hint="eastAsia" w:ascii="仿宋_GB2312" w:hAnsi="宋体" w:eastAsia="仿宋_GB2312" w:cs="仿宋_GB2312"/>
                <w:color w:val="000000"/>
                <w:kern w:val="0"/>
                <w:sz w:val="24"/>
                <w:szCs w:val="24"/>
                <w:lang w:val="en-US" w:eastAsia="zh-CN" w:bidi="ar-SA"/>
              </w:rPr>
            </w:pPr>
            <w:r>
              <w:rPr>
                <w:rFonts w:hint="eastAsia" w:ascii="仿宋_GB2312" w:hAnsi="宋体" w:eastAsia="仿宋_GB2312" w:cs="仿宋_GB2312"/>
                <w:color w:val="000000"/>
                <w:kern w:val="0"/>
                <w:sz w:val="24"/>
                <w:szCs w:val="24"/>
              </w:rPr>
              <w:t>崂山区人力资源和社会保障局</w:t>
            </w:r>
          </w:p>
        </w:tc>
        <w:tc>
          <w:tcPr>
            <w:tcW w:w="3605" w:type="dxa"/>
            <w:vAlign w:val="center"/>
          </w:tcPr>
          <w:p>
            <w:pPr>
              <w:widowControl/>
              <w:wordWrap/>
              <w:adjustRightInd/>
              <w:snapToGrid/>
              <w:spacing w:line="320" w:lineRule="exact"/>
              <w:jc w:val="center"/>
              <w:textAlignment w:val="center"/>
              <w:rPr>
                <w:rFonts w:hint="eastAsia" w:ascii="仿宋_GB2312" w:hAnsi="宋体" w:eastAsia="仿宋_GB2312" w:cs="仿宋_GB2312"/>
                <w:color w:val="000000"/>
                <w:kern w:val="0"/>
                <w:sz w:val="24"/>
                <w:szCs w:val="24"/>
                <w:lang w:val="en-US" w:eastAsia="zh-CN" w:bidi="ar-SA"/>
              </w:rPr>
            </w:pPr>
            <w:r>
              <w:rPr>
                <w:rFonts w:hint="eastAsia" w:ascii="仿宋_GB2312" w:hAnsi="宋体" w:eastAsia="仿宋_GB2312" w:cs="仿宋_GB2312"/>
                <w:color w:val="000000"/>
                <w:kern w:val="0"/>
                <w:sz w:val="24"/>
                <w:szCs w:val="24"/>
              </w:rPr>
              <w:t>崂山区新锦路6号崂山区行政服务中心D1座5楼G区514房间</w:t>
            </w:r>
          </w:p>
        </w:tc>
        <w:tc>
          <w:tcPr>
            <w:tcW w:w="1619" w:type="dxa"/>
            <w:vMerge w:val="continue"/>
            <w:vAlign w:val="center"/>
          </w:tcPr>
          <w:p>
            <w:pPr>
              <w:widowControl/>
              <w:wordWrap/>
              <w:adjustRightInd/>
              <w:snapToGrid/>
              <w:spacing w:before="0" w:beforeAutospacing="0" w:after="0" w:afterAutospacing="0" w:line="320" w:lineRule="exact"/>
              <w:ind w:left="0" w:right="0"/>
              <w:jc w:val="center"/>
              <w:textAlignment w:val="center"/>
              <w:rPr>
                <w:rFonts w:hint="eastAsia" w:ascii="仿宋_GB2312" w:hAnsi="宋体" w:eastAsia="仿宋_GB2312" w:cs="仿宋_GB2312"/>
                <w:color w:val="000000"/>
                <w:kern w:val="0"/>
                <w:sz w:val="28"/>
                <w:szCs w:val="28"/>
              </w:rPr>
            </w:pPr>
          </w:p>
        </w:tc>
        <w:tc>
          <w:tcPr>
            <w:tcW w:w="2186" w:type="dxa"/>
            <w:vAlign w:val="center"/>
          </w:tcPr>
          <w:p>
            <w:pPr>
              <w:widowControl/>
              <w:wordWrap/>
              <w:adjustRightInd/>
              <w:snapToGrid/>
              <w:spacing w:before="0" w:beforeAutospacing="0" w:after="0" w:afterAutospacing="0" w:line="320" w:lineRule="exact"/>
              <w:ind w:left="0" w:right="0"/>
              <w:jc w:val="center"/>
              <w:textAlignment w:val="center"/>
              <w:rPr>
                <w:rFonts w:hint="eastAsia" w:ascii="仿宋_GB2312" w:hAnsi="宋体" w:eastAsia="仿宋_GB2312" w:cs="仿宋_GB2312"/>
                <w:color w:val="000000"/>
                <w:kern w:val="0"/>
                <w:sz w:val="24"/>
                <w:szCs w:val="24"/>
              </w:rPr>
            </w:pPr>
            <w:r>
              <w:rPr>
                <w:rFonts w:hint="eastAsia" w:ascii="仿宋_GB2312" w:hAnsi="宋体" w:eastAsia="仿宋_GB2312" w:cs="仿宋_GB2312"/>
                <w:color w:val="000000"/>
                <w:kern w:val="0"/>
                <w:sz w:val="24"/>
                <w:szCs w:val="24"/>
              </w:rPr>
              <w:t>0532-88897709</w:t>
            </w:r>
          </w:p>
        </w:tc>
      </w:tr>
    </w:tbl>
    <w:p>
      <w:pPr>
        <w:rPr>
          <w:rFonts w:hint="default" w:ascii="仿宋_GB2312" w:hAnsi="宋体"/>
          <w:color w:val="auto"/>
          <w:kern w:val="0"/>
          <w:lang w:val="en-US" w:eastAsia="zh-CN"/>
        </w:rPr>
      </w:pPr>
      <w:r>
        <w:rPr>
          <w:rFonts w:hint="default" w:ascii="仿宋_GB2312" w:hAnsi="宋体"/>
          <w:color w:val="auto"/>
          <w:kern w:val="0"/>
          <w:lang w:val="en-US" w:eastAsia="zh-CN"/>
        </w:rPr>
        <w:br w:type="page"/>
      </w:r>
    </w:p>
    <w:p>
      <w:pPr>
        <w:adjustRightInd/>
        <w:snapToGrid/>
        <w:spacing w:line="586" w:lineRule="exact"/>
        <w:textAlignment w:val="auto"/>
        <w:rPr>
          <w:rFonts w:ascii="黑体" w:hAnsi="黑体" w:eastAsia="黑体"/>
          <w:color w:val="auto"/>
        </w:rPr>
      </w:pPr>
      <w:r>
        <w:rPr>
          <w:rFonts w:hint="eastAsia" w:ascii="黑体" w:hAnsi="黑体" w:eastAsia="黑体"/>
          <w:color w:val="auto"/>
        </w:rPr>
        <w:t>附件</w:t>
      </w:r>
      <w:r>
        <w:rPr>
          <w:rFonts w:ascii="黑体" w:hAnsi="黑体" w:eastAsia="黑体"/>
          <w:color w:val="auto"/>
        </w:rPr>
        <w:t>2</w:t>
      </w:r>
    </w:p>
    <w:p>
      <w:pPr>
        <w:adjustRightInd/>
        <w:snapToGrid/>
        <w:spacing w:line="586" w:lineRule="exact"/>
        <w:textAlignment w:val="auto"/>
        <w:rPr>
          <w:rFonts w:ascii="黑体" w:hAnsi="黑体" w:eastAsia="黑体"/>
          <w:color w:val="auto"/>
        </w:rPr>
      </w:pPr>
    </w:p>
    <w:p>
      <w:pPr>
        <w:pStyle w:val="6"/>
        <w:adjustRightInd/>
        <w:snapToGrid/>
        <w:spacing w:line="586" w:lineRule="exact"/>
        <w:jc w:val="center"/>
        <w:textAlignment w:val="auto"/>
        <w:rPr>
          <w:rFonts w:ascii="方正小标宋简体" w:hAnsi="方正小标宋简体" w:eastAsia="方正小标宋简体" w:cs="方正小标宋简体"/>
          <w:color w:val="auto"/>
          <w:kern w:val="0"/>
          <w:sz w:val="44"/>
          <w:szCs w:val="44"/>
        </w:rPr>
      </w:pPr>
      <w:r>
        <w:rPr>
          <w:rFonts w:hint="eastAsia" w:ascii="方正小标宋简体" w:hAnsi="方正小标宋简体" w:eastAsia="方正小标宋简体" w:cs="方正小标宋简体"/>
          <w:color w:val="auto"/>
          <w:kern w:val="0"/>
          <w:sz w:val="44"/>
          <w:szCs w:val="44"/>
        </w:rPr>
        <w:t>全国统计专业技术资格考试考场规则</w:t>
      </w:r>
    </w:p>
    <w:p>
      <w:pPr>
        <w:pStyle w:val="6"/>
        <w:adjustRightInd/>
        <w:snapToGrid/>
        <w:spacing w:line="586" w:lineRule="exact"/>
        <w:jc w:val="center"/>
        <w:textAlignment w:val="auto"/>
        <w:rPr>
          <w:rFonts w:ascii="方正小标宋简体" w:hAnsi="方正小标宋简体" w:eastAsia="方正小标宋简体" w:cs="方正小标宋简体"/>
          <w:color w:val="auto"/>
          <w:kern w:val="0"/>
          <w:sz w:val="44"/>
          <w:szCs w:val="44"/>
        </w:rPr>
      </w:pPr>
    </w:p>
    <w:p>
      <w:pPr>
        <w:adjustRightInd/>
        <w:snapToGrid/>
        <w:spacing w:line="586" w:lineRule="exact"/>
        <w:ind w:firstLine="727" w:firstLineChars="230"/>
        <w:textAlignment w:val="auto"/>
        <w:rPr>
          <w:rFonts w:ascii="仿宋_GB2312" w:hAnsi="宋体" w:cs="仿宋_GB2312"/>
          <w:color w:val="auto"/>
          <w:kern w:val="0"/>
        </w:rPr>
      </w:pPr>
      <w:r>
        <w:rPr>
          <w:rFonts w:hint="eastAsia" w:ascii="仿宋_GB2312" w:hAnsi="宋体" w:cs="仿宋_GB2312"/>
          <w:color w:val="auto"/>
          <w:kern w:val="0"/>
        </w:rPr>
        <w:t>一、根据《人力资源社会保障部关于加强专业技术人员资格考试安全工作的通知》（人社部发〔2016〕64号），考生在考试开始前30分钟凭准考证和有效身份证件原件（居民身份证或社会保障卡等）进入考场，对号入座，并将准考证和有效身份证件原件（居民身份证或社会保障卡等）放置在课桌右上角，以便监考人员查对。考试开始5分钟后，不得进入考场参加考试；考试开始后120分钟内，原则上不得交卷退场。</w:t>
      </w:r>
    </w:p>
    <w:p>
      <w:pPr>
        <w:adjustRightInd/>
        <w:snapToGrid/>
        <w:spacing w:line="586" w:lineRule="exact"/>
        <w:ind w:firstLine="727" w:firstLineChars="230"/>
        <w:textAlignment w:val="auto"/>
        <w:rPr>
          <w:rFonts w:ascii="仿宋_GB2312" w:hAnsi="宋体" w:cs="仿宋_GB2312"/>
          <w:color w:val="auto"/>
          <w:kern w:val="0"/>
        </w:rPr>
      </w:pPr>
      <w:r>
        <w:rPr>
          <w:rFonts w:hint="eastAsia" w:ascii="仿宋_GB2312" w:hAnsi="宋体" w:cs="仿宋_GB2312"/>
          <w:color w:val="auto"/>
          <w:kern w:val="0"/>
        </w:rPr>
        <w:t>二、考试开始信号发出前，考生应按照要求在试题卷、答题卡规定的位置准确填写姓名、准考证号码以及所在地区和单位等规定内容。</w:t>
      </w:r>
    </w:p>
    <w:p>
      <w:pPr>
        <w:adjustRightInd/>
        <w:snapToGrid/>
        <w:spacing w:line="586" w:lineRule="exact"/>
        <w:ind w:firstLine="727" w:firstLineChars="230"/>
        <w:textAlignment w:val="auto"/>
        <w:rPr>
          <w:rFonts w:ascii="仿宋_GB2312" w:hAnsi="宋体" w:cs="仿宋_GB2312"/>
          <w:color w:val="auto"/>
          <w:kern w:val="0"/>
        </w:rPr>
      </w:pPr>
      <w:r>
        <w:rPr>
          <w:rFonts w:hint="eastAsia" w:ascii="仿宋_GB2312" w:hAnsi="宋体" w:cs="仿宋_GB2312"/>
          <w:color w:val="auto"/>
          <w:kern w:val="0"/>
        </w:rPr>
        <w:t>三、中初级考试均为客观性试题，考生必须使用2B铅笔在答题卡指定位置填涂，注意对准答题号作答。如要修改，先用橡皮擦拭干净后再重新填涂。答题卡所需要填写的内容须使用黑色墨水钢笔或签字笔。</w:t>
      </w:r>
    </w:p>
    <w:p>
      <w:pPr>
        <w:adjustRightInd/>
        <w:snapToGrid/>
        <w:spacing w:line="586" w:lineRule="exact"/>
        <w:ind w:firstLine="727" w:firstLineChars="230"/>
        <w:textAlignment w:val="auto"/>
        <w:rPr>
          <w:rFonts w:ascii="仿宋_GB2312" w:hAnsi="宋体" w:cs="仿宋_GB2312"/>
          <w:color w:val="auto"/>
          <w:kern w:val="0"/>
        </w:rPr>
      </w:pPr>
      <w:r>
        <w:rPr>
          <w:rFonts w:hint="eastAsia" w:ascii="仿宋_GB2312" w:hAnsi="宋体" w:cs="仿宋_GB2312"/>
          <w:color w:val="auto"/>
          <w:kern w:val="0"/>
        </w:rPr>
        <w:t>高级考试均为主观性试题，考生必须使用黑色墨水钢笔或签字笔在答题卡指定位置作答，答题字迹要清楚、工整。</w:t>
      </w:r>
    </w:p>
    <w:p>
      <w:pPr>
        <w:adjustRightInd/>
        <w:snapToGrid/>
        <w:spacing w:line="586" w:lineRule="exact"/>
        <w:ind w:firstLine="727" w:firstLineChars="230"/>
        <w:textAlignment w:val="auto"/>
        <w:rPr>
          <w:rFonts w:ascii="仿宋_GB2312" w:hAnsi="宋体" w:cs="仿宋_GB2312"/>
          <w:color w:val="auto"/>
          <w:kern w:val="0"/>
        </w:rPr>
      </w:pPr>
      <w:r>
        <w:rPr>
          <w:rFonts w:hint="eastAsia" w:ascii="仿宋_GB2312" w:hAnsi="宋体" w:cs="仿宋_GB2312"/>
          <w:color w:val="auto"/>
          <w:kern w:val="0"/>
        </w:rPr>
        <w:t>各级别考生除按要求填写规定的内容以外，不得在答题卡上做其它任何标记，否则按违纪处理。</w:t>
      </w:r>
    </w:p>
    <w:p>
      <w:pPr>
        <w:adjustRightInd/>
        <w:snapToGrid/>
        <w:spacing w:line="586" w:lineRule="exact"/>
        <w:ind w:firstLine="727" w:firstLineChars="230"/>
        <w:textAlignment w:val="auto"/>
        <w:rPr>
          <w:rFonts w:ascii="仿宋_GB2312" w:hAnsi="宋体" w:cs="仿宋_GB2312"/>
          <w:color w:val="auto"/>
          <w:kern w:val="0"/>
        </w:rPr>
      </w:pPr>
      <w:r>
        <w:rPr>
          <w:rFonts w:hint="eastAsia" w:ascii="仿宋_GB2312" w:hAnsi="宋体" w:cs="仿宋_GB2312"/>
          <w:color w:val="auto"/>
          <w:kern w:val="0"/>
        </w:rPr>
        <w:t>四、中初级考试采取闭卷笔答方式，允许考生携带与考试相关的文具用品、无声无文本编辑功能的计算器。</w:t>
      </w:r>
    </w:p>
    <w:p>
      <w:pPr>
        <w:adjustRightInd/>
        <w:snapToGrid/>
        <w:spacing w:line="586" w:lineRule="exact"/>
        <w:ind w:firstLine="727" w:firstLineChars="230"/>
        <w:textAlignment w:val="auto"/>
        <w:rPr>
          <w:rFonts w:ascii="仿宋_GB2312" w:hAnsi="宋体" w:cs="仿宋_GB2312"/>
          <w:color w:val="auto"/>
          <w:kern w:val="0"/>
        </w:rPr>
      </w:pPr>
      <w:r>
        <w:rPr>
          <w:rFonts w:hint="eastAsia" w:ascii="仿宋_GB2312" w:hAnsi="宋体" w:cs="仿宋_GB2312"/>
          <w:color w:val="auto"/>
          <w:kern w:val="0"/>
        </w:rPr>
        <w:t>高级考试采取开卷笔答方式，允许考生携带与考试相关的文具用品和参考书籍、资料、无声无文本编辑功能的计算器。</w:t>
      </w:r>
    </w:p>
    <w:p>
      <w:pPr>
        <w:adjustRightInd/>
        <w:snapToGrid/>
        <w:spacing w:line="586" w:lineRule="exact"/>
        <w:ind w:firstLine="727" w:firstLineChars="230"/>
        <w:textAlignment w:val="auto"/>
        <w:rPr>
          <w:rFonts w:ascii="仿宋_GB2312" w:hAnsi="宋体" w:cs="仿宋_GB2312"/>
          <w:color w:val="auto"/>
          <w:kern w:val="0"/>
        </w:rPr>
      </w:pPr>
      <w:r>
        <w:rPr>
          <w:rFonts w:hint="eastAsia" w:ascii="仿宋_GB2312" w:hAnsi="宋体" w:cs="仿宋_GB2312"/>
          <w:color w:val="auto"/>
          <w:kern w:val="0"/>
        </w:rPr>
        <w:t>各级别考生严禁携带手机、智能手表（手环）、智能眼镜、蓝牙耳机等具有通信、记录、拍照、存储、传输功能的电子设备等考试规定以外的物品进入考场。</w:t>
      </w:r>
    </w:p>
    <w:p>
      <w:pPr>
        <w:adjustRightInd/>
        <w:snapToGrid/>
        <w:spacing w:line="586" w:lineRule="exact"/>
        <w:ind w:firstLine="727" w:firstLineChars="230"/>
        <w:textAlignment w:val="auto"/>
        <w:rPr>
          <w:rFonts w:ascii="仿宋_GB2312" w:hAnsi="宋体" w:cs="仿宋_GB2312"/>
          <w:color w:val="auto"/>
          <w:kern w:val="0"/>
        </w:rPr>
      </w:pPr>
      <w:r>
        <w:rPr>
          <w:rFonts w:hint="eastAsia" w:ascii="仿宋_GB2312" w:hAnsi="宋体" w:cs="仿宋_GB2312"/>
          <w:color w:val="auto"/>
          <w:kern w:val="0"/>
        </w:rPr>
        <w:t>五、考生必须严格遵守考场纪律，考试开始后，要独立答卷，严禁交头接耳、交换试卷、偷看他人试题答案等，也不得自行向其他考生借用文具和资料。要保持考场安静，禁止在考场内吸烟。</w:t>
      </w:r>
    </w:p>
    <w:p>
      <w:pPr>
        <w:adjustRightInd/>
        <w:snapToGrid/>
        <w:spacing w:line="586" w:lineRule="exact"/>
        <w:ind w:firstLine="727" w:firstLineChars="230"/>
        <w:textAlignment w:val="auto"/>
        <w:rPr>
          <w:rFonts w:ascii="仿宋_GB2312" w:hAnsi="宋体" w:cs="仿宋_GB2312"/>
          <w:color w:val="auto"/>
          <w:kern w:val="0"/>
        </w:rPr>
      </w:pPr>
      <w:r>
        <w:rPr>
          <w:rFonts w:hint="eastAsia" w:ascii="仿宋_GB2312" w:hAnsi="宋体" w:cs="仿宋_GB2312"/>
          <w:color w:val="auto"/>
          <w:kern w:val="0"/>
        </w:rPr>
        <w:t>六、考场工作人员要严格管理。考生进入考场后，监考人员要认真核对准考证，对已经带入考场的违禁物品统一存放在指定位置妥善保管。对违纪违规的，按《专业技术人员资格考试违纪违规行为处理规定》（中华</w:t>
      </w:r>
      <w:r>
        <w:rPr>
          <w:rFonts w:ascii="仿宋_GB2312" w:hAnsi="宋体" w:cs="仿宋_GB2312"/>
          <w:color w:val="auto"/>
          <w:kern w:val="0"/>
        </w:rPr>
        <w:t>人民共和国人力资源和社会保障</w:t>
      </w:r>
      <w:r>
        <w:rPr>
          <w:rFonts w:hint="eastAsia" w:ascii="仿宋_GB2312" w:hAnsi="宋体" w:cs="仿宋_GB2312"/>
          <w:color w:val="auto"/>
          <w:kern w:val="0"/>
        </w:rPr>
        <w:t>部令第31号）处理。</w:t>
      </w:r>
    </w:p>
    <w:p>
      <w:pPr>
        <w:adjustRightInd/>
        <w:snapToGrid/>
        <w:spacing w:line="586" w:lineRule="exact"/>
        <w:ind w:firstLine="727" w:firstLineChars="230"/>
        <w:textAlignment w:val="auto"/>
        <w:rPr>
          <w:rFonts w:ascii="仿宋_GB2312" w:hAnsi="宋体" w:cs="仿宋_GB2312"/>
          <w:color w:val="auto"/>
          <w:kern w:val="0"/>
        </w:rPr>
      </w:pPr>
      <w:r>
        <w:rPr>
          <w:rFonts w:hint="eastAsia" w:ascii="仿宋_GB2312" w:hAnsi="宋体" w:cs="仿宋_GB2312"/>
          <w:color w:val="auto"/>
          <w:kern w:val="0"/>
        </w:rPr>
        <w:t>七、考生不得要求监考人员解释试题。遇有试卷分发错误，试卷字迹模糊、有褶皱和污点等问题，可以举手询问。</w:t>
      </w:r>
    </w:p>
    <w:p>
      <w:pPr>
        <w:adjustRightInd/>
        <w:snapToGrid/>
        <w:spacing w:line="586" w:lineRule="exact"/>
        <w:ind w:firstLine="727" w:firstLineChars="230"/>
        <w:textAlignment w:val="auto"/>
        <w:rPr>
          <w:rFonts w:ascii="仿宋_GB2312" w:hAnsi="宋体" w:cs="仿宋_GB2312"/>
          <w:color w:val="auto"/>
          <w:kern w:val="0"/>
        </w:rPr>
      </w:pPr>
      <w:r>
        <w:rPr>
          <w:rFonts w:hint="eastAsia" w:ascii="仿宋_GB2312" w:hAnsi="宋体" w:cs="仿宋_GB2312"/>
          <w:color w:val="auto"/>
          <w:kern w:val="0"/>
        </w:rPr>
        <w:t>八、考生在考试中途一般不得离开考场，如确需中途暂离考场的，须举手示意经监考人员同意并由指定人员陪同。提前交卷者，不得在考场附近逗留、谈论。</w:t>
      </w:r>
    </w:p>
    <w:p>
      <w:pPr>
        <w:adjustRightInd/>
        <w:snapToGrid/>
        <w:spacing w:line="586" w:lineRule="exact"/>
        <w:ind w:firstLine="727" w:firstLineChars="230"/>
        <w:textAlignment w:val="auto"/>
        <w:rPr>
          <w:rFonts w:ascii="仿宋_GB2312" w:hAnsi="宋体" w:cs="仿宋_GB2312"/>
          <w:color w:val="auto"/>
          <w:kern w:val="0"/>
        </w:rPr>
      </w:pPr>
      <w:r>
        <w:rPr>
          <w:rFonts w:hint="eastAsia" w:ascii="仿宋_GB2312" w:hAnsi="宋体" w:cs="仿宋_GB2312"/>
          <w:color w:val="auto"/>
          <w:kern w:val="0"/>
        </w:rPr>
        <w:t>九、考试结束前30分钟，监考人员提醒考生时间。考试结束信号发出后，考生应立即停止作答，将答题卡和草稿纸反扣在桌面上。严禁考生将试题卷、答题卡和草稿纸带出考场。监考人员要收齐试题卷、答题卡和草稿纸，确认无误封装后方可离开考场。</w:t>
      </w:r>
    </w:p>
    <w:p>
      <w:pPr>
        <w:adjustRightInd/>
        <w:snapToGrid/>
        <w:spacing w:line="586" w:lineRule="exact"/>
        <w:ind w:firstLine="727" w:firstLineChars="230"/>
        <w:textAlignment w:val="auto"/>
        <w:rPr>
          <w:rFonts w:ascii="仿宋_GB2312" w:hAnsi="宋体"/>
          <w:color w:val="auto"/>
          <w:kern w:val="0"/>
        </w:rPr>
      </w:pPr>
      <w:r>
        <w:rPr>
          <w:rFonts w:hint="eastAsia" w:ascii="仿宋_GB2312" w:hAnsi="宋体" w:cs="仿宋_GB2312"/>
          <w:color w:val="auto"/>
          <w:kern w:val="0"/>
        </w:rPr>
        <w:t>十、除佩带考区主任、主考、巡视、监考等有关工作标志的人员外，与考试无关人员不得进入考场。</w:t>
      </w:r>
    </w:p>
    <w:p>
      <w:pPr>
        <w:spacing w:line="580" w:lineRule="exact"/>
        <w:ind w:firstLine="727" w:firstLineChars="230"/>
        <w:rPr>
          <w:rFonts w:hint="default" w:ascii="仿宋_GB2312" w:hAnsi="宋体"/>
          <w:color w:val="auto"/>
          <w:kern w:val="0"/>
          <w:lang w:val="en-US" w:eastAsia="zh-CN"/>
        </w:rPr>
      </w:pPr>
    </w:p>
    <w:sectPr>
      <w:footerReference r:id="rId6" w:type="first"/>
      <w:footerReference r:id="rId5" w:type="default"/>
      <w:pgSz w:w="11906" w:h="16838"/>
      <w:pgMar w:top="2098" w:right="1531" w:bottom="1814" w:left="1531" w:header="851" w:footer="1587" w:gutter="0"/>
      <w:pgNumType w:fmt="decimal" w:start="2"/>
      <w:cols w:space="720" w:num="1"/>
      <w:rtlGutter w:val="0"/>
      <w:docGrid w:type="linesAndChars" w:linePitch="587"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 w:name="方正小标宋简体">
    <w:panose1 w:val="02010601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宋体-18030">
    <w:altName w:val="微软雅黑"/>
    <w:panose1 w:val="02010609060101010101"/>
    <w:charset w:val="86"/>
    <w:family w:val="auto"/>
    <w:pitch w:val="default"/>
    <w:sig w:usb0="00000000" w:usb1="00000000" w:usb2="000A005E"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rFonts w:hint="eastAsia" w:ascii="宋体" w:hAnsi="宋体" w:eastAsia="宋体"/>
        <w:sz w:val="28"/>
      </w:rPr>
      <w:t>-</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lang w:val="zh-CN"/>
      </w:rPr>
      <w:t>4</w:t>
    </w:r>
    <w:r>
      <w:rPr>
        <w:rFonts w:ascii="宋体" w:hAnsi="宋体" w:eastAsia="宋体"/>
        <w:sz w:val="28"/>
      </w:rPr>
      <w:fldChar w:fldCharType="end"/>
    </w:r>
    <w:r>
      <w:rPr>
        <w:rFonts w:hint="eastAsia" w:ascii="宋体" w:hAnsi="宋体" w:eastAsia="宋体"/>
        <w:sz w:val="28"/>
      </w:rPr>
      <w:t>-</w:t>
    </w:r>
  </w:p>
  <w:p>
    <w:pPr>
      <w:tabs>
        <w:tab w:val="left" w:pos="249"/>
      </w:tabs>
      <w:spacing w:line="240" w:lineRule="exact"/>
      <w:ind w:left="320" w:leftChars="100" w:right="57" w:firstLine="360"/>
      <w:rPr>
        <w:rFonts w:ascii="宋体" w:hAnsi="宋体" w:eastAsia="宋体" w:cs="宋体"/>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rFonts w:ascii="Times New Roman" w:hAnsi="Times New Roman" w:eastAsia="仿宋_GB2312" w:cs="Times New Roman"/>
        <w:kern w:val="2"/>
        <w:sz w:val="18"/>
        <w:szCs w:val="18"/>
        <w:lang w:val="en-US" w:eastAsia="zh-CN" w:bidi="ar-SA"/>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Quad Arrow 204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txbxContent>
                    </wps:txbx>
                    <wps:bodyPr wrap="none" lIns="0" tIns="0" rIns="0" bIns="0" upright="1">
                      <a:spAutoFit/>
                    </wps:bodyPr>
                  </wps:wsp>
                </a:graphicData>
              </a:graphic>
            </wp:anchor>
          </w:drawing>
        </mc:Choice>
        <mc:Fallback>
          <w:pict>
            <v:shape id="Quad Arrow 2049"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M6pebnPAAAABQEAAA8AAAAAAAAAAQAg&#10;AAAAIgAAAGRycy9kb3ducmV2LnhtbFBLAQIUABQAAAAIAIdO4kCdcR6fpQEAAE8DAAAOAAAAAAAA&#10;AAEAIAAAAB4BAABkcnMvZTJvRG9jLnhtbFBLBQYAAAAABgAGAFkBAAA1BQAAAAA=&#10;">
              <v:fill on="f" focussize="0,0"/>
              <v:stroke on="f"/>
              <v:imagedata o:title=""/>
              <o:lock v:ext="edit" aspectratio="f"/>
              <v:textbox inset="0mm,0mm,0mm,0mm" style="mso-fit-shape-to-text:t;">
                <w:txbxContent>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rFonts w:ascii="Times New Roman" w:hAnsi="Times New Roman" w:eastAsia="仿宋_GB2312" w:cs="Times New Roman"/>
        <w:kern w:val="2"/>
        <w:sz w:val="18"/>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20955</wp:posOffset>
              </wp:positionV>
              <wp:extent cx="1828800" cy="1828800"/>
              <wp:effectExtent l="0" t="0" r="0" b="0"/>
              <wp:wrapNone/>
              <wp:docPr id="2" name="Quad Arrow 205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widowControl w:val="0"/>
                            <w:wordWrap/>
                            <w:adjustRightInd/>
                            <w:snapToGrid w:val="0"/>
                            <w:ind w:left="320" w:leftChars="100" w:right="320" w:rightChars="100"/>
                            <w:textAlignment w:val="auto"/>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Quad Arrow 2052" o:spid="_x0000_s1026" o:spt="202" type="#_x0000_t202" style="position:absolute;left:0pt;margin-top:1.65pt;height:144pt;width:144pt;mso-position-horizontal:outside;mso-position-horizontal-relative:margin;mso-wrap-style:none;z-index:251659264;mso-width-relative:page;mso-height-relative:page;" filled="f" stroked="f" coordsize="21600,21600" o:gfxdata="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DCk66dIAAAAGAQAADwAAAAAAAAAB&#10;ACAAAAAiAAAAZHJzL2Rvd25yZXYueG1sUEsBAhQAFAAAAAgAh07iQCtUPg2kAQAATwMAAA4AAAAA&#10;AAAAAQAgAAAAIQEAAGRycy9lMm9Eb2MueG1sUEsFBgAAAAAGAAYAWQEAADcFAAAAAA==&#10;">
              <v:fill on="f" focussize="0,0"/>
              <v:stroke on="f"/>
              <v:imagedata o:title=""/>
              <o:lock v:ext="edit" aspectratio="f"/>
              <v:textbox inset="0mm,0mm,0mm,0mm" style="mso-fit-shape-to-text:t;">
                <w:txbxContent>
                  <w:p>
                    <w:pPr>
                      <w:pStyle w:val="9"/>
                      <w:widowControl w:val="0"/>
                      <w:wordWrap/>
                      <w:adjustRightInd/>
                      <w:snapToGrid w:val="0"/>
                      <w:ind w:left="320" w:leftChars="100" w:right="320" w:rightChars="100"/>
                      <w:textAlignment w:val="auto"/>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rFonts w:ascii="Times New Roman" w:hAnsi="Times New Roman" w:eastAsia="仿宋_GB2312" w:cs="Times New Roman"/>
        <w:kern w:val="2"/>
        <w:sz w:val="18"/>
        <w:szCs w:val="18"/>
        <w:lang w:val="en-US" w:eastAsia="zh-CN" w:bidi="ar-SA"/>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20955</wp:posOffset>
              </wp:positionV>
              <wp:extent cx="1828800" cy="1828800"/>
              <wp:effectExtent l="0" t="0" r="0" b="0"/>
              <wp:wrapNone/>
              <wp:docPr id="4" name="Quad Arrow 205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pPr>
                          <w:r>
                            <w:t xml:space="preserve">— </w:t>
                          </w:r>
                          <w:r>
                            <w:fldChar w:fldCharType="begin"/>
                          </w:r>
                          <w:r>
                            <w:instrText xml:space="preserve"> PAGE  \* MERGEFORMAT </w:instrText>
                          </w:r>
                          <w:r>
                            <w:fldChar w:fldCharType="separate"/>
                          </w:r>
                          <w:r>
                            <w:t>1</w:t>
                          </w:r>
                          <w:r>
                            <w:fldChar w:fldCharType="end"/>
                          </w:r>
                          <w:r>
                            <w:t xml:space="preserve"> —</w:t>
                          </w:r>
                        </w:p>
                      </w:txbxContent>
                    </wps:txbx>
                    <wps:bodyPr wrap="none" lIns="0" tIns="0" rIns="0" bIns="0" upright="0">
                      <a:spAutoFit/>
                    </wps:bodyPr>
                  </wps:wsp>
                </a:graphicData>
              </a:graphic>
            </wp:anchor>
          </w:drawing>
        </mc:Choice>
        <mc:Fallback>
          <w:pict>
            <v:shape id="Quad Arrow 2053" o:spid="_x0000_s1026" o:spt="202" type="#_x0000_t202" style="position:absolute;left:0pt;margin-top:1.65pt;height:144pt;width:144pt;mso-position-horizontal:outside;mso-position-horizontal-relative:margin;mso-wrap-style:none;z-index:251661312;mso-width-relative:page;mso-height-relative:page;" filled="f" stroked="f" coordsize="21600,21600" o:gfxdata="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AwpOunSAAAABgEAAA8AAAAAAAAA&#10;AQAgAAAAIgAAAGRycy9kb3ducmV2LnhtbFBLAQIUABQAAAAIAIdO4kAK+jU+pQEAAE8DAAAOAAAA&#10;AAAAAAEAIAAAACEBAABkcnMvZTJvRG9jLnhtbFBLBQYAAAAABgAGAFkBAAA4BQAAAAA=&#10;">
              <v:fill on="f" focussize="0,0"/>
              <v:stroke on="f"/>
              <v:imagedata o:title=""/>
              <o:lock v:ext="edit" aspectratio="f"/>
              <v:textbox inset="0mm,0mm,0mm,0mm" style="mso-fit-shape-to-text:t;">
                <w:txbxContent>
                  <w:p>
                    <w:pPr>
                      <w:pStyle w:val="9"/>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r>
      <w:rPr>
        <w:rFonts w:ascii="Times New Roman" w:hAnsi="Times New Roman" w:eastAsia="仿宋_GB2312" w:cs="Times New Roman"/>
        <w:kern w:val="2"/>
        <w:sz w:val="18"/>
        <w:szCs w:val="18"/>
        <w:lang w:val="en-US" w:eastAsia="zh-CN" w:bidi="ar-SA"/>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Quad Arrow 205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txbxContent>
                    </wps:txbx>
                    <wps:bodyPr wrap="none" lIns="0" tIns="0" rIns="0" bIns="0" upright="1">
                      <a:spAutoFit/>
                    </wps:bodyPr>
                  </wps:wsp>
                </a:graphicData>
              </a:graphic>
            </wp:anchor>
          </w:drawing>
        </mc:Choice>
        <mc:Fallback>
          <w:pict>
            <v:shape id="Quad Arrow 2054"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M6pebnPAAAABQEAAA8AAAAAAAAAAQAg&#10;AAAAIgAAAGRycy9kb3ducmV2LnhtbFBLAQIUABQAAAAIAIdO4kCjzbFcpQEAAE8DAAAOAAAAAAAA&#10;AAEAIAAAAB4BAABkcnMvZTJvRG9jLnhtbFBLBQYAAAAABgAGAFkBAAA1BQAAAAA=&#10;">
              <v:fill on="f" focussize="0,0"/>
              <v:stroke on="f"/>
              <v:imagedata o:title=""/>
              <o:lock v:ext="edit" aspectratio="f"/>
              <v:textbox inset="0mm,0mm,0mm,0mm" style="mso-fit-shape-to-text:t;">
                <w:txbxContent>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trackRevisions w:val="1"/>
  <w:documentProtection w:enforcement="0"/>
  <w:defaultTabStop w:val="420"/>
  <w:drawingGridHorizontalSpacing w:val="158"/>
  <w:drawingGridVerticalSpacing w:val="587"/>
  <w:displayHorizontalDrawingGridEvery w:val="0"/>
  <w:displayVerticalDrawingGridEvery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E20"/>
    <w:rsid w:val="000023BA"/>
    <w:rsid w:val="00004793"/>
    <w:rsid w:val="00014E4E"/>
    <w:rsid w:val="000153C5"/>
    <w:rsid w:val="00015F82"/>
    <w:rsid w:val="0001645B"/>
    <w:rsid w:val="00016A8E"/>
    <w:rsid w:val="00020159"/>
    <w:rsid w:val="00020AE8"/>
    <w:rsid w:val="000239FC"/>
    <w:rsid w:val="00023EDF"/>
    <w:rsid w:val="000247EE"/>
    <w:rsid w:val="000250F1"/>
    <w:rsid w:val="000269D0"/>
    <w:rsid w:val="000275FC"/>
    <w:rsid w:val="00032ACA"/>
    <w:rsid w:val="00033BC4"/>
    <w:rsid w:val="00034BCF"/>
    <w:rsid w:val="00036741"/>
    <w:rsid w:val="00037DE5"/>
    <w:rsid w:val="000443F2"/>
    <w:rsid w:val="00046992"/>
    <w:rsid w:val="00046B22"/>
    <w:rsid w:val="00047E0F"/>
    <w:rsid w:val="0005050A"/>
    <w:rsid w:val="000505AB"/>
    <w:rsid w:val="00050F8A"/>
    <w:rsid w:val="00051347"/>
    <w:rsid w:val="00051E35"/>
    <w:rsid w:val="0005230E"/>
    <w:rsid w:val="00052C32"/>
    <w:rsid w:val="00053ADE"/>
    <w:rsid w:val="00054F3E"/>
    <w:rsid w:val="0005665E"/>
    <w:rsid w:val="000602B6"/>
    <w:rsid w:val="0006172D"/>
    <w:rsid w:val="00065993"/>
    <w:rsid w:val="000675DE"/>
    <w:rsid w:val="00071BE3"/>
    <w:rsid w:val="000731D5"/>
    <w:rsid w:val="000735AA"/>
    <w:rsid w:val="000737D4"/>
    <w:rsid w:val="0007480E"/>
    <w:rsid w:val="00074ACC"/>
    <w:rsid w:val="00074B50"/>
    <w:rsid w:val="00075B82"/>
    <w:rsid w:val="000766EA"/>
    <w:rsid w:val="000771E2"/>
    <w:rsid w:val="00080D40"/>
    <w:rsid w:val="00082787"/>
    <w:rsid w:val="00084E7F"/>
    <w:rsid w:val="000850A9"/>
    <w:rsid w:val="00085B49"/>
    <w:rsid w:val="00085CC9"/>
    <w:rsid w:val="000861F7"/>
    <w:rsid w:val="00086C17"/>
    <w:rsid w:val="00087443"/>
    <w:rsid w:val="0009081F"/>
    <w:rsid w:val="00095B41"/>
    <w:rsid w:val="00096C43"/>
    <w:rsid w:val="000973FD"/>
    <w:rsid w:val="000A0D57"/>
    <w:rsid w:val="000A27A4"/>
    <w:rsid w:val="000A2C2D"/>
    <w:rsid w:val="000A3616"/>
    <w:rsid w:val="000A4C73"/>
    <w:rsid w:val="000A5C13"/>
    <w:rsid w:val="000A5CB7"/>
    <w:rsid w:val="000B0025"/>
    <w:rsid w:val="000B1FEC"/>
    <w:rsid w:val="000B30F0"/>
    <w:rsid w:val="000B3B85"/>
    <w:rsid w:val="000B40CC"/>
    <w:rsid w:val="000B7A77"/>
    <w:rsid w:val="000C0C9B"/>
    <w:rsid w:val="000C1787"/>
    <w:rsid w:val="000C2AA4"/>
    <w:rsid w:val="000C34AF"/>
    <w:rsid w:val="000C35EF"/>
    <w:rsid w:val="000C5467"/>
    <w:rsid w:val="000C5827"/>
    <w:rsid w:val="000C5CAB"/>
    <w:rsid w:val="000C6F77"/>
    <w:rsid w:val="000C7466"/>
    <w:rsid w:val="000C7BA1"/>
    <w:rsid w:val="000D05FE"/>
    <w:rsid w:val="000D0C7B"/>
    <w:rsid w:val="000D272E"/>
    <w:rsid w:val="000D2F73"/>
    <w:rsid w:val="000D5652"/>
    <w:rsid w:val="000D6C2B"/>
    <w:rsid w:val="000D6E58"/>
    <w:rsid w:val="000E082D"/>
    <w:rsid w:val="000E0D96"/>
    <w:rsid w:val="000E10E4"/>
    <w:rsid w:val="000E1727"/>
    <w:rsid w:val="000E1FDC"/>
    <w:rsid w:val="000E4481"/>
    <w:rsid w:val="000E496A"/>
    <w:rsid w:val="000E5508"/>
    <w:rsid w:val="000E5C64"/>
    <w:rsid w:val="000E6756"/>
    <w:rsid w:val="000E6A40"/>
    <w:rsid w:val="000E6DDA"/>
    <w:rsid w:val="000E735E"/>
    <w:rsid w:val="000F09D3"/>
    <w:rsid w:val="000F0A23"/>
    <w:rsid w:val="000F2AB1"/>
    <w:rsid w:val="000F5855"/>
    <w:rsid w:val="000F655A"/>
    <w:rsid w:val="000F66FE"/>
    <w:rsid w:val="000F6D89"/>
    <w:rsid w:val="000F6DDA"/>
    <w:rsid w:val="001015FB"/>
    <w:rsid w:val="001020FA"/>
    <w:rsid w:val="00102282"/>
    <w:rsid w:val="00102B7F"/>
    <w:rsid w:val="0010458A"/>
    <w:rsid w:val="00104F9E"/>
    <w:rsid w:val="00105135"/>
    <w:rsid w:val="001059CA"/>
    <w:rsid w:val="00106AF2"/>
    <w:rsid w:val="00111B00"/>
    <w:rsid w:val="00113554"/>
    <w:rsid w:val="001148C4"/>
    <w:rsid w:val="00114CD8"/>
    <w:rsid w:val="00117F72"/>
    <w:rsid w:val="00121B8F"/>
    <w:rsid w:val="0012318C"/>
    <w:rsid w:val="00123CC0"/>
    <w:rsid w:val="0012591E"/>
    <w:rsid w:val="00125971"/>
    <w:rsid w:val="00125E0A"/>
    <w:rsid w:val="00126C0F"/>
    <w:rsid w:val="00126C7C"/>
    <w:rsid w:val="00134193"/>
    <w:rsid w:val="001358B1"/>
    <w:rsid w:val="00135A14"/>
    <w:rsid w:val="00141299"/>
    <w:rsid w:val="00142275"/>
    <w:rsid w:val="00145431"/>
    <w:rsid w:val="001473F2"/>
    <w:rsid w:val="00151014"/>
    <w:rsid w:val="001522EF"/>
    <w:rsid w:val="0015798C"/>
    <w:rsid w:val="00160735"/>
    <w:rsid w:val="00161379"/>
    <w:rsid w:val="00162C5A"/>
    <w:rsid w:val="00163889"/>
    <w:rsid w:val="00165314"/>
    <w:rsid w:val="001655FD"/>
    <w:rsid w:val="0016575F"/>
    <w:rsid w:val="00165D1A"/>
    <w:rsid w:val="00166DE8"/>
    <w:rsid w:val="001670C9"/>
    <w:rsid w:val="00170C57"/>
    <w:rsid w:val="001717B6"/>
    <w:rsid w:val="00171AAC"/>
    <w:rsid w:val="00171DEC"/>
    <w:rsid w:val="001726F7"/>
    <w:rsid w:val="00172A27"/>
    <w:rsid w:val="0017396E"/>
    <w:rsid w:val="0017489B"/>
    <w:rsid w:val="00174CDE"/>
    <w:rsid w:val="00180626"/>
    <w:rsid w:val="00180889"/>
    <w:rsid w:val="001816E7"/>
    <w:rsid w:val="00183FD3"/>
    <w:rsid w:val="00187628"/>
    <w:rsid w:val="001918E0"/>
    <w:rsid w:val="00193400"/>
    <w:rsid w:val="001937E3"/>
    <w:rsid w:val="00196200"/>
    <w:rsid w:val="001A1653"/>
    <w:rsid w:val="001A16D8"/>
    <w:rsid w:val="001A3C07"/>
    <w:rsid w:val="001A3FED"/>
    <w:rsid w:val="001A4252"/>
    <w:rsid w:val="001A6226"/>
    <w:rsid w:val="001B016E"/>
    <w:rsid w:val="001B2600"/>
    <w:rsid w:val="001B2AE1"/>
    <w:rsid w:val="001B354A"/>
    <w:rsid w:val="001B3D7E"/>
    <w:rsid w:val="001B42DD"/>
    <w:rsid w:val="001B4454"/>
    <w:rsid w:val="001B475D"/>
    <w:rsid w:val="001B4F29"/>
    <w:rsid w:val="001B4F60"/>
    <w:rsid w:val="001B5038"/>
    <w:rsid w:val="001B58A6"/>
    <w:rsid w:val="001B730A"/>
    <w:rsid w:val="001B74C8"/>
    <w:rsid w:val="001C2BA4"/>
    <w:rsid w:val="001C3B3E"/>
    <w:rsid w:val="001C3C64"/>
    <w:rsid w:val="001C3E78"/>
    <w:rsid w:val="001C7CCE"/>
    <w:rsid w:val="001D1355"/>
    <w:rsid w:val="001D2AFE"/>
    <w:rsid w:val="001D3AA1"/>
    <w:rsid w:val="001D44FD"/>
    <w:rsid w:val="001D7C79"/>
    <w:rsid w:val="001E0FB1"/>
    <w:rsid w:val="001E4353"/>
    <w:rsid w:val="001E54E3"/>
    <w:rsid w:val="001E550B"/>
    <w:rsid w:val="001E6065"/>
    <w:rsid w:val="001E6760"/>
    <w:rsid w:val="001E6BD9"/>
    <w:rsid w:val="001E7746"/>
    <w:rsid w:val="001E79D4"/>
    <w:rsid w:val="001E79FE"/>
    <w:rsid w:val="001E7BE4"/>
    <w:rsid w:val="001F011C"/>
    <w:rsid w:val="001F1A56"/>
    <w:rsid w:val="001F1A95"/>
    <w:rsid w:val="001F1F9D"/>
    <w:rsid w:val="001F50CA"/>
    <w:rsid w:val="001F59E5"/>
    <w:rsid w:val="001F7196"/>
    <w:rsid w:val="001F78A8"/>
    <w:rsid w:val="00200C89"/>
    <w:rsid w:val="002019D9"/>
    <w:rsid w:val="00202A1A"/>
    <w:rsid w:val="00203582"/>
    <w:rsid w:val="002039F0"/>
    <w:rsid w:val="002046FB"/>
    <w:rsid w:val="002112CD"/>
    <w:rsid w:val="00211DBC"/>
    <w:rsid w:val="0021207B"/>
    <w:rsid w:val="00212F4E"/>
    <w:rsid w:val="00215516"/>
    <w:rsid w:val="002156B5"/>
    <w:rsid w:val="00215E4D"/>
    <w:rsid w:val="00215FD7"/>
    <w:rsid w:val="002161A9"/>
    <w:rsid w:val="00217ACE"/>
    <w:rsid w:val="002202C7"/>
    <w:rsid w:val="002207FF"/>
    <w:rsid w:val="002224BD"/>
    <w:rsid w:val="00222687"/>
    <w:rsid w:val="00223F99"/>
    <w:rsid w:val="002246D6"/>
    <w:rsid w:val="00224916"/>
    <w:rsid w:val="00224AA2"/>
    <w:rsid w:val="00225649"/>
    <w:rsid w:val="002268CC"/>
    <w:rsid w:val="0022741B"/>
    <w:rsid w:val="00227B99"/>
    <w:rsid w:val="002328C9"/>
    <w:rsid w:val="00232947"/>
    <w:rsid w:val="0023310D"/>
    <w:rsid w:val="00233143"/>
    <w:rsid w:val="00233147"/>
    <w:rsid w:val="00234B6A"/>
    <w:rsid w:val="00234FC3"/>
    <w:rsid w:val="00235A14"/>
    <w:rsid w:val="0023769A"/>
    <w:rsid w:val="002400E2"/>
    <w:rsid w:val="0024187B"/>
    <w:rsid w:val="00242CBD"/>
    <w:rsid w:val="002440B6"/>
    <w:rsid w:val="00245535"/>
    <w:rsid w:val="00245976"/>
    <w:rsid w:val="00245A3E"/>
    <w:rsid w:val="002464DA"/>
    <w:rsid w:val="00246B29"/>
    <w:rsid w:val="00246CF2"/>
    <w:rsid w:val="00251090"/>
    <w:rsid w:val="002516DA"/>
    <w:rsid w:val="00253CBE"/>
    <w:rsid w:val="00254D00"/>
    <w:rsid w:val="00260723"/>
    <w:rsid w:val="00260A2D"/>
    <w:rsid w:val="00261290"/>
    <w:rsid w:val="00261D8E"/>
    <w:rsid w:val="00262CBB"/>
    <w:rsid w:val="0026431D"/>
    <w:rsid w:val="002656AA"/>
    <w:rsid w:val="00266C6C"/>
    <w:rsid w:val="00267072"/>
    <w:rsid w:val="002703C9"/>
    <w:rsid w:val="002704FA"/>
    <w:rsid w:val="00270B39"/>
    <w:rsid w:val="002733C1"/>
    <w:rsid w:val="002739CA"/>
    <w:rsid w:val="0027516D"/>
    <w:rsid w:val="00277D3C"/>
    <w:rsid w:val="00280AF4"/>
    <w:rsid w:val="00280B06"/>
    <w:rsid w:val="00280F09"/>
    <w:rsid w:val="00281B47"/>
    <w:rsid w:val="00282F12"/>
    <w:rsid w:val="00285166"/>
    <w:rsid w:val="00285960"/>
    <w:rsid w:val="00286BD0"/>
    <w:rsid w:val="00287710"/>
    <w:rsid w:val="00287EF7"/>
    <w:rsid w:val="00287F42"/>
    <w:rsid w:val="0029025B"/>
    <w:rsid w:val="0029145F"/>
    <w:rsid w:val="0029306F"/>
    <w:rsid w:val="002933A4"/>
    <w:rsid w:val="0029468B"/>
    <w:rsid w:val="00294ED7"/>
    <w:rsid w:val="00295BF7"/>
    <w:rsid w:val="00295FC2"/>
    <w:rsid w:val="0029622E"/>
    <w:rsid w:val="002966C6"/>
    <w:rsid w:val="002979FC"/>
    <w:rsid w:val="00297F47"/>
    <w:rsid w:val="00297FFD"/>
    <w:rsid w:val="002A0E4A"/>
    <w:rsid w:val="002A1456"/>
    <w:rsid w:val="002A1A2F"/>
    <w:rsid w:val="002A22D3"/>
    <w:rsid w:val="002A5EDB"/>
    <w:rsid w:val="002B0F2B"/>
    <w:rsid w:val="002B15CA"/>
    <w:rsid w:val="002B267D"/>
    <w:rsid w:val="002B28A7"/>
    <w:rsid w:val="002B2B6F"/>
    <w:rsid w:val="002B2D71"/>
    <w:rsid w:val="002B393F"/>
    <w:rsid w:val="002B40BC"/>
    <w:rsid w:val="002B4F02"/>
    <w:rsid w:val="002B5E4B"/>
    <w:rsid w:val="002B6A38"/>
    <w:rsid w:val="002C0BE3"/>
    <w:rsid w:val="002C6E9D"/>
    <w:rsid w:val="002D0A36"/>
    <w:rsid w:val="002D1130"/>
    <w:rsid w:val="002D122A"/>
    <w:rsid w:val="002D1CB8"/>
    <w:rsid w:val="002D1FD5"/>
    <w:rsid w:val="002D21D3"/>
    <w:rsid w:val="002D2596"/>
    <w:rsid w:val="002D4FE2"/>
    <w:rsid w:val="002D57D1"/>
    <w:rsid w:val="002D691F"/>
    <w:rsid w:val="002D6F8A"/>
    <w:rsid w:val="002D74DD"/>
    <w:rsid w:val="002E00FB"/>
    <w:rsid w:val="002E1C73"/>
    <w:rsid w:val="002E1CD8"/>
    <w:rsid w:val="002E1EC6"/>
    <w:rsid w:val="002E77D0"/>
    <w:rsid w:val="002E7AC3"/>
    <w:rsid w:val="002F057E"/>
    <w:rsid w:val="002F0775"/>
    <w:rsid w:val="002F28B4"/>
    <w:rsid w:val="002F28CC"/>
    <w:rsid w:val="002F29F3"/>
    <w:rsid w:val="002F30F4"/>
    <w:rsid w:val="002F5345"/>
    <w:rsid w:val="002F5E0C"/>
    <w:rsid w:val="00300DE8"/>
    <w:rsid w:val="003010E1"/>
    <w:rsid w:val="00302AEB"/>
    <w:rsid w:val="003048E8"/>
    <w:rsid w:val="00306269"/>
    <w:rsid w:val="00306DC7"/>
    <w:rsid w:val="00310E3B"/>
    <w:rsid w:val="00311ADF"/>
    <w:rsid w:val="00313A10"/>
    <w:rsid w:val="00313B69"/>
    <w:rsid w:val="0031492E"/>
    <w:rsid w:val="0031632C"/>
    <w:rsid w:val="0031778E"/>
    <w:rsid w:val="00317FDB"/>
    <w:rsid w:val="00320472"/>
    <w:rsid w:val="00320BE7"/>
    <w:rsid w:val="00324303"/>
    <w:rsid w:val="00325DD0"/>
    <w:rsid w:val="0032657F"/>
    <w:rsid w:val="00326A33"/>
    <w:rsid w:val="0032753B"/>
    <w:rsid w:val="003279CC"/>
    <w:rsid w:val="00331BC7"/>
    <w:rsid w:val="0033381A"/>
    <w:rsid w:val="00334A96"/>
    <w:rsid w:val="0033528C"/>
    <w:rsid w:val="00336EDD"/>
    <w:rsid w:val="00340167"/>
    <w:rsid w:val="0034017C"/>
    <w:rsid w:val="00340756"/>
    <w:rsid w:val="00340F60"/>
    <w:rsid w:val="003426CE"/>
    <w:rsid w:val="0034324E"/>
    <w:rsid w:val="00343ECA"/>
    <w:rsid w:val="00344F90"/>
    <w:rsid w:val="003452E7"/>
    <w:rsid w:val="00345ECD"/>
    <w:rsid w:val="00346635"/>
    <w:rsid w:val="00346C7C"/>
    <w:rsid w:val="003474E1"/>
    <w:rsid w:val="00351604"/>
    <w:rsid w:val="00355291"/>
    <w:rsid w:val="00355832"/>
    <w:rsid w:val="00355F4E"/>
    <w:rsid w:val="0035669A"/>
    <w:rsid w:val="00356B21"/>
    <w:rsid w:val="00357C6A"/>
    <w:rsid w:val="00360370"/>
    <w:rsid w:val="00362055"/>
    <w:rsid w:val="00364BC6"/>
    <w:rsid w:val="003655F8"/>
    <w:rsid w:val="0036779A"/>
    <w:rsid w:val="00367D60"/>
    <w:rsid w:val="00370358"/>
    <w:rsid w:val="003714DE"/>
    <w:rsid w:val="00371A6C"/>
    <w:rsid w:val="0037253C"/>
    <w:rsid w:val="003725BF"/>
    <w:rsid w:val="003734C0"/>
    <w:rsid w:val="003737CA"/>
    <w:rsid w:val="00373AF2"/>
    <w:rsid w:val="00374E35"/>
    <w:rsid w:val="003751FE"/>
    <w:rsid w:val="00375FA8"/>
    <w:rsid w:val="00376368"/>
    <w:rsid w:val="0037754F"/>
    <w:rsid w:val="0038050F"/>
    <w:rsid w:val="003856A3"/>
    <w:rsid w:val="00387493"/>
    <w:rsid w:val="00390A4F"/>
    <w:rsid w:val="00392748"/>
    <w:rsid w:val="003930CB"/>
    <w:rsid w:val="003936ED"/>
    <w:rsid w:val="003956D8"/>
    <w:rsid w:val="0039596A"/>
    <w:rsid w:val="00395CEA"/>
    <w:rsid w:val="00396304"/>
    <w:rsid w:val="0039676A"/>
    <w:rsid w:val="0039790E"/>
    <w:rsid w:val="003A07AE"/>
    <w:rsid w:val="003A2743"/>
    <w:rsid w:val="003A3F8F"/>
    <w:rsid w:val="003A59CE"/>
    <w:rsid w:val="003A5A35"/>
    <w:rsid w:val="003A6341"/>
    <w:rsid w:val="003A7818"/>
    <w:rsid w:val="003B04AE"/>
    <w:rsid w:val="003B04F3"/>
    <w:rsid w:val="003B0DA7"/>
    <w:rsid w:val="003B120C"/>
    <w:rsid w:val="003B3493"/>
    <w:rsid w:val="003B42E3"/>
    <w:rsid w:val="003B51EC"/>
    <w:rsid w:val="003B6A17"/>
    <w:rsid w:val="003B7864"/>
    <w:rsid w:val="003C0F3B"/>
    <w:rsid w:val="003C3924"/>
    <w:rsid w:val="003C40FC"/>
    <w:rsid w:val="003C485C"/>
    <w:rsid w:val="003C592F"/>
    <w:rsid w:val="003C5C55"/>
    <w:rsid w:val="003C63EF"/>
    <w:rsid w:val="003C65B1"/>
    <w:rsid w:val="003C748C"/>
    <w:rsid w:val="003C7743"/>
    <w:rsid w:val="003D2312"/>
    <w:rsid w:val="003D3033"/>
    <w:rsid w:val="003D3324"/>
    <w:rsid w:val="003D3FA0"/>
    <w:rsid w:val="003D7289"/>
    <w:rsid w:val="003E15CD"/>
    <w:rsid w:val="003E205F"/>
    <w:rsid w:val="003E2244"/>
    <w:rsid w:val="003E4DAA"/>
    <w:rsid w:val="003E52FE"/>
    <w:rsid w:val="003F052D"/>
    <w:rsid w:val="003F0C44"/>
    <w:rsid w:val="003F1014"/>
    <w:rsid w:val="003F1C57"/>
    <w:rsid w:val="003F2058"/>
    <w:rsid w:val="003F4BF4"/>
    <w:rsid w:val="003F55C6"/>
    <w:rsid w:val="003F6EE8"/>
    <w:rsid w:val="003F7FC5"/>
    <w:rsid w:val="00401B09"/>
    <w:rsid w:val="00402FD0"/>
    <w:rsid w:val="00403442"/>
    <w:rsid w:val="004036EE"/>
    <w:rsid w:val="00404184"/>
    <w:rsid w:val="00404307"/>
    <w:rsid w:val="00404E6C"/>
    <w:rsid w:val="00406285"/>
    <w:rsid w:val="00406FEE"/>
    <w:rsid w:val="004130DB"/>
    <w:rsid w:val="0041437A"/>
    <w:rsid w:val="00415024"/>
    <w:rsid w:val="00415854"/>
    <w:rsid w:val="00416E29"/>
    <w:rsid w:val="004177BD"/>
    <w:rsid w:val="00420D01"/>
    <w:rsid w:val="004214F9"/>
    <w:rsid w:val="00421BEA"/>
    <w:rsid w:val="00424569"/>
    <w:rsid w:val="00424938"/>
    <w:rsid w:val="004265A3"/>
    <w:rsid w:val="00426A72"/>
    <w:rsid w:val="00426B71"/>
    <w:rsid w:val="004277E9"/>
    <w:rsid w:val="00427BFD"/>
    <w:rsid w:val="00431E03"/>
    <w:rsid w:val="004323B1"/>
    <w:rsid w:val="00432D79"/>
    <w:rsid w:val="00434A38"/>
    <w:rsid w:val="00434E6B"/>
    <w:rsid w:val="00435706"/>
    <w:rsid w:val="00435C97"/>
    <w:rsid w:val="00436E10"/>
    <w:rsid w:val="0044072C"/>
    <w:rsid w:val="00442BFC"/>
    <w:rsid w:val="00442C38"/>
    <w:rsid w:val="004430F2"/>
    <w:rsid w:val="00444010"/>
    <w:rsid w:val="004451D3"/>
    <w:rsid w:val="00445D9E"/>
    <w:rsid w:val="004465A6"/>
    <w:rsid w:val="004534A4"/>
    <w:rsid w:val="0045362D"/>
    <w:rsid w:val="00453A97"/>
    <w:rsid w:val="00454918"/>
    <w:rsid w:val="004549B9"/>
    <w:rsid w:val="00455D48"/>
    <w:rsid w:val="004563FB"/>
    <w:rsid w:val="00457619"/>
    <w:rsid w:val="00462EDA"/>
    <w:rsid w:val="00463203"/>
    <w:rsid w:val="00463C0A"/>
    <w:rsid w:val="00463EE5"/>
    <w:rsid w:val="0046479F"/>
    <w:rsid w:val="00464BCA"/>
    <w:rsid w:val="00465CF0"/>
    <w:rsid w:val="004660E3"/>
    <w:rsid w:val="00467BD8"/>
    <w:rsid w:val="00470554"/>
    <w:rsid w:val="00472559"/>
    <w:rsid w:val="00472C64"/>
    <w:rsid w:val="004730CE"/>
    <w:rsid w:val="004733F6"/>
    <w:rsid w:val="00475523"/>
    <w:rsid w:val="00476922"/>
    <w:rsid w:val="004801CA"/>
    <w:rsid w:val="00480801"/>
    <w:rsid w:val="0048198F"/>
    <w:rsid w:val="00482FC9"/>
    <w:rsid w:val="004841B5"/>
    <w:rsid w:val="004853F4"/>
    <w:rsid w:val="00485789"/>
    <w:rsid w:val="0048696C"/>
    <w:rsid w:val="00490DA5"/>
    <w:rsid w:val="00491B9B"/>
    <w:rsid w:val="004938BE"/>
    <w:rsid w:val="00493B1D"/>
    <w:rsid w:val="00493DC1"/>
    <w:rsid w:val="004941F8"/>
    <w:rsid w:val="004953A3"/>
    <w:rsid w:val="00496496"/>
    <w:rsid w:val="004965AC"/>
    <w:rsid w:val="00496752"/>
    <w:rsid w:val="004971D7"/>
    <w:rsid w:val="0049725D"/>
    <w:rsid w:val="00497E51"/>
    <w:rsid w:val="004A3EFE"/>
    <w:rsid w:val="004A4128"/>
    <w:rsid w:val="004A6A6B"/>
    <w:rsid w:val="004A7F06"/>
    <w:rsid w:val="004B2236"/>
    <w:rsid w:val="004B2A7F"/>
    <w:rsid w:val="004B3C86"/>
    <w:rsid w:val="004B3E4A"/>
    <w:rsid w:val="004B5A94"/>
    <w:rsid w:val="004B7C17"/>
    <w:rsid w:val="004C0D05"/>
    <w:rsid w:val="004C2DF0"/>
    <w:rsid w:val="004C4620"/>
    <w:rsid w:val="004C5074"/>
    <w:rsid w:val="004C5253"/>
    <w:rsid w:val="004C5BDF"/>
    <w:rsid w:val="004C6563"/>
    <w:rsid w:val="004C6749"/>
    <w:rsid w:val="004C775B"/>
    <w:rsid w:val="004D247C"/>
    <w:rsid w:val="004D2E4C"/>
    <w:rsid w:val="004D3288"/>
    <w:rsid w:val="004D4735"/>
    <w:rsid w:val="004D557F"/>
    <w:rsid w:val="004D5C88"/>
    <w:rsid w:val="004D6F73"/>
    <w:rsid w:val="004D7026"/>
    <w:rsid w:val="004E013D"/>
    <w:rsid w:val="004E125E"/>
    <w:rsid w:val="004E12CD"/>
    <w:rsid w:val="004E14A5"/>
    <w:rsid w:val="004E218B"/>
    <w:rsid w:val="004E33C2"/>
    <w:rsid w:val="004E363E"/>
    <w:rsid w:val="004E3F85"/>
    <w:rsid w:val="004E7098"/>
    <w:rsid w:val="004E7979"/>
    <w:rsid w:val="004F053F"/>
    <w:rsid w:val="004F0563"/>
    <w:rsid w:val="004F2F91"/>
    <w:rsid w:val="004F4420"/>
    <w:rsid w:val="004F4CC3"/>
    <w:rsid w:val="004F4D9F"/>
    <w:rsid w:val="004F4EB3"/>
    <w:rsid w:val="004F5750"/>
    <w:rsid w:val="004F6E99"/>
    <w:rsid w:val="004F72ED"/>
    <w:rsid w:val="00500BBC"/>
    <w:rsid w:val="0050257F"/>
    <w:rsid w:val="00502A4D"/>
    <w:rsid w:val="0050345A"/>
    <w:rsid w:val="00505ED8"/>
    <w:rsid w:val="00506159"/>
    <w:rsid w:val="00506ED4"/>
    <w:rsid w:val="00507370"/>
    <w:rsid w:val="00507FF3"/>
    <w:rsid w:val="00510EBE"/>
    <w:rsid w:val="005113A0"/>
    <w:rsid w:val="00511B3B"/>
    <w:rsid w:val="00511E06"/>
    <w:rsid w:val="00511F62"/>
    <w:rsid w:val="00512535"/>
    <w:rsid w:val="00512C4E"/>
    <w:rsid w:val="005130AE"/>
    <w:rsid w:val="00514B15"/>
    <w:rsid w:val="00515CA5"/>
    <w:rsid w:val="0051795C"/>
    <w:rsid w:val="0052014F"/>
    <w:rsid w:val="005228D9"/>
    <w:rsid w:val="005229F3"/>
    <w:rsid w:val="0052321F"/>
    <w:rsid w:val="00524220"/>
    <w:rsid w:val="005250DE"/>
    <w:rsid w:val="00525636"/>
    <w:rsid w:val="0052618C"/>
    <w:rsid w:val="00526FC7"/>
    <w:rsid w:val="00530424"/>
    <w:rsid w:val="00531302"/>
    <w:rsid w:val="00531E03"/>
    <w:rsid w:val="0053286F"/>
    <w:rsid w:val="005343DA"/>
    <w:rsid w:val="00534BE7"/>
    <w:rsid w:val="00535100"/>
    <w:rsid w:val="00536811"/>
    <w:rsid w:val="005368C0"/>
    <w:rsid w:val="0053706D"/>
    <w:rsid w:val="00540660"/>
    <w:rsid w:val="005407CD"/>
    <w:rsid w:val="00542C59"/>
    <w:rsid w:val="00544933"/>
    <w:rsid w:val="00545091"/>
    <w:rsid w:val="00547A61"/>
    <w:rsid w:val="0055045D"/>
    <w:rsid w:val="00550678"/>
    <w:rsid w:val="00550E70"/>
    <w:rsid w:val="00551C5D"/>
    <w:rsid w:val="00553C80"/>
    <w:rsid w:val="00553F63"/>
    <w:rsid w:val="005544FA"/>
    <w:rsid w:val="00555108"/>
    <w:rsid w:val="0055730F"/>
    <w:rsid w:val="0055738E"/>
    <w:rsid w:val="005607AD"/>
    <w:rsid w:val="00560814"/>
    <w:rsid w:val="0056083E"/>
    <w:rsid w:val="00561282"/>
    <w:rsid w:val="0056224E"/>
    <w:rsid w:val="00565B9B"/>
    <w:rsid w:val="00565CD7"/>
    <w:rsid w:val="00566C16"/>
    <w:rsid w:val="00571155"/>
    <w:rsid w:val="00571607"/>
    <w:rsid w:val="005719EF"/>
    <w:rsid w:val="00571E6F"/>
    <w:rsid w:val="005721BC"/>
    <w:rsid w:val="0057234D"/>
    <w:rsid w:val="005734CF"/>
    <w:rsid w:val="00573A29"/>
    <w:rsid w:val="00575855"/>
    <w:rsid w:val="00575DEA"/>
    <w:rsid w:val="005760B3"/>
    <w:rsid w:val="00576341"/>
    <w:rsid w:val="00581992"/>
    <w:rsid w:val="00582A80"/>
    <w:rsid w:val="00584336"/>
    <w:rsid w:val="00585C2C"/>
    <w:rsid w:val="0059075A"/>
    <w:rsid w:val="00591347"/>
    <w:rsid w:val="00591B55"/>
    <w:rsid w:val="00591E56"/>
    <w:rsid w:val="00594633"/>
    <w:rsid w:val="00594DDE"/>
    <w:rsid w:val="00596862"/>
    <w:rsid w:val="005A0400"/>
    <w:rsid w:val="005A05FA"/>
    <w:rsid w:val="005A17DD"/>
    <w:rsid w:val="005A1887"/>
    <w:rsid w:val="005A2CCF"/>
    <w:rsid w:val="005A3741"/>
    <w:rsid w:val="005A501A"/>
    <w:rsid w:val="005A7B35"/>
    <w:rsid w:val="005B0169"/>
    <w:rsid w:val="005B12E8"/>
    <w:rsid w:val="005B14BD"/>
    <w:rsid w:val="005B17A2"/>
    <w:rsid w:val="005B30CD"/>
    <w:rsid w:val="005B359C"/>
    <w:rsid w:val="005B6E51"/>
    <w:rsid w:val="005B7482"/>
    <w:rsid w:val="005C0304"/>
    <w:rsid w:val="005C2B08"/>
    <w:rsid w:val="005C2F6B"/>
    <w:rsid w:val="005C2F80"/>
    <w:rsid w:val="005C3266"/>
    <w:rsid w:val="005C3878"/>
    <w:rsid w:val="005C4EF1"/>
    <w:rsid w:val="005C5572"/>
    <w:rsid w:val="005C73BE"/>
    <w:rsid w:val="005D12F0"/>
    <w:rsid w:val="005D1336"/>
    <w:rsid w:val="005D139D"/>
    <w:rsid w:val="005D275F"/>
    <w:rsid w:val="005D35D6"/>
    <w:rsid w:val="005D3FF5"/>
    <w:rsid w:val="005D4D47"/>
    <w:rsid w:val="005D774B"/>
    <w:rsid w:val="005E054E"/>
    <w:rsid w:val="005E05F8"/>
    <w:rsid w:val="005E15E9"/>
    <w:rsid w:val="005E1DF1"/>
    <w:rsid w:val="005E2A8D"/>
    <w:rsid w:val="005E53CD"/>
    <w:rsid w:val="005E6A3C"/>
    <w:rsid w:val="005E6DE4"/>
    <w:rsid w:val="005E7B0B"/>
    <w:rsid w:val="005F03DF"/>
    <w:rsid w:val="005F0A66"/>
    <w:rsid w:val="005F0D91"/>
    <w:rsid w:val="005F0F1B"/>
    <w:rsid w:val="005F14BB"/>
    <w:rsid w:val="005F1C96"/>
    <w:rsid w:val="005F1D10"/>
    <w:rsid w:val="005F27EC"/>
    <w:rsid w:val="005F2A45"/>
    <w:rsid w:val="005F3F75"/>
    <w:rsid w:val="005F44AD"/>
    <w:rsid w:val="005F5C68"/>
    <w:rsid w:val="005F5F47"/>
    <w:rsid w:val="005F664F"/>
    <w:rsid w:val="00604D8C"/>
    <w:rsid w:val="00604EDE"/>
    <w:rsid w:val="00605B70"/>
    <w:rsid w:val="00610717"/>
    <w:rsid w:val="00610A51"/>
    <w:rsid w:val="00612802"/>
    <w:rsid w:val="00612FE0"/>
    <w:rsid w:val="006153A7"/>
    <w:rsid w:val="00616AEC"/>
    <w:rsid w:val="00622549"/>
    <w:rsid w:val="0062288F"/>
    <w:rsid w:val="00622B08"/>
    <w:rsid w:val="00622F0E"/>
    <w:rsid w:val="00623487"/>
    <w:rsid w:val="00623BA0"/>
    <w:rsid w:val="00623F7C"/>
    <w:rsid w:val="0062471C"/>
    <w:rsid w:val="006256AE"/>
    <w:rsid w:val="006257BC"/>
    <w:rsid w:val="00626595"/>
    <w:rsid w:val="0063062D"/>
    <w:rsid w:val="00630EA0"/>
    <w:rsid w:val="006326E9"/>
    <w:rsid w:val="00632A3D"/>
    <w:rsid w:val="00632ADB"/>
    <w:rsid w:val="00633A9C"/>
    <w:rsid w:val="00633C26"/>
    <w:rsid w:val="006341F9"/>
    <w:rsid w:val="00635D4C"/>
    <w:rsid w:val="006365FB"/>
    <w:rsid w:val="00637D11"/>
    <w:rsid w:val="00640CE0"/>
    <w:rsid w:val="00642670"/>
    <w:rsid w:val="00643A95"/>
    <w:rsid w:val="00643B10"/>
    <w:rsid w:val="00643F0F"/>
    <w:rsid w:val="00644ABC"/>
    <w:rsid w:val="0064574C"/>
    <w:rsid w:val="006462FA"/>
    <w:rsid w:val="00650068"/>
    <w:rsid w:val="0065044B"/>
    <w:rsid w:val="0065099C"/>
    <w:rsid w:val="006524C0"/>
    <w:rsid w:val="00652EFE"/>
    <w:rsid w:val="0065361C"/>
    <w:rsid w:val="00656587"/>
    <w:rsid w:val="00656639"/>
    <w:rsid w:val="00662C7F"/>
    <w:rsid w:val="00662F1A"/>
    <w:rsid w:val="00663ACC"/>
    <w:rsid w:val="00663F99"/>
    <w:rsid w:val="00664410"/>
    <w:rsid w:val="00665362"/>
    <w:rsid w:val="006670AC"/>
    <w:rsid w:val="0066724B"/>
    <w:rsid w:val="00670B27"/>
    <w:rsid w:val="00671469"/>
    <w:rsid w:val="0067555B"/>
    <w:rsid w:val="00675B6F"/>
    <w:rsid w:val="00675D4F"/>
    <w:rsid w:val="006763DF"/>
    <w:rsid w:val="006778F1"/>
    <w:rsid w:val="006779D5"/>
    <w:rsid w:val="0068189B"/>
    <w:rsid w:val="006819C4"/>
    <w:rsid w:val="00682529"/>
    <w:rsid w:val="00683A32"/>
    <w:rsid w:val="00683EA5"/>
    <w:rsid w:val="006850A5"/>
    <w:rsid w:val="0068755B"/>
    <w:rsid w:val="0068757D"/>
    <w:rsid w:val="00690311"/>
    <w:rsid w:val="00691430"/>
    <w:rsid w:val="0069200B"/>
    <w:rsid w:val="00692A5D"/>
    <w:rsid w:val="00692FBA"/>
    <w:rsid w:val="0069423A"/>
    <w:rsid w:val="00694328"/>
    <w:rsid w:val="00694776"/>
    <w:rsid w:val="006951D0"/>
    <w:rsid w:val="00696E7F"/>
    <w:rsid w:val="006A07BB"/>
    <w:rsid w:val="006A27DD"/>
    <w:rsid w:val="006A2EDD"/>
    <w:rsid w:val="006A3189"/>
    <w:rsid w:val="006A387A"/>
    <w:rsid w:val="006A3C6D"/>
    <w:rsid w:val="006A46BA"/>
    <w:rsid w:val="006A53E4"/>
    <w:rsid w:val="006A5F28"/>
    <w:rsid w:val="006A61D2"/>
    <w:rsid w:val="006B0996"/>
    <w:rsid w:val="006B68F0"/>
    <w:rsid w:val="006B6BC4"/>
    <w:rsid w:val="006B6E53"/>
    <w:rsid w:val="006B7460"/>
    <w:rsid w:val="006C112A"/>
    <w:rsid w:val="006C3CDE"/>
    <w:rsid w:val="006C5012"/>
    <w:rsid w:val="006C6C42"/>
    <w:rsid w:val="006D0CD2"/>
    <w:rsid w:val="006D0EA5"/>
    <w:rsid w:val="006D1796"/>
    <w:rsid w:val="006D1FD5"/>
    <w:rsid w:val="006D2099"/>
    <w:rsid w:val="006D2D3D"/>
    <w:rsid w:val="006D3E18"/>
    <w:rsid w:val="006D5467"/>
    <w:rsid w:val="006D60C8"/>
    <w:rsid w:val="006E03E8"/>
    <w:rsid w:val="006E0BBF"/>
    <w:rsid w:val="006E2AD9"/>
    <w:rsid w:val="006E2E9A"/>
    <w:rsid w:val="006E3BCF"/>
    <w:rsid w:val="006E50C5"/>
    <w:rsid w:val="006E6518"/>
    <w:rsid w:val="006E765F"/>
    <w:rsid w:val="006E78E1"/>
    <w:rsid w:val="006F0C8E"/>
    <w:rsid w:val="006F2388"/>
    <w:rsid w:val="006F44B9"/>
    <w:rsid w:val="006F4D22"/>
    <w:rsid w:val="006F4E24"/>
    <w:rsid w:val="006F64B8"/>
    <w:rsid w:val="006F74C6"/>
    <w:rsid w:val="007005D7"/>
    <w:rsid w:val="00700B90"/>
    <w:rsid w:val="00700F71"/>
    <w:rsid w:val="0070167C"/>
    <w:rsid w:val="00703BD7"/>
    <w:rsid w:val="00705AA3"/>
    <w:rsid w:val="00707480"/>
    <w:rsid w:val="00710C47"/>
    <w:rsid w:val="00711121"/>
    <w:rsid w:val="0071169F"/>
    <w:rsid w:val="0071174A"/>
    <w:rsid w:val="007131F7"/>
    <w:rsid w:val="007137F9"/>
    <w:rsid w:val="00713A6B"/>
    <w:rsid w:val="0071566C"/>
    <w:rsid w:val="00717430"/>
    <w:rsid w:val="007208D1"/>
    <w:rsid w:val="007216F8"/>
    <w:rsid w:val="00723879"/>
    <w:rsid w:val="007242FA"/>
    <w:rsid w:val="0072472A"/>
    <w:rsid w:val="0072566A"/>
    <w:rsid w:val="00725C35"/>
    <w:rsid w:val="0072677E"/>
    <w:rsid w:val="00726A78"/>
    <w:rsid w:val="00733BB0"/>
    <w:rsid w:val="00733C84"/>
    <w:rsid w:val="00734B26"/>
    <w:rsid w:val="007355AD"/>
    <w:rsid w:val="00736BA0"/>
    <w:rsid w:val="0073736C"/>
    <w:rsid w:val="00741C7A"/>
    <w:rsid w:val="007420B5"/>
    <w:rsid w:val="0074263E"/>
    <w:rsid w:val="007430E3"/>
    <w:rsid w:val="00743C3A"/>
    <w:rsid w:val="007448D3"/>
    <w:rsid w:val="0074590B"/>
    <w:rsid w:val="00746AE5"/>
    <w:rsid w:val="00750956"/>
    <w:rsid w:val="00751C0C"/>
    <w:rsid w:val="007521CA"/>
    <w:rsid w:val="007529D4"/>
    <w:rsid w:val="007556E3"/>
    <w:rsid w:val="0075577C"/>
    <w:rsid w:val="00755955"/>
    <w:rsid w:val="0076010B"/>
    <w:rsid w:val="00761E1F"/>
    <w:rsid w:val="007647F2"/>
    <w:rsid w:val="0076506B"/>
    <w:rsid w:val="0076746A"/>
    <w:rsid w:val="00767615"/>
    <w:rsid w:val="0077183E"/>
    <w:rsid w:val="00771859"/>
    <w:rsid w:val="00771B12"/>
    <w:rsid w:val="0077274F"/>
    <w:rsid w:val="00772CD5"/>
    <w:rsid w:val="00773DAE"/>
    <w:rsid w:val="0077420E"/>
    <w:rsid w:val="0077507C"/>
    <w:rsid w:val="00777E89"/>
    <w:rsid w:val="00780402"/>
    <w:rsid w:val="00780ED7"/>
    <w:rsid w:val="00781FF4"/>
    <w:rsid w:val="00784B0E"/>
    <w:rsid w:val="00786CE7"/>
    <w:rsid w:val="00787F39"/>
    <w:rsid w:val="007914A1"/>
    <w:rsid w:val="0079245D"/>
    <w:rsid w:val="00793258"/>
    <w:rsid w:val="00794744"/>
    <w:rsid w:val="00794B73"/>
    <w:rsid w:val="00796973"/>
    <w:rsid w:val="00796B48"/>
    <w:rsid w:val="007A1118"/>
    <w:rsid w:val="007A308E"/>
    <w:rsid w:val="007A3F3B"/>
    <w:rsid w:val="007A4F94"/>
    <w:rsid w:val="007B0F81"/>
    <w:rsid w:val="007C1FD6"/>
    <w:rsid w:val="007C3EB7"/>
    <w:rsid w:val="007C52E3"/>
    <w:rsid w:val="007C7197"/>
    <w:rsid w:val="007D1F6C"/>
    <w:rsid w:val="007D2C55"/>
    <w:rsid w:val="007D3DFF"/>
    <w:rsid w:val="007D4178"/>
    <w:rsid w:val="007D7C90"/>
    <w:rsid w:val="007E1081"/>
    <w:rsid w:val="007E153D"/>
    <w:rsid w:val="007E19DD"/>
    <w:rsid w:val="007E44B4"/>
    <w:rsid w:val="007E4EA6"/>
    <w:rsid w:val="007E51BB"/>
    <w:rsid w:val="007E78F1"/>
    <w:rsid w:val="007F0209"/>
    <w:rsid w:val="007F0DA9"/>
    <w:rsid w:val="007F11DE"/>
    <w:rsid w:val="007F1C19"/>
    <w:rsid w:val="007F275E"/>
    <w:rsid w:val="007F3463"/>
    <w:rsid w:val="007F50E3"/>
    <w:rsid w:val="007F58C7"/>
    <w:rsid w:val="007F59A3"/>
    <w:rsid w:val="007F70CD"/>
    <w:rsid w:val="00802CA0"/>
    <w:rsid w:val="00803914"/>
    <w:rsid w:val="0080666B"/>
    <w:rsid w:val="00806FF2"/>
    <w:rsid w:val="008108A0"/>
    <w:rsid w:val="008120E8"/>
    <w:rsid w:val="0081328D"/>
    <w:rsid w:val="00813B87"/>
    <w:rsid w:val="00814A91"/>
    <w:rsid w:val="00814BB3"/>
    <w:rsid w:val="00814D81"/>
    <w:rsid w:val="00816561"/>
    <w:rsid w:val="00816803"/>
    <w:rsid w:val="0081688B"/>
    <w:rsid w:val="00816DA3"/>
    <w:rsid w:val="00817819"/>
    <w:rsid w:val="0082241C"/>
    <w:rsid w:val="00823217"/>
    <w:rsid w:val="008232D5"/>
    <w:rsid w:val="0082387C"/>
    <w:rsid w:val="00823E7D"/>
    <w:rsid w:val="00824434"/>
    <w:rsid w:val="008254DB"/>
    <w:rsid w:val="008270E0"/>
    <w:rsid w:val="00831B62"/>
    <w:rsid w:val="00831F00"/>
    <w:rsid w:val="0083496E"/>
    <w:rsid w:val="0083501F"/>
    <w:rsid w:val="0083506F"/>
    <w:rsid w:val="008378DC"/>
    <w:rsid w:val="00840235"/>
    <w:rsid w:val="00842A32"/>
    <w:rsid w:val="00844890"/>
    <w:rsid w:val="00844D92"/>
    <w:rsid w:val="00845417"/>
    <w:rsid w:val="0084670D"/>
    <w:rsid w:val="008478B0"/>
    <w:rsid w:val="00850362"/>
    <w:rsid w:val="0085191D"/>
    <w:rsid w:val="00852DDD"/>
    <w:rsid w:val="008535D5"/>
    <w:rsid w:val="0085425A"/>
    <w:rsid w:val="008542E8"/>
    <w:rsid w:val="008546CD"/>
    <w:rsid w:val="0085487D"/>
    <w:rsid w:val="00856D14"/>
    <w:rsid w:val="0086003E"/>
    <w:rsid w:val="00862539"/>
    <w:rsid w:val="0086312A"/>
    <w:rsid w:val="00863EED"/>
    <w:rsid w:val="00864A84"/>
    <w:rsid w:val="00864EBB"/>
    <w:rsid w:val="00864F48"/>
    <w:rsid w:val="008676E3"/>
    <w:rsid w:val="008720C4"/>
    <w:rsid w:val="00872394"/>
    <w:rsid w:val="008726A5"/>
    <w:rsid w:val="00872CA2"/>
    <w:rsid w:val="00873498"/>
    <w:rsid w:val="00874222"/>
    <w:rsid w:val="00874B0A"/>
    <w:rsid w:val="00874F0E"/>
    <w:rsid w:val="00876073"/>
    <w:rsid w:val="0088081C"/>
    <w:rsid w:val="00883516"/>
    <w:rsid w:val="00883CD8"/>
    <w:rsid w:val="00883F60"/>
    <w:rsid w:val="00885535"/>
    <w:rsid w:val="00885D4C"/>
    <w:rsid w:val="00885E4F"/>
    <w:rsid w:val="00886CF8"/>
    <w:rsid w:val="008876B8"/>
    <w:rsid w:val="00887FD6"/>
    <w:rsid w:val="008902D9"/>
    <w:rsid w:val="0089039A"/>
    <w:rsid w:val="00893691"/>
    <w:rsid w:val="00893E73"/>
    <w:rsid w:val="008955EC"/>
    <w:rsid w:val="0089782A"/>
    <w:rsid w:val="008A08DF"/>
    <w:rsid w:val="008A0B29"/>
    <w:rsid w:val="008A0E4E"/>
    <w:rsid w:val="008A14F6"/>
    <w:rsid w:val="008A2636"/>
    <w:rsid w:val="008A40D4"/>
    <w:rsid w:val="008A51C9"/>
    <w:rsid w:val="008A7206"/>
    <w:rsid w:val="008B068C"/>
    <w:rsid w:val="008B0F2A"/>
    <w:rsid w:val="008B33EA"/>
    <w:rsid w:val="008B4014"/>
    <w:rsid w:val="008B4529"/>
    <w:rsid w:val="008B5533"/>
    <w:rsid w:val="008C0251"/>
    <w:rsid w:val="008C0C21"/>
    <w:rsid w:val="008C0EEF"/>
    <w:rsid w:val="008C1414"/>
    <w:rsid w:val="008C1BC5"/>
    <w:rsid w:val="008C1ED2"/>
    <w:rsid w:val="008C2F2D"/>
    <w:rsid w:val="008C608E"/>
    <w:rsid w:val="008C66B3"/>
    <w:rsid w:val="008C674A"/>
    <w:rsid w:val="008C6757"/>
    <w:rsid w:val="008D0D11"/>
    <w:rsid w:val="008D0E7E"/>
    <w:rsid w:val="008D27EC"/>
    <w:rsid w:val="008D3A00"/>
    <w:rsid w:val="008D4995"/>
    <w:rsid w:val="008D6223"/>
    <w:rsid w:val="008D62EB"/>
    <w:rsid w:val="008D7037"/>
    <w:rsid w:val="008D745C"/>
    <w:rsid w:val="008E027A"/>
    <w:rsid w:val="008E238D"/>
    <w:rsid w:val="008E276E"/>
    <w:rsid w:val="008E289C"/>
    <w:rsid w:val="008F14B4"/>
    <w:rsid w:val="008F3127"/>
    <w:rsid w:val="008F39E1"/>
    <w:rsid w:val="008F409A"/>
    <w:rsid w:val="009001DA"/>
    <w:rsid w:val="009017F3"/>
    <w:rsid w:val="0090211D"/>
    <w:rsid w:val="009032D1"/>
    <w:rsid w:val="009035D1"/>
    <w:rsid w:val="00903721"/>
    <w:rsid w:val="00903A30"/>
    <w:rsid w:val="0090494D"/>
    <w:rsid w:val="00904C5C"/>
    <w:rsid w:val="00904E07"/>
    <w:rsid w:val="0090730A"/>
    <w:rsid w:val="00911349"/>
    <w:rsid w:val="0091193F"/>
    <w:rsid w:val="00911ED7"/>
    <w:rsid w:val="0091357A"/>
    <w:rsid w:val="009135D4"/>
    <w:rsid w:val="00913ADA"/>
    <w:rsid w:val="00913B8C"/>
    <w:rsid w:val="0091554B"/>
    <w:rsid w:val="00916482"/>
    <w:rsid w:val="00916C5B"/>
    <w:rsid w:val="00920069"/>
    <w:rsid w:val="009211FE"/>
    <w:rsid w:val="00922619"/>
    <w:rsid w:val="009227DF"/>
    <w:rsid w:val="0092309F"/>
    <w:rsid w:val="00923341"/>
    <w:rsid w:val="0092633D"/>
    <w:rsid w:val="00926B36"/>
    <w:rsid w:val="00927E52"/>
    <w:rsid w:val="00927E60"/>
    <w:rsid w:val="00930CE8"/>
    <w:rsid w:val="00931C7A"/>
    <w:rsid w:val="00932735"/>
    <w:rsid w:val="00932A2C"/>
    <w:rsid w:val="00933A62"/>
    <w:rsid w:val="0093499D"/>
    <w:rsid w:val="00934BCA"/>
    <w:rsid w:val="00934D1E"/>
    <w:rsid w:val="00935194"/>
    <w:rsid w:val="009355AF"/>
    <w:rsid w:val="00935E09"/>
    <w:rsid w:val="00936595"/>
    <w:rsid w:val="00937755"/>
    <w:rsid w:val="00937FC8"/>
    <w:rsid w:val="00941B8B"/>
    <w:rsid w:val="00942006"/>
    <w:rsid w:val="00944034"/>
    <w:rsid w:val="00944125"/>
    <w:rsid w:val="0094450A"/>
    <w:rsid w:val="0094597D"/>
    <w:rsid w:val="00945D24"/>
    <w:rsid w:val="009465D3"/>
    <w:rsid w:val="00947391"/>
    <w:rsid w:val="00947B7B"/>
    <w:rsid w:val="0095003E"/>
    <w:rsid w:val="0095020D"/>
    <w:rsid w:val="009513EB"/>
    <w:rsid w:val="009518D9"/>
    <w:rsid w:val="00951900"/>
    <w:rsid w:val="009527AF"/>
    <w:rsid w:val="00952991"/>
    <w:rsid w:val="00952A34"/>
    <w:rsid w:val="00952F29"/>
    <w:rsid w:val="00954CAA"/>
    <w:rsid w:val="00955007"/>
    <w:rsid w:val="00955196"/>
    <w:rsid w:val="00956132"/>
    <w:rsid w:val="009562BF"/>
    <w:rsid w:val="0095689E"/>
    <w:rsid w:val="009577C1"/>
    <w:rsid w:val="009613D4"/>
    <w:rsid w:val="00962BA7"/>
    <w:rsid w:val="00963FA5"/>
    <w:rsid w:val="00966253"/>
    <w:rsid w:val="00966C3A"/>
    <w:rsid w:val="00966F59"/>
    <w:rsid w:val="00967A17"/>
    <w:rsid w:val="00970830"/>
    <w:rsid w:val="009714C5"/>
    <w:rsid w:val="009748F6"/>
    <w:rsid w:val="00975321"/>
    <w:rsid w:val="00975AE5"/>
    <w:rsid w:val="00976A03"/>
    <w:rsid w:val="00980595"/>
    <w:rsid w:val="00981C96"/>
    <w:rsid w:val="00982F5E"/>
    <w:rsid w:val="009839DA"/>
    <w:rsid w:val="00984A0C"/>
    <w:rsid w:val="009903C5"/>
    <w:rsid w:val="00991CEB"/>
    <w:rsid w:val="00991EC3"/>
    <w:rsid w:val="00993DEA"/>
    <w:rsid w:val="00994CB4"/>
    <w:rsid w:val="00995261"/>
    <w:rsid w:val="00997954"/>
    <w:rsid w:val="009A077B"/>
    <w:rsid w:val="009A0838"/>
    <w:rsid w:val="009A0F9B"/>
    <w:rsid w:val="009A1431"/>
    <w:rsid w:val="009A1CD3"/>
    <w:rsid w:val="009A2BE6"/>
    <w:rsid w:val="009A35B9"/>
    <w:rsid w:val="009A4949"/>
    <w:rsid w:val="009A6CC1"/>
    <w:rsid w:val="009B048D"/>
    <w:rsid w:val="009B0AFC"/>
    <w:rsid w:val="009B0E74"/>
    <w:rsid w:val="009B1640"/>
    <w:rsid w:val="009B1C50"/>
    <w:rsid w:val="009B2288"/>
    <w:rsid w:val="009B2E97"/>
    <w:rsid w:val="009B40FA"/>
    <w:rsid w:val="009B56E3"/>
    <w:rsid w:val="009B63D0"/>
    <w:rsid w:val="009B687F"/>
    <w:rsid w:val="009C1B3E"/>
    <w:rsid w:val="009C2277"/>
    <w:rsid w:val="009C23A0"/>
    <w:rsid w:val="009C2B3C"/>
    <w:rsid w:val="009C3F8F"/>
    <w:rsid w:val="009C462C"/>
    <w:rsid w:val="009C5E8A"/>
    <w:rsid w:val="009C6CD7"/>
    <w:rsid w:val="009C7303"/>
    <w:rsid w:val="009C7D05"/>
    <w:rsid w:val="009D0576"/>
    <w:rsid w:val="009D06B4"/>
    <w:rsid w:val="009D1F50"/>
    <w:rsid w:val="009D25F2"/>
    <w:rsid w:val="009D75F8"/>
    <w:rsid w:val="009E0878"/>
    <w:rsid w:val="009E2075"/>
    <w:rsid w:val="009E5AF2"/>
    <w:rsid w:val="009E6417"/>
    <w:rsid w:val="009E6E6F"/>
    <w:rsid w:val="009E7857"/>
    <w:rsid w:val="009E7DD1"/>
    <w:rsid w:val="009F2887"/>
    <w:rsid w:val="009F3031"/>
    <w:rsid w:val="009F3750"/>
    <w:rsid w:val="009F3ED0"/>
    <w:rsid w:val="009F683D"/>
    <w:rsid w:val="009F735B"/>
    <w:rsid w:val="009F7C11"/>
    <w:rsid w:val="009F7E51"/>
    <w:rsid w:val="00A00F08"/>
    <w:rsid w:val="00A0283A"/>
    <w:rsid w:val="00A034CF"/>
    <w:rsid w:val="00A04002"/>
    <w:rsid w:val="00A043FB"/>
    <w:rsid w:val="00A06287"/>
    <w:rsid w:val="00A102A8"/>
    <w:rsid w:val="00A1031A"/>
    <w:rsid w:val="00A1326D"/>
    <w:rsid w:val="00A13B38"/>
    <w:rsid w:val="00A13E16"/>
    <w:rsid w:val="00A13F58"/>
    <w:rsid w:val="00A14E94"/>
    <w:rsid w:val="00A15B0D"/>
    <w:rsid w:val="00A20033"/>
    <w:rsid w:val="00A202C0"/>
    <w:rsid w:val="00A20AB3"/>
    <w:rsid w:val="00A20B57"/>
    <w:rsid w:val="00A20CE5"/>
    <w:rsid w:val="00A20EAC"/>
    <w:rsid w:val="00A21202"/>
    <w:rsid w:val="00A2198B"/>
    <w:rsid w:val="00A2258B"/>
    <w:rsid w:val="00A2274F"/>
    <w:rsid w:val="00A22D3F"/>
    <w:rsid w:val="00A2306A"/>
    <w:rsid w:val="00A23B13"/>
    <w:rsid w:val="00A24669"/>
    <w:rsid w:val="00A256FF"/>
    <w:rsid w:val="00A26885"/>
    <w:rsid w:val="00A27973"/>
    <w:rsid w:val="00A30157"/>
    <w:rsid w:val="00A31080"/>
    <w:rsid w:val="00A319FC"/>
    <w:rsid w:val="00A352D0"/>
    <w:rsid w:val="00A35A21"/>
    <w:rsid w:val="00A3625F"/>
    <w:rsid w:val="00A401F5"/>
    <w:rsid w:val="00A40DF9"/>
    <w:rsid w:val="00A41ADE"/>
    <w:rsid w:val="00A43305"/>
    <w:rsid w:val="00A45DB8"/>
    <w:rsid w:val="00A4611B"/>
    <w:rsid w:val="00A46822"/>
    <w:rsid w:val="00A47B84"/>
    <w:rsid w:val="00A5039E"/>
    <w:rsid w:val="00A50E6D"/>
    <w:rsid w:val="00A52870"/>
    <w:rsid w:val="00A53D05"/>
    <w:rsid w:val="00A545FB"/>
    <w:rsid w:val="00A54B65"/>
    <w:rsid w:val="00A55C08"/>
    <w:rsid w:val="00A55F34"/>
    <w:rsid w:val="00A578ED"/>
    <w:rsid w:val="00A60082"/>
    <w:rsid w:val="00A62CA3"/>
    <w:rsid w:val="00A64B80"/>
    <w:rsid w:val="00A64EC5"/>
    <w:rsid w:val="00A6568F"/>
    <w:rsid w:val="00A65BE7"/>
    <w:rsid w:val="00A66AAE"/>
    <w:rsid w:val="00A66D86"/>
    <w:rsid w:val="00A67C86"/>
    <w:rsid w:val="00A708A8"/>
    <w:rsid w:val="00A70CAE"/>
    <w:rsid w:val="00A73424"/>
    <w:rsid w:val="00A77367"/>
    <w:rsid w:val="00A8056B"/>
    <w:rsid w:val="00A82BCE"/>
    <w:rsid w:val="00A830D2"/>
    <w:rsid w:val="00A842EC"/>
    <w:rsid w:val="00A86A41"/>
    <w:rsid w:val="00A879C5"/>
    <w:rsid w:val="00A90023"/>
    <w:rsid w:val="00A900C2"/>
    <w:rsid w:val="00A9075C"/>
    <w:rsid w:val="00A90DDD"/>
    <w:rsid w:val="00A92C07"/>
    <w:rsid w:val="00A92DB8"/>
    <w:rsid w:val="00A93380"/>
    <w:rsid w:val="00A94E7B"/>
    <w:rsid w:val="00A951B9"/>
    <w:rsid w:val="00AA4BAD"/>
    <w:rsid w:val="00AA4FCB"/>
    <w:rsid w:val="00AA66DE"/>
    <w:rsid w:val="00AA6BDB"/>
    <w:rsid w:val="00AA73D6"/>
    <w:rsid w:val="00AA7953"/>
    <w:rsid w:val="00AA79C5"/>
    <w:rsid w:val="00AA7CC0"/>
    <w:rsid w:val="00AA7D5C"/>
    <w:rsid w:val="00AB294B"/>
    <w:rsid w:val="00AB3D33"/>
    <w:rsid w:val="00AB4344"/>
    <w:rsid w:val="00AB50DD"/>
    <w:rsid w:val="00AB64EA"/>
    <w:rsid w:val="00AB6A10"/>
    <w:rsid w:val="00AB6C84"/>
    <w:rsid w:val="00AC2FA5"/>
    <w:rsid w:val="00AC43BA"/>
    <w:rsid w:val="00AC4446"/>
    <w:rsid w:val="00AC5570"/>
    <w:rsid w:val="00AC7875"/>
    <w:rsid w:val="00AC7F6F"/>
    <w:rsid w:val="00AD27C4"/>
    <w:rsid w:val="00AD2CBD"/>
    <w:rsid w:val="00AD3F9D"/>
    <w:rsid w:val="00AD457F"/>
    <w:rsid w:val="00AD68A3"/>
    <w:rsid w:val="00AE08C8"/>
    <w:rsid w:val="00AE0CC3"/>
    <w:rsid w:val="00AE0D6D"/>
    <w:rsid w:val="00AE1202"/>
    <w:rsid w:val="00AE2407"/>
    <w:rsid w:val="00AE2D0E"/>
    <w:rsid w:val="00AE3699"/>
    <w:rsid w:val="00AE3D9C"/>
    <w:rsid w:val="00AE4684"/>
    <w:rsid w:val="00AE547B"/>
    <w:rsid w:val="00AE76B6"/>
    <w:rsid w:val="00AE7CF4"/>
    <w:rsid w:val="00AF0E1D"/>
    <w:rsid w:val="00AF18AC"/>
    <w:rsid w:val="00AF1D16"/>
    <w:rsid w:val="00AF3DF2"/>
    <w:rsid w:val="00AF435C"/>
    <w:rsid w:val="00AF4E7D"/>
    <w:rsid w:val="00AF4F4F"/>
    <w:rsid w:val="00AF57CA"/>
    <w:rsid w:val="00AF69F3"/>
    <w:rsid w:val="00AF7855"/>
    <w:rsid w:val="00AF796F"/>
    <w:rsid w:val="00AF797A"/>
    <w:rsid w:val="00B0068A"/>
    <w:rsid w:val="00B01D2B"/>
    <w:rsid w:val="00B0611F"/>
    <w:rsid w:val="00B06EC5"/>
    <w:rsid w:val="00B10BAA"/>
    <w:rsid w:val="00B11AE0"/>
    <w:rsid w:val="00B11E08"/>
    <w:rsid w:val="00B135B9"/>
    <w:rsid w:val="00B14080"/>
    <w:rsid w:val="00B16BFE"/>
    <w:rsid w:val="00B21202"/>
    <w:rsid w:val="00B213CB"/>
    <w:rsid w:val="00B2159D"/>
    <w:rsid w:val="00B22776"/>
    <w:rsid w:val="00B22870"/>
    <w:rsid w:val="00B24F5B"/>
    <w:rsid w:val="00B26E77"/>
    <w:rsid w:val="00B306B7"/>
    <w:rsid w:val="00B319B7"/>
    <w:rsid w:val="00B3206E"/>
    <w:rsid w:val="00B32B22"/>
    <w:rsid w:val="00B333C4"/>
    <w:rsid w:val="00B3360D"/>
    <w:rsid w:val="00B350E1"/>
    <w:rsid w:val="00B35185"/>
    <w:rsid w:val="00B36137"/>
    <w:rsid w:val="00B405A8"/>
    <w:rsid w:val="00B407CB"/>
    <w:rsid w:val="00B40E85"/>
    <w:rsid w:val="00B43271"/>
    <w:rsid w:val="00B43866"/>
    <w:rsid w:val="00B451FA"/>
    <w:rsid w:val="00B45353"/>
    <w:rsid w:val="00B502F9"/>
    <w:rsid w:val="00B51179"/>
    <w:rsid w:val="00B513A2"/>
    <w:rsid w:val="00B524E4"/>
    <w:rsid w:val="00B53425"/>
    <w:rsid w:val="00B534F6"/>
    <w:rsid w:val="00B547CA"/>
    <w:rsid w:val="00B54964"/>
    <w:rsid w:val="00B54BF0"/>
    <w:rsid w:val="00B55243"/>
    <w:rsid w:val="00B55CCF"/>
    <w:rsid w:val="00B56B21"/>
    <w:rsid w:val="00B57343"/>
    <w:rsid w:val="00B605BA"/>
    <w:rsid w:val="00B61E0A"/>
    <w:rsid w:val="00B6202C"/>
    <w:rsid w:val="00B630DB"/>
    <w:rsid w:val="00B63913"/>
    <w:rsid w:val="00B63AED"/>
    <w:rsid w:val="00B63C95"/>
    <w:rsid w:val="00B64785"/>
    <w:rsid w:val="00B6602F"/>
    <w:rsid w:val="00B67B81"/>
    <w:rsid w:val="00B70CF5"/>
    <w:rsid w:val="00B7236A"/>
    <w:rsid w:val="00B72F63"/>
    <w:rsid w:val="00B74145"/>
    <w:rsid w:val="00B754A3"/>
    <w:rsid w:val="00B75A7F"/>
    <w:rsid w:val="00B76140"/>
    <w:rsid w:val="00B769C0"/>
    <w:rsid w:val="00B76D1C"/>
    <w:rsid w:val="00B80E09"/>
    <w:rsid w:val="00B81755"/>
    <w:rsid w:val="00B8363F"/>
    <w:rsid w:val="00B8463C"/>
    <w:rsid w:val="00B851A3"/>
    <w:rsid w:val="00B86B5E"/>
    <w:rsid w:val="00B870E6"/>
    <w:rsid w:val="00B928EE"/>
    <w:rsid w:val="00B931CF"/>
    <w:rsid w:val="00B939D4"/>
    <w:rsid w:val="00B93A1B"/>
    <w:rsid w:val="00B94A57"/>
    <w:rsid w:val="00B952B5"/>
    <w:rsid w:val="00B95509"/>
    <w:rsid w:val="00B96DE3"/>
    <w:rsid w:val="00BA3BE8"/>
    <w:rsid w:val="00BA4CA5"/>
    <w:rsid w:val="00BA53C1"/>
    <w:rsid w:val="00BA62C9"/>
    <w:rsid w:val="00BA6380"/>
    <w:rsid w:val="00BB033E"/>
    <w:rsid w:val="00BB061E"/>
    <w:rsid w:val="00BB082E"/>
    <w:rsid w:val="00BB1857"/>
    <w:rsid w:val="00BB1EA7"/>
    <w:rsid w:val="00BB2542"/>
    <w:rsid w:val="00BB2C30"/>
    <w:rsid w:val="00BB3078"/>
    <w:rsid w:val="00BB4F6E"/>
    <w:rsid w:val="00BB69C7"/>
    <w:rsid w:val="00BB7602"/>
    <w:rsid w:val="00BB7DBC"/>
    <w:rsid w:val="00BB7EF9"/>
    <w:rsid w:val="00BC0487"/>
    <w:rsid w:val="00BC4B8C"/>
    <w:rsid w:val="00BC73A6"/>
    <w:rsid w:val="00BD05FA"/>
    <w:rsid w:val="00BD06AF"/>
    <w:rsid w:val="00BD2223"/>
    <w:rsid w:val="00BD24BF"/>
    <w:rsid w:val="00BD329A"/>
    <w:rsid w:val="00BD3F62"/>
    <w:rsid w:val="00BD3FA2"/>
    <w:rsid w:val="00BD6224"/>
    <w:rsid w:val="00BD6CAF"/>
    <w:rsid w:val="00BD6CF6"/>
    <w:rsid w:val="00BD714A"/>
    <w:rsid w:val="00BD7611"/>
    <w:rsid w:val="00BE05F8"/>
    <w:rsid w:val="00BE2868"/>
    <w:rsid w:val="00BE29E4"/>
    <w:rsid w:val="00BE3B45"/>
    <w:rsid w:val="00BE5CEB"/>
    <w:rsid w:val="00BE744C"/>
    <w:rsid w:val="00BE7B31"/>
    <w:rsid w:val="00BE7D04"/>
    <w:rsid w:val="00BF051F"/>
    <w:rsid w:val="00BF1DF4"/>
    <w:rsid w:val="00BF1EC2"/>
    <w:rsid w:val="00BF46F1"/>
    <w:rsid w:val="00BF4CC9"/>
    <w:rsid w:val="00BF5B2A"/>
    <w:rsid w:val="00BF6C4E"/>
    <w:rsid w:val="00C038FF"/>
    <w:rsid w:val="00C05DA6"/>
    <w:rsid w:val="00C0625D"/>
    <w:rsid w:val="00C06A15"/>
    <w:rsid w:val="00C06AF4"/>
    <w:rsid w:val="00C06B03"/>
    <w:rsid w:val="00C104D6"/>
    <w:rsid w:val="00C10857"/>
    <w:rsid w:val="00C115D8"/>
    <w:rsid w:val="00C117F6"/>
    <w:rsid w:val="00C11BC2"/>
    <w:rsid w:val="00C12B97"/>
    <w:rsid w:val="00C13948"/>
    <w:rsid w:val="00C144F7"/>
    <w:rsid w:val="00C15852"/>
    <w:rsid w:val="00C15A2F"/>
    <w:rsid w:val="00C1755F"/>
    <w:rsid w:val="00C177CD"/>
    <w:rsid w:val="00C17815"/>
    <w:rsid w:val="00C17A41"/>
    <w:rsid w:val="00C20033"/>
    <w:rsid w:val="00C20D97"/>
    <w:rsid w:val="00C21AB4"/>
    <w:rsid w:val="00C2309D"/>
    <w:rsid w:val="00C230E0"/>
    <w:rsid w:val="00C231B0"/>
    <w:rsid w:val="00C260F7"/>
    <w:rsid w:val="00C26B0E"/>
    <w:rsid w:val="00C271E0"/>
    <w:rsid w:val="00C357B7"/>
    <w:rsid w:val="00C36CED"/>
    <w:rsid w:val="00C41206"/>
    <w:rsid w:val="00C413DF"/>
    <w:rsid w:val="00C4167F"/>
    <w:rsid w:val="00C41DD9"/>
    <w:rsid w:val="00C42F2B"/>
    <w:rsid w:val="00C43288"/>
    <w:rsid w:val="00C43628"/>
    <w:rsid w:val="00C43705"/>
    <w:rsid w:val="00C43D39"/>
    <w:rsid w:val="00C43D71"/>
    <w:rsid w:val="00C440E9"/>
    <w:rsid w:val="00C46459"/>
    <w:rsid w:val="00C46DEB"/>
    <w:rsid w:val="00C501E1"/>
    <w:rsid w:val="00C50B5C"/>
    <w:rsid w:val="00C5140B"/>
    <w:rsid w:val="00C5210C"/>
    <w:rsid w:val="00C540AD"/>
    <w:rsid w:val="00C55744"/>
    <w:rsid w:val="00C5599C"/>
    <w:rsid w:val="00C55F66"/>
    <w:rsid w:val="00C60B29"/>
    <w:rsid w:val="00C60B2F"/>
    <w:rsid w:val="00C6345B"/>
    <w:rsid w:val="00C64190"/>
    <w:rsid w:val="00C64FA4"/>
    <w:rsid w:val="00C659DF"/>
    <w:rsid w:val="00C66ED2"/>
    <w:rsid w:val="00C734ED"/>
    <w:rsid w:val="00C7382A"/>
    <w:rsid w:val="00C73D91"/>
    <w:rsid w:val="00C7422F"/>
    <w:rsid w:val="00C74ED6"/>
    <w:rsid w:val="00C76864"/>
    <w:rsid w:val="00C777DF"/>
    <w:rsid w:val="00C77AE3"/>
    <w:rsid w:val="00C82941"/>
    <w:rsid w:val="00C82A5F"/>
    <w:rsid w:val="00C83440"/>
    <w:rsid w:val="00C838CB"/>
    <w:rsid w:val="00C85D35"/>
    <w:rsid w:val="00C85E7C"/>
    <w:rsid w:val="00C92099"/>
    <w:rsid w:val="00C9307A"/>
    <w:rsid w:val="00C933F6"/>
    <w:rsid w:val="00C94551"/>
    <w:rsid w:val="00C94790"/>
    <w:rsid w:val="00C9504C"/>
    <w:rsid w:val="00C95D06"/>
    <w:rsid w:val="00C97247"/>
    <w:rsid w:val="00C97E94"/>
    <w:rsid w:val="00C97F92"/>
    <w:rsid w:val="00C97FB6"/>
    <w:rsid w:val="00CA04AC"/>
    <w:rsid w:val="00CA1022"/>
    <w:rsid w:val="00CA1312"/>
    <w:rsid w:val="00CA40D2"/>
    <w:rsid w:val="00CA64EE"/>
    <w:rsid w:val="00CA66F5"/>
    <w:rsid w:val="00CA6841"/>
    <w:rsid w:val="00CA68ED"/>
    <w:rsid w:val="00CA752E"/>
    <w:rsid w:val="00CA763C"/>
    <w:rsid w:val="00CA7EB2"/>
    <w:rsid w:val="00CB0220"/>
    <w:rsid w:val="00CB088C"/>
    <w:rsid w:val="00CB0F0A"/>
    <w:rsid w:val="00CB2331"/>
    <w:rsid w:val="00CB2A14"/>
    <w:rsid w:val="00CB399F"/>
    <w:rsid w:val="00CB3C57"/>
    <w:rsid w:val="00CB72A0"/>
    <w:rsid w:val="00CB7AC6"/>
    <w:rsid w:val="00CC02B8"/>
    <w:rsid w:val="00CC09A3"/>
    <w:rsid w:val="00CC2633"/>
    <w:rsid w:val="00CC28E0"/>
    <w:rsid w:val="00CC2ADA"/>
    <w:rsid w:val="00CC6EA1"/>
    <w:rsid w:val="00CC7340"/>
    <w:rsid w:val="00CC7FE5"/>
    <w:rsid w:val="00CD0286"/>
    <w:rsid w:val="00CD1F3B"/>
    <w:rsid w:val="00CD28EA"/>
    <w:rsid w:val="00CD349B"/>
    <w:rsid w:val="00CD6464"/>
    <w:rsid w:val="00CD664F"/>
    <w:rsid w:val="00CE1CCA"/>
    <w:rsid w:val="00CE1FDE"/>
    <w:rsid w:val="00CE2C94"/>
    <w:rsid w:val="00CE4470"/>
    <w:rsid w:val="00CE44B6"/>
    <w:rsid w:val="00CE596D"/>
    <w:rsid w:val="00CE6287"/>
    <w:rsid w:val="00CE698E"/>
    <w:rsid w:val="00CE6CBC"/>
    <w:rsid w:val="00CE70DF"/>
    <w:rsid w:val="00CF090E"/>
    <w:rsid w:val="00CF0A02"/>
    <w:rsid w:val="00CF10D6"/>
    <w:rsid w:val="00CF2835"/>
    <w:rsid w:val="00CF2D2C"/>
    <w:rsid w:val="00CF30C0"/>
    <w:rsid w:val="00CF3BFA"/>
    <w:rsid w:val="00CF4098"/>
    <w:rsid w:val="00CF4CEF"/>
    <w:rsid w:val="00CF789E"/>
    <w:rsid w:val="00D02655"/>
    <w:rsid w:val="00D02926"/>
    <w:rsid w:val="00D0319D"/>
    <w:rsid w:val="00D0334E"/>
    <w:rsid w:val="00D044CD"/>
    <w:rsid w:val="00D0460D"/>
    <w:rsid w:val="00D052A0"/>
    <w:rsid w:val="00D059A2"/>
    <w:rsid w:val="00D05F04"/>
    <w:rsid w:val="00D06DA6"/>
    <w:rsid w:val="00D06E7A"/>
    <w:rsid w:val="00D070F5"/>
    <w:rsid w:val="00D1164B"/>
    <w:rsid w:val="00D131CA"/>
    <w:rsid w:val="00D14EA2"/>
    <w:rsid w:val="00D15F06"/>
    <w:rsid w:val="00D1661F"/>
    <w:rsid w:val="00D16BD4"/>
    <w:rsid w:val="00D20316"/>
    <w:rsid w:val="00D20954"/>
    <w:rsid w:val="00D210C3"/>
    <w:rsid w:val="00D2429F"/>
    <w:rsid w:val="00D24D63"/>
    <w:rsid w:val="00D26D51"/>
    <w:rsid w:val="00D276B3"/>
    <w:rsid w:val="00D2773E"/>
    <w:rsid w:val="00D278ED"/>
    <w:rsid w:val="00D327E0"/>
    <w:rsid w:val="00D3327D"/>
    <w:rsid w:val="00D334F8"/>
    <w:rsid w:val="00D33545"/>
    <w:rsid w:val="00D33729"/>
    <w:rsid w:val="00D33EC0"/>
    <w:rsid w:val="00D34F42"/>
    <w:rsid w:val="00D367A6"/>
    <w:rsid w:val="00D41A48"/>
    <w:rsid w:val="00D41FC2"/>
    <w:rsid w:val="00D4209F"/>
    <w:rsid w:val="00D425F7"/>
    <w:rsid w:val="00D42C15"/>
    <w:rsid w:val="00D4377B"/>
    <w:rsid w:val="00D47EF6"/>
    <w:rsid w:val="00D515C6"/>
    <w:rsid w:val="00D51FD8"/>
    <w:rsid w:val="00D5238A"/>
    <w:rsid w:val="00D54C36"/>
    <w:rsid w:val="00D54E19"/>
    <w:rsid w:val="00D56508"/>
    <w:rsid w:val="00D56E12"/>
    <w:rsid w:val="00D620B1"/>
    <w:rsid w:val="00D625AA"/>
    <w:rsid w:val="00D62C21"/>
    <w:rsid w:val="00D62C8A"/>
    <w:rsid w:val="00D64D04"/>
    <w:rsid w:val="00D660E7"/>
    <w:rsid w:val="00D66D58"/>
    <w:rsid w:val="00D67EC6"/>
    <w:rsid w:val="00D70349"/>
    <w:rsid w:val="00D70FB6"/>
    <w:rsid w:val="00D71C52"/>
    <w:rsid w:val="00D74832"/>
    <w:rsid w:val="00D75601"/>
    <w:rsid w:val="00D770C0"/>
    <w:rsid w:val="00D8028C"/>
    <w:rsid w:val="00D80EFA"/>
    <w:rsid w:val="00D81B26"/>
    <w:rsid w:val="00D838CE"/>
    <w:rsid w:val="00D85E5E"/>
    <w:rsid w:val="00D85EED"/>
    <w:rsid w:val="00D928F3"/>
    <w:rsid w:val="00D92DD2"/>
    <w:rsid w:val="00D93730"/>
    <w:rsid w:val="00D93954"/>
    <w:rsid w:val="00D946C1"/>
    <w:rsid w:val="00D9501C"/>
    <w:rsid w:val="00D955F0"/>
    <w:rsid w:val="00D95CD8"/>
    <w:rsid w:val="00D96085"/>
    <w:rsid w:val="00D96D15"/>
    <w:rsid w:val="00D97767"/>
    <w:rsid w:val="00DA133B"/>
    <w:rsid w:val="00DA18E2"/>
    <w:rsid w:val="00DA2BCF"/>
    <w:rsid w:val="00DA3628"/>
    <w:rsid w:val="00DA3D26"/>
    <w:rsid w:val="00DA3EE4"/>
    <w:rsid w:val="00DA3F1F"/>
    <w:rsid w:val="00DA6FEF"/>
    <w:rsid w:val="00DB0E29"/>
    <w:rsid w:val="00DB1FE3"/>
    <w:rsid w:val="00DB4D33"/>
    <w:rsid w:val="00DB58DD"/>
    <w:rsid w:val="00DB68C7"/>
    <w:rsid w:val="00DB7383"/>
    <w:rsid w:val="00DC0211"/>
    <w:rsid w:val="00DC02AB"/>
    <w:rsid w:val="00DC05A8"/>
    <w:rsid w:val="00DC0F35"/>
    <w:rsid w:val="00DC1755"/>
    <w:rsid w:val="00DC1A9C"/>
    <w:rsid w:val="00DC2253"/>
    <w:rsid w:val="00DC3CC3"/>
    <w:rsid w:val="00DC441F"/>
    <w:rsid w:val="00DC753E"/>
    <w:rsid w:val="00DC769B"/>
    <w:rsid w:val="00DC7D25"/>
    <w:rsid w:val="00DD0963"/>
    <w:rsid w:val="00DD113B"/>
    <w:rsid w:val="00DD1F45"/>
    <w:rsid w:val="00DD2045"/>
    <w:rsid w:val="00DD24D3"/>
    <w:rsid w:val="00DD2648"/>
    <w:rsid w:val="00DD2ACB"/>
    <w:rsid w:val="00DD2B50"/>
    <w:rsid w:val="00DD3990"/>
    <w:rsid w:val="00DD402F"/>
    <w:rsid w:val="00DD4DDD"/>
    <w:rsid w:val="00DD7A88"/>
    <w:rsid w:val="00DE03F5"/>
    <w:rsid w:val="00DE1163"/>
    <w:rsid w:val="00DE2CF3"/>
    <w:rsid w:val="00DE37BC"/>
    <w:rsid w:val="00DE4BE0"/>
    <w:rsid w:val="00DE59FF"/>
    <w:rsid w:val="00DE5FAB"/>
    <w:rsid w:val="00DE6C23"/>
    <w:rsid w:val="00DE7A5D"/>
    <w:rsid w:val="00DF1EDB"/>
    <w:rsid w:val="00DF3CF7"/>
    <w:rsid w:val="00DF3FD8"/>
    <w:rsid w:val="00DF4090"/>
    <w:rsid w:val="00DF7116"/>
    <w:rsid w:val="00E00A7B"/>
    <w:rsid w:val="00E00F4A"/>
    <w:rsid w:val="00E0226E"/>
    <w:rsid w:val="00E02B11"/>
    <w:rsid w:val="00E03535"/>
    <w:rsid w:val="00E03A76"/>
    <w:rsid w:val="00E04A01"/>
    <w:rsid w:val="00E05CF9"/>
    <w:rsid w:val="00E06CD5"/>
    <w:rsid w:val="00E07038"/>
    <w:rsid w:val="00E10D74"/>
    <w:rsid w:val="00E12171"/>
    <w:rsid w:val="00E144AA"/>
    <w:rsid w:val="00E14BDD"/>
    <w:rsid w:val="00E14C7A"/>
    <w:rsid w:val="00E153CF"/>
    <w:rsid w:val="00E15FC9"/>
    <w:rsid w:val="00E200BA"/>
    <w:rsid w:val="00E2075F"/>
    <w:rsid w:val="00E210F8"/>
    <w:rsid w:val="00E224B0"/>
    <w:rsid w:val="00E231C3"/>
    <w:rsid w:val="00E231FC"/>
    <w:rsid w:val="00E251BC"/>
    <w:rsid w:val="00E25BC4"/>
    <w:rsid w:val="00E26BD8"/>
    <w:rsid w:val="00E307FD"/>
    <w:rsid w:val="00E31398"/>
    <w:rsid w:val="00E31406"/>
    <w:rsid w:val="00E31714"/>
    <w:rsid w:val="00E3329B"/>
    <w:rsid w:val="00E333FD"/>
    <w:rsid w:val="00E34CD4"/>
    <w:rsid w:val="00E35249"/>
    <w:rsid w:val="00E35E7D"/>
    <w:rsid w:val="00E368E9"/>
    <w:rsid w:val="00E36A21"/>
    <w:rsid w:val="00E36AE7"/>
    <w:rsid w:val="00E37D54"/>
    <w:rsid w:val="00E37F93"/>
    <w:rsid w:val="00E402C9"/>
    <w:rsid w:val="00E40DE0"/>
    <w:rsid w:val="00E40E00"/>
    <w:rsid w:val="00E41AF8"/>
    <w:rsid w:val="00E42C94"/>
    <w:rsid w:val="00E435D9"/>
    <w:rsid w:val="00E438E7"/>
    <w:rsid w:val="00E44642"/>
    <w:rsid w:val="00E447FC"/>
    <w:rsid w:val="00E44EFD"/>
    <w:rsid w:val="00E45873"/>
    <w:rsid w:val="00E46D7E"/>
    <w:rsid w:val="00E5092E"/>
    <w:rsid w:val="00E54C04"/>
    <w:rsid w:val="00E55686"/>
    <w:rsid w:val="00E56093"/>
    <w:rsid w:val="00E5762F"/>
    <w:rsid w:val="00E57837"/>
    <w:rsid w:val="00E57D23"/>
    <w:rsid w:val="00E60963"/>
    <w:rsid w:val="00E61183"/>
    <w:rsid w:val="00E62042"/>
    <w:rsid w:val="00E6211B"/>
    <w:rsid w:val="00E62C28"/>
    <w:rsid w:val="00E63FAC"/>
    <w:rsid w:val="00E64187"/>
    <w:rsid w:val="00E67828"/>
    <w:rsid w:val="00E67A33"/>
    <w:rsid w:val="00E70AFB"/>
    <w:rsid w:val="00E71076"/>
    <w:rsid w:val="00E72446"/>
    <w:rsid w:val="00E7321A"/>
    <w:rsid w:val="00E74936"/>
    <w:rsid w:val="00E7781B"/>
    <w:rsid w:val="00E80125"/>
    <w:rsid w:val="00E80516"/>
    <w:rsid w:val="00E80B5E"/>
    <w:rsid w:val="00E80DBB"/>
    <w:rsid w:val="00E81646"/>
    <w:rsid w:val="00E86E63"/>
    <w:rsid w:val="00E90953"/>
    <w:rsid w:val="00E90EF3"/>
    <w:rsid w:val="00E913A4"/>
    <w:rsid w:val="00E921CA"/>
    <w:rsid w:val="00E926CF"/>
    <w:rsid w:val="00E92D64"/>
    <w:rsid w:val="00E9321C"/>
    <w:rsid w:val="00E954FE"/>
    <w:rsid w:val="00E96066"/>
    <w:rsid w:val="00E97B52"/>
    <w:rsid w:val="00EA0856"/>
    <w:rsid w:val="00EA097A"/>
    <w:rsid w:val="00EA3226"/>
    <w:rsid w:val="00EA44FD"/>
    <w:rsid w:val="00EA54A1"/>
    <w:rsid w:val="00EA628F"/>
    <w:rsid w:val="00EA7F55"/>
    <w:rsid w:val="00EB19A4"/>
    <w:rsid w:val="00EB349D"/>
    <w:rsid w:val="00EB38CA"/>
    <w:rsid w:val="00EB390A"/>
    <w:rsid w:val="00EB5C50"/>
    <w:rsid w:val="00EB66AC"/>
    <w:rsid w:val="00EB6B3D"/>
    <w:rsid w:val="00EC1395"/>
    <w:rsid w:val="00EC448F"/>
    <w:rsid w:val="00EC5903"/>
    <w:rsid w:val="00ED0325"/>
    <w:rsid w:val="00ED1BB1"/>
    <w:rsid w:val="00ED2323"/>
    <w:rsid w:val="00ED29FB"/>
    <w:rsid w:val="00ED332F"/>
    <w:rsid w:val="00ED3BED"/>
    <w:rsid w:val="00ED44D8"/>
    <w:rsid w:val="00ED4C32"/>
    <w:rsid w:val="00ED5C6F"/>
    <w:rsid w:val="00ED659A"/>
    <w:rsid w:val="00EE096A"/>
    <w:rsid w:val="00EE1682"/>
    <w:rsid w:val="00EE21AE"/>
    <w:rsid w:val="00EE2AE4"/>
    <w:rsid w:val="00EE3844"/>
    <w:rsid w:val="00EE4C26"/>
    <w:rsid w:val="00EE4DF2"/>
    <w:rsid w:val="00EE6CCA"/>
    <w:rsid w:val="00EE6E92"/>
    <w:rsid w:val="00EE7F4F"/>
    <w:rsid w:val="00EF06D6"/>
    <w:rsid w:val="00EF0F39"/>
    <w:rsid w:val="00EF244C"/>
    <w:rsid w:val="00EF3284"/>
    <w:rsid w:val="00EF48A2"/>
    <w:rsid w:val="00EF4A15"/>
    <w:rsid w:val="00EF4BF7"/>
    <w:rsid w:val="00EF53C8"/>
    <w:rsid w:val="00EF5B0A"/>
    <w:rsid w:val="00EF5BE9"/>
    <w:rsid w:val="00EF64BD"/>
    <w:rsid w:val="00EF6FEB"/>
    <w:rsid w:val="00EF72E7"/>
    <w:rsid w:val="00EF7C52"/>
    <w:rsid w:val="00F008EB"/>
    <w:rsid w:val="00F00B21"/>
    <w:rsid w:val="00F01A15"/>
    <w:rsid w:val="00F01DC0"/>
    <w:rsid w:val="00F01E44"/>
    <w:rsid w:val="00F03734"/>
    <w:rsid w:val="00F041CD"/>
    <w:rsid w:val="00F051BD"/>
    <w:rsid w:val="00F07F70"/>
    <w:rsid w:val="00F10A1C"/>
    <w:rsid w:val="00F10C6D"/>
    <w:rsid w:val="00F10F47"/>
    <w:rsid w:val="00F11395"/>
    <w:rsid w:val="00F116F0"/>
    <w:rsid w:val="00F11CD0"/>
    <w:rsid w:val="00F126DD"/>
    <w:rsid w:val="00F13F70"/>
    <w:rsid w:val="00F14025"/>
    <w:rsid w:val="00F159BD"/>
    <w:rsid w:val="00F170B8"/>
    <w:rsid w:val="00F17453"/>
    <w:rsid w:val="00F175D0"/>
    <w:rsid w:val="00F20BEF"/>
    <w:rsid w:val="00F21FEA"/>
    <w:rsid w:val="00F257D8"/>
    <w:rsid w:val="00F25869"/>
    <w:rsid w:val="00F301C7"/>
    <w:rsid w:val="00F311FC"/>
    <w:rsid w:val="00F31F42"/>
    <w:rsid w:val="00F3211F"/>
    <w:rsid w:val="00F34194"/>
    <w:rsid w:val="00F34474"/>
    <w:rsid w:val="00F36564"/>
    <w:rsid w:val="00F375FC"/>
    <w:rsid w:val="00F37D82"/>
    <w:rsid w:val="00F40059"/>
    <w:rsid w:val="00F40ADD"/>
    <w:rsid w:val="00F413A5"/>
    <w:rsid w:val="00F41426"/>
    <w:rsid w:val="00F414A4"/>
    <w:rsid w:val="00F415CF"/>
    <w:rsid w:val="00F42592"/>
    <w:rsid w:val="00F43198"/>
    <w:rsid w:val="00F438ED"/>
    <w:rsid w:val="00F456DB"/>
    <w:rsid w:val="00F46C61"/>
    <w:rsid w:val="00F47DB9"/>
    <w:rsid w:val="00F525CE"/>
    <w:rsid w:val="00F5297F"/>
    <w:rsid w:val="00F5350D"/>
    <w:rsid w:val="00F535C1"/>
    <w:rsid w:val="00F55C53"/>
    <w:rsid w:val="00F56389"/>
    <w:rsid w:val="00F57560"/>
    <w:rsid w:val="00F57AA8"/>
    <w:rsid w:val="00F608B2"/>
    <w:rsid w:val="00F60A82"/>
    <w:rsid w:val="00F63031"/>
    <w:rsid w:val="00F639F7"/>
    <w:rsid w:val="00F65AD1"/>
    <w:rsid w:val="00F669B1"/>
    <w:rsid w:val="00F707D0"/>
    <w:rsid w:val="00F71055"/>
    <w:rsid w:val="00F72009"/>
    <w:rsid w:val="00F722BE"/>
    <w:rsid w:val="00F724AC"/>
    <w:rsid w:val="00F725B8"/>
    <w:rsid w:val="00F729F7"/>
    <w:rsid w:val="00F7457D"/>
    <w:rsid w:val="00F74BC5"/>
    <w:rsid w:val="00F75A92"/>
    <w:rsid w:val="00F75D45"/>
    <w:rsid w:val="00F775E9"/>
    <w:rsid w:val="00F805DB"/>
    <w:rsid w:val="00F810B5"/>
    <w:rsid w:val="00F825B2"/>
    <w:rsid w:val="00F8364C"/>
    <w:rsid w:val="00F84123"/>
    <w:rsid w:val="00F86558"/>
    <w:rsid w:val="00F869DC"/>
    <w:rsid w:val="00F87D34"/>
    <w:rsid w:val="00F87E43"/>
    <w:rsid w:val="00F902EF"/>
    <w:rsid w:val="00F9122D"/>
    <w:rsid w:val="00F915B8"/>
    <w:rsid w:val="00F9168E"/>
    <w:rsid w:val="00F91E0A"/>
    <w:rsid w:val="00F92A2E"/>
    <w:rsid w:val="00F93EE3"/>
    <w:rsid w:val="00F94ACD"/>
    <w:rsid w:val="00F94C88"/>
    <w:rsid w:val="00F94F55"/>
    <w:rsid w:val="00F950EC"/>
    <w:rsid w:val="00F96B99"/>
    <w:rsid w:val="00FA084E"/>
    <w:rsid w:val="00FA2830"/>
    <w:rsid w:val="00FA310A"/>
    <w:rsid w:val="00FA4ADD"/>
    <w:rsid w:val="00FA52A6"/>
    <w:rsid w:val="00FA67B1"/>
    <w:rsid w:val="00FA7442"/>
    <w:rsid w:val="00FA7BE4"/>
    <w:rsid w:val="00FB056A"/>
    <w:rsid w:val="00FB0656"/>
    <w:rsid w:val="00FB0759"/>
    <w:rsid w:val="00FB0D97"/>
    <w:rsid w:val="00FB209C"/>
    <w:rsid w:val="00FB4260"/>
    <w:rsid w:val="00FB64DE"/>
    <w:rsid w:val="00FB7F14"/>
    <w:rsid w:val="00FC10A4"/>
    <w:rsid w:val="00FC218C"/>
    <w:rsid w:val="00FC2567"/>
    <w:rsid w:val="00FC3E7E"/>
    <w:rsid w:val="00FC539F"/>
    <w:rsid w:val="00FC72D4"/>
    <w:rsid w:val="00FC7B3C"/>
    <w:rsid w:val="00FC7C2B"/>
    <w:rsid w:val="00FC7F6D"/>
    <w:rsid w:val="00FD11AA"/>
    <w:rsid w:val="00FD1AD9"/>
    <w:rsid w:val="00FD28AE"/>
    <w:rsid w:val="00FD2C3A"/>
    <w:rsid w:val="00FD31E7"/>
    <w:rsid w:val="00FD5AE6"/>
    <w:rsid w:val="00FD78DD"/>
    <w:rsid w:val="00FD7C36"/>
    <w:rsid w:val="00FD7D62"/>
    <w:rsid w:val="00FE0C9A"/>
    <w:rsid w:val="00FE20A6"/>
    <w:rsid w:val="00FE27E7"/>
    <w:rsid w:val="00FE3101"/>
    <w:rsid w:val="00FE42E9"/>
    <w:rsid w:val="00FE65AD"/>
    <w:rsid w:val="00FE6C04"/>
    <w:rsid w:val="00FF2470"/>
    <w:rsid w:val="00FF3024"/>
    <w:rsid w:val="00FF3D1B"/>
    <w:rsid w:val="00FF4A5B"/>
    <w:rsid w:val="00FF4C99"/>
    <w:rsid w:val="040C2CA5"/>
    <w:rsid w:val="07922929"/>
    <w:rsid w:val="11450AD9"/>
    <w:rsid w:val="12577F2E"/>
    <w:rsid w:val="13F60424"/>
    <w:rsid w:val="159F7873"/>
    <w:rsid w:val="15FA24EF"/>
    <w:rsid w:val="164722DC"/>
    <w:rsid w:val="1B6F0841"/>
    <w:rsid w:val="287E4F92"/>
    <w:rsid w:val="2FFB6A45"/>
    <w:rsid w:val="31A871C3"/>
    <w:rsid w:val="31FB3B60"/>
    <w:rsid w:val="340A6627"/>
    <w:rsid w:val="34AD6585"/>
    <w:rsid w:val="35AD6906"/>
    <w:rsid w:val="35D7578A"/>
    <w:rsid w:val="3672F54F"/>
    <w:rsid w:val="39E11F0B"/>
    <w:rsid w:val="3BFD0675"/>
    <w:rsid w:val="3EF57875"/>
    <w:rsid w:val="3F282441"/>
    <w:rsid w:val="414E1DF7"/>
    <w:rsid w:val="427A1319"/>
    <w:rsid w:val="46876B4F"/>
    <w:rsid w:val="53511C54"/>
    <w:rsid w:val="55FC6A5E"/>
    <w:rsid w:val="588D4888"/>
    <w:rsid w:val="5AEF2895"/>
    <w:rsid w:val="5C436565"/>
    <w:rsid w:val="5D5A1A2D"/>
    <w:rsid w:val="5F9F22D3"/>
    <w:rsid w:val="5FFF199D"/>
    <w:rsid w:val="654829A6"/>
    <w:rsid w:val="67FF3D78"/>
    <w:rsid w:val="6A5A442B"/>
    <w:rsid w:val="6CCB4682"/>
    <w:rsid w:val="6D48533C"/>
    <w:rsid w:val="6FD5AA21"/>
    <w:rsid w:val="6FF7C842"/>
    <w:rsid w:val="734624FA"/>
    <w:rsid w:val="76BD6C27"/>
    <w:rsid w:val="77D72860"/>
    <w:rsid w:val="78FFE22B"/>
    <w:rsid w:val="79445BD1"/>
    <w:rsid w:val="7A8F1B57"/>
    <w:rsid w:val="7C670577"/>
    <w:rsid w:val="7D471DB6"/>
    <w:rsid w:val="7D8C08F9"/>
    <w:rsid w:val="7E1F3356"/>
    <w:rsid w:val="7EDBC473"/>
    <w:rsid w:val="7EFFF067"/>
    <w:rsid w:val="7F950CCC"/>
    <w:rsid w:val="7FEA23DE"/>
    <w:rsid w:val="7FEC3784"/>
    <w:rsid w:val="8FECFD46"/>
    <w:rsid w:val="97B7E807"/>
    <w:rsid w:val="C8FFA635"/>
    <w:rsid w:val="CEFB71CB"/>
    <w:rsid w:val="DCBA0E8E"/>
    <w:rsid w:val="EBA982DD"/>
    <w:rsid w:val="EFFA08B3"/>
    <w:rsid w:val="F67F6DA6"/>
    <w:rsid w:val="F6DEA129"/>
    <w:rsid w:val="FDF98E32"/>
    <w:rsid w:val="FEF5855E"/>
    <w:rsid w:val="FF73B5E1"/>
  </w:rsids>
  <m:mathPr>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qFormat="1" w:unhideWhenUsed="0"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qFormat="1" w:unhideWhenUsed="0"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iPriority="0" w:name="Note Heading"/>
    <w:lsdException w:uiPriority="0" w:name="Body Text 2"/>
    <w:lsdException w:uiPriority="0" w:name="Body Text 3"/>
    <w:lsdException w:qFormat="1" w:unhideWhenUsed="0" w:uiPriority="0" w:semiHidden="0" w:name="Body Text Indent 2"/>
    <w:lsdException w:uiPriority="0" w:name="Body Text Indent 3"/>
    <w:lsdException w:uiPriority="0" w:name="Block Text"/>
    <w:lsdException w:qFormat="1" w:unhideWhenUsed="0" w:uiPriority="0" w:semiHidden="0" w:name="Hyperlink"/>
    <w:lsdException w:qFormat="1"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99"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14">
    <w:name w:val="Default Paragraph Font"/>
    <w:unhideWhenUsed/>
    <w:qFormat/>
    <w:uiPriority w:val="1"/>
  </w:style>
  <w:style w:type="table" w:default="1" w:styleId="19">
    <w:name w:val="Normal Table"/>
    <w:unhideWhenUsed/>
    <w:qFormat/>
    <w:uiPriority w:val="99"/>
    <w:tblPr>
      <w:tblLayout w:type="fixed"/>
      <w:tblCellMar>
        <w:top w:w="0" w:type="dxa"/>
        <w:left w:w="108" w:type="dxa"/>
        <w:bottom w:w="0" w:type="dxa"/>
        <w:right w:w="108" w:type="dxa"/>
      </w:tblCellMar>
    </w:tblPr>
  </w:style>
  <w:style w:type="paragraph" w:styleId="2">
    <w:name w:val="Normal Indent"/>
    <w:basedOn w:val="1"/>
    <w:qFormat/>
    <w:uiPriority w:val="0"/>
    <w:pPr>
      <w:spacing w:line="300" w:lineRule="auto"/>
      <w:ind w:firstLine="200" w:firstLineChars="200"/>
    </w:pPr>
    <w:rPr>
      <w:rFonts w:ascii="宋体" w:cs="宋体"/>
      <w:kern w:val="0"/>
      <w:sz w:val="24"/>
      <w:szCs w:val="24"/>
      <w:lang w:val="zh-CN"/>
    </w:rPr>
  </w:style>
  <w:style w:type="paragraph" w:styleId="3">
    <w:name w:val="Document Map"/>
    <w:basedOn w:val="1"/>
    <w:link w:val="27"/>
    <w:qFormat/>
    <w:uiPriority w:val="0"/>
    <w:rPr>
      <w:rFonts w:ascii="宋体" w:eastAsia="宋体"/>
      <w:sz w:val="18"/>
      <w:szCs w:val="18"/>
    </w:rPr>
  </w:style>
  <w:style w:type="paragraph" w:styleId="4">
    <w:name w:val="Body Text"/>
    <w:basedOn w:val="1"/>
    <w:link w:val="26"/>
    <w:qFormat/>
    <w:uiPriority w:val="0"/>
    <w:pPr>
      <w:spacing w:after="120"/>
    </w:pPr>
    <w:rPr>
      <w:rFonts w:eastAsia="宋体"/>
      <w:sz w:val="21"/>
      <w:szCs w:val="24"/>
    </w:rPr>
  </w:style>
  <w:style w:type="paragraph" w:styleId="5">
    <w:name w:val="Body Text Indent"/>
    <w:basedOn w:val="1"/>
    <w:next w:val="2"/>
    <w:qFormat/>
    <w:uiPriority w:val="0"/>
    <w:pPr>
      <w:spacing w:after="120"/>
      <w:ind w:left="420" w:leftChars="200"/>
    </w:pPr>
  </w:style>
  <w:style w:type="paragraph" w:styleId="6">
    <w:name w:val="Plain Text"/>
    <w:basedOn w:val="1"/>
    <w:link w:val="29"/>
    <w:qFormat/>
    <w:uiPriority w:val="99"/>
    <w:rPr>
      <w:rFonts w:ascii="宋体" w:hAnsi="Courier New" w:eastAsia="宋体" w:cs="宋体"/>
      <w:sz w:val="21"/>
      <w:szCs w:val="21"/>
    </w:rPr>
  </w:style>
  <w:style w:type="paragraph" w:styleId="7">
    <w:name w:val="Body Text Indent 2"/>
    <w:basedOn w:val="1"/>
    <w:qFormat/>
    <w:uiPriority w:val="0"/>
    <w:pPr>
      <w:spacing w:after="120" w:line="480" w:lineRule="auto"/>
      <w:ind w:left="420" w:leftChars="200"/>
    </w:pPr>
  </w:style>
  <w:style w:type="paragraph" w:styleId="8">
    <w:name w:val="Balloon Text"/>
    <w:basedOn w:val="1"/>
    <w:link w:val="24"/>
    <w:qFormat/>
    <w:uiPriority w:val="0"/>
    <w:rPr>
      <w:sz w:val="18"/>
      <w:szCs w:val="18"/>
    </w:rPr>
  </w:style>
  <w:style w:type="paragraph" w:styleId="9">
    <w:name w:val="footer"/>
    <w:basedOn w:val="1"/>
    <w:link w:val="28"/>
    <w:qFormat/>
    <w:uiPriority w:val="99"/>
    <w:pPr>
      <w:tabs>
        <w:tab w:val="center" w:pos="4153"/>
        <w:tab w:val="right" w:pos="8306"/>
      </w:tabs>
      <w:snapToGrid w:val="0"/>
      <w:jc w:val="left"/>
    </w:pPr>
    <w:rPr>
      <w:sz w:val="18"/>
      <w:szCs w:val="18"/>
    </w:rPr>
  </w:style>
  <w:style w:type="paragraph" w:styleId="10">
    <w:name w:val="Body Text First Indent 2"/>
    <w:basedOn w:val="5"/>
    <w:qFormat/>
    <w:uiPriority w:val="0"/>
    <w:pPr>
      <w:spacing w:after="0"/>
      <w:ind w:firstLine="200" w:firstLineChars="200"/>
    </w:pPr>
    <w:rPr>
      <w:rFonts w:ascii="Calibri" w:hAnsi="Calibri" w:cs="Calibri"/>
    </w:rPr>
  </w:style>
  <w:style w:type="paragraph" w:styleId="11">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2">
    <w:name w:val="footnote text"/>
    <w:basedOn w:val="1"/>
    <w:semiHidden/>
    <w:qFormat/>
    <w:uiPriority w:val="0"/>
    <w:pPr>
      <w:snapToGrid w:val="0"/>
      <w:jc w:val="left"/>
    </w:pPr>
    <w:rPr>
      <w:sz w:val="18"/>
      <w:szCs w:val="18"/>
    </w:rPr>
  </w:style>
  <w:style w:type="paragraph" w:styleId="13">
    <w:name w:val="Normal (Web)"/>
    <w:basedOn w:val="1"/>
    <w:qFormat/>
    <w:uiPriority w:val="0"/>
    <w:rPr>
      <w:sz w:val="24"/>
    </w:rPr>
  </w:style>
  <w:style w:type="character" w:styleId="15">
    <w:name w:val="page number"/>
    <w:basedOn w:val="14"/>
    <w:qFormat/>
    <w:uiPriority w:val="0"/>
  </w:style>
  <w:style w:type="character" w:styleId="16">
    <w:name w:val="FollowedHyperlink"/>
    <w:basedOn w:val="14"/>
    <w:unhideWhenUsed/>
    <w:qFormat/>
    <w:uiPriority w:val="0"/>
    <w:rPr>
      <w:color w:val="954F72"/>
      <w:u w:val="single"/>
    </w:rPr>
  </w:style>
  <w:style w:type="character" w:styleId="17">
    <w:name w:val="Hyperlink"/>
    <w:qFormat/>
    <w:uiPriority w:val="0"/>
    <w:rPr>
      <w:color w:val="0000FF"/>
      <w:u w:val="single"/>
    </w:rPr>
  </w:style>
  <w:style w:type="character" w:styleId="18">
    <w:name w:val="footnote reference"/>
    <w:semiHidden/>
    <w:qFormat/>
    <w:uiPriority w:val="0"/>
    <w:rPr>
      <w:vertAlign w:val="superscript"/>
    </w:rPr>
  </w:style>
  <w:style w:type="table" w:styleId="20">
    <w:name w:val="Table Grid"/>
    <w:basedOn w:val="19"/>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21">
    <w:name w:val="Char1 Char Char Char Char Char Char"/>
    <w:basedOn w:val="1"/>
    <w:qFormat/>
    <w:uiPriority w:val="0"/>
    <w:pPr>
      <w:autoSpaceDE w:val="0"/>
      <w:autoSpaceDN w:val="0"/>
    </w:pPr>
    <w:rPr>
      <w:rFonts w:ascii="Tahoma" w:hAnsi="Tahoma"/>
      <w:sz w:val="24"/>
      <w:szCs w:val="20"/>
    </w:rPr>
  </w:style>
  <w:style w:type="paragraph" w:customStyle="1" w:styleId="22">
    <w:name w:val="默认段落字体 Para Char Char Char Char Char Char Char Char Char Char Char Char Char Char Char1 Char Char Char Char"/>
    <w:qFormat/>
    <w:uiPriority w:val="0"/>
    <w:pPr>
      <w:shd w:val="clear" w:color="auto" w:fill="000080"/>
      <w:adjustRightInd w:val="0"/>
      <w:spacing w:line="436" w:lineRule="exact"/>
      <w:ind w:left="357"/>
      <w:outlineLvl w:val="3"/>
    </w:pPr>
    <w:rPr>
      <w:rFonts w:ascii="Times New Roman" w:hAnsi="Times New Roman" w:eastAsia="宋体" w:cs="Times New Roman"/>
      <w:sz w:val="21"/>
      <w:szCs w:val="24"/>
      <w:lang w:val="en-US" w:eastAsia="zh-CN" w:bidi="ar-SA"/>
    </w:rPr>
  </w:style>
  <w:style w:type="paragraph" w:customStyle="1" w:styleId="23">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24">
    <w:name w:val="批注框文本 Char"/>
    <w:link w:val="8"/>
    <w:qFormat/>
    <w:uiPriority w:val="0"/>
    <w:rPr>
      <w:rFonts w:eastAsia="仿宋_GB2312"/>
      <w:kern w:val="2"/>
      <w:sz w:val="18"/>
      <w:szCs w:val="18"/>
    </w:rPr>
  </w:style>
  <w:style w:type="character" w:customStyle="1" w:styleId="25">
    <w:name w:val="明显强调1"/>
    <w:qFormat/>
    <w:uiPriority w:val="0"/>
    <w:rPr>
      <w:b/>
      <w:bCs/>
      <w:i/>
      <w:iCs/>
      <w:color w:val="4F81BD"/>
    </w:rPr>
  </w:style>
  <w:style w:type="character" w:customStyle="1" w:styleId="26">
    <w:name w:val="正文文本 Char1"/>
    <w:link w:val="4"/>
    <w:qFormat/>
    <w:uiPriority w:val="0"/>
    <w:rPr>
      <w:rFonts w:eastAsia="宋体"/>
      <w:kern w:val="2"/>
      <w:sz w:val="21"/>
      <w:szCs w:val="24"/>
      <w:lang w:val="en-US" w:eastAsia="zh-CN" w:bidi="ar-SA"/>
    </w:rPr>
  </w:style>
  <w:style w:type="character" w:customStyle="1" w:styleId="27">
    <w:name w:val="文档结构图 Char"/>
    <w:link w:val="3"/>
    <w:qFormat/>
    <w:uiPriority w:val="0"/>
    <w:rPr>
      <w:rFonts w:ascii="宋体"/>
      <w:kern w:val="2"/>
      <w:sz w:val="18"/>
      <w:szCs w:val="18"/>
    </w:rPr>
  </w:style>
  <w:style w:type="character" w:customStyle="1" w:styleId="28">
    <w:name w:val="页脚 Char"/>
    <w:link w:val="9"/>
    <w:qFormat/>
    <w:uiPriority w:val="99"/>
    <w:rPr>
      <w:rFonts w:eastAsia="仿宋_GB2312"/>
      <w:kern w:val="2"/>
      <w:sz w:val="18"/>
      <w:szCs w:val="18"/>
    </w:rPr>
  </w:style>
  <w:style w:type="character" w:customStyle="1" w:styleId="29">
    <w:name w:val="纯文本 Char"/>
    <w:basedOn w:val="14"/>
    <w:link w:val="6"/>
    <w:qFormat/>
    <w:uiPriority w:val="99"/>
    <w:rPr>
      <w:rFonts w:ascii="宋体" w:hAnsi="Courier New" w:cs="宋体"/>
      <w:kern w:val="2"/>
      <w:sz w:val="21"/>
      <w:szCs w:val="21"/>
    </w:rPr>
  </w:style>
  <w:style w:type="character" w:customStyle="1" w:styleId="30">
    <w:name w:val="未处理的提及1"/>
    <w:basedOn w:val="14"/>
    <w:unhideWhenUsed/>
    <w:qFormat/>
    <w:uiPriority w:val="99"/>
    <w:rPr>
      <w:color w:val="605E5C"/>
      <w:shd w:val="clear" w:color="auto" w:fill="E1DFDD"/>
    </w:rPr>
  </w:style>
  <w:style w:type="character" w:customStyle="1" w:styleId="31">
    <w:name w:val="正文文本 Char"/>
    <w:qFormat/>
    <w:uiPriority w:val="0"/>
    <w:rPr>
      <w:rFonts w:eastAsia="宋体"/>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微软中国</Company>
  <Pages>21</Pages>
  <Words>8864</Words>
  <Characters>9449</Characters>
  <Lines>71</Lines>
  <Paragraphs>20</Paragraphs>
  <TotalTime>0</TotalTime>
  <ScaleCrop>false</ScaleCrop>
  <LinksUpToDate>false</LinksUpToDate>
  <CharactersWithSpaces>0</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2019-08-25T10:22:00Z</dcterms:created>
  <dc:creator>微软用户</dc:creator>
  <cp:lastModifiedBy>Administrator</cp:lastModifiedBy>
  <cp:lastPrinted>2026-04-03T07:58:00Z</cp:lastPrinted>
  <dcterms:modified xsi:type="dcterms:W3CDTF">2026-04-09T07:12:34Z</dcterms:modified>
  <dc:title>山东省人事考试中心</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DEA241558E2547ABA0BDAEE35DA1B0A0</vt:lpwstr>
  </property>
  <property fmtid="{D5CDD505-2E9C-101B-9397-08002B2CF9AE}" pid="4" name="KSOTemplateDocerSaveRecord">
    <vt:lpwstr>eyJoZGlkIjoiYWNlNmMwZWQzOWZiZWRlNDQyYjFhYzBhM2Q3OWNiOTgifQ==</vt:lpwstr>
  </property>
</Properties>
</file>