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241" w:tblpY="1381"/>
        <w:tblOverlap w:val="never"/>
        <w:tblW w:w="9639" w:type="dxa"/>
        <w:tblInd w:w="0" w:type="dxa"/>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fixed"/>
          <w:tblCellMar>
            <w:top w:w="0" w:type="dxa"/>
            <w:left w:w="108" w:type="dxa"/>
            <w:bottom w:w="0" w:type="dxa"/>
            <w:right w:w="108" w:type="dxa"/>
          </w:tblCellMar>
        </w:tblPrEx>
        <w:trPr>
          <w:trHeight w:val="1021" w:hRule="exact"/>
        </w:trPr>
        <w:tc>
          <w:tcPr>
            <w:tcW w:w="9639" w:type="dxa"/>
            <w:tcBorders>
              <w:top w:val="nil"/>
              <w:bottom w:val="thinThickMediumGap" w:color="FF0000" w:sz="24" w:space="0"/>
            </w:tcBorders>
          </w:tcPr>
          <w:p>
            <w:pPr>
              <w:adjustRightInd w:val="0"/>
              <w:snapToGrid w:val="0"/>
              <w:spacing w:line="1000" w:lineRule="exact"/>
              <w:jc w:val="center"/>
              <w:rPr>
                <w:rFonts w:ascii="方正小标宋简体" w:hAnsi="方正小标宋简体" w:eastAsia="方正小标宋简体" w:cs="方正小标宋简体"/>
                <w:color w:val="000000"/>
                <w:w w:val="88"/>
                <w:position w:val="6"/>
                <w:sz w:val="70"/>
                <w:szCs w:val="70"/>
              </w:rPr>
            </w:pPr>
            <w:bookmarkStart w:id="0" w:name="_GoBack"/>
            <w:bookmarkEnd w:id="0"/>
            <w:r>
              <w:rPr>
                <w:rFonts w:hint="eastAsia" w:ascii="方正小标宋_GBK" w:hAnsi="方正小标宋_GBK" w:eastAsia="方正小标宋_GBK" w:cs="方正小标宋_GBK"/>
                <w:color w:val="FF0000"/>
                <w:spacing w:val="1"/>
                <w:w w:val="96"/>
                <w:kern w:val="0"/>
                <w:position w:val="6"/>
                <w:sz w:val="70"/>
                <w:szCs w:val="70"/>
                <w:fitText w:val="8750" w:id="0"/>
              </w:rPr>
              <w:t>青岛市人力资源和社会保障</w:t>
            </w:r>
            <w:r>
              <w:rPr>
                <w:rFonts w:hint="eastAsia" w:ascii="方正小标宋_GBK" w:hAnsi="方正小标宋_GBK" w:eastAsia="方正小标宋_GBK" w:cs="方正小标宋_GBK"/>
                <w:color w:val="FF0000"/>
                <w:spacing w:val="26"/>
                <w:w w:val="96"/>
                <w:kern w:val="0"/>
                <w:position w:val="6"/>
                <w:sz w:val="70"/>
                <w:szCs w:val="70"/>
                <w:fitText w:val="8750" w:id="0"/>
              </w:rPr>
              <w:t>局</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青岛市人力资源和社会保障局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年度执业药师职业资格考试工作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有关问题的通知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tbl>
      <w:tblPr>
        <w:tblStyle w:val="8"/>
        <w:tblpPr w:leftFromText="180" w:rightFromText="180" w:vertAnchor="text" w:horzAnchor="page" w:tblpX="1241" w:tblpY="9917"/>
        <w:tblW w:w="9750"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50"/>
      </w:tblGrid>
      <w:tr>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 w:hRule="exact"/>
        </w:trPr>
        <w:tc>
          <w:tcPr>
            <w:tcW w:w="9750" w:type="dxa"/>
            <w:tcBorders>
              <w:bottom w:val="thickThinMediumGap" w:color="FF0000" w:sz="24" w:space="0"/>
            </w:tcBorders>
          </w:tcPr>
          <w:p>
            <w:pPr>
              <w:adjustRightInd w:val="0"/>
              <w:snapToGrid w:val="0"/>
              <w:spacing w:line="540" w:lineRule="exact"/>
              <w:ind w:firstLine="1440" w:firstLineChars="200"/>
              <w:jc w:val="center"/>
              <w:rPr>
                <w:rFonts w:ascii="方正小标宋简体" w:eastAsia="方正小标宋简体"/>
                <w:color w:val="000000"/>
                <w:w w:val="90"/>
                <w:sz w:val="80"/>
                <w:szCs w:val="80"/>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根据山东省人事考试中心《关于202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年度执业药师职业资格考试考务工作有关问题的通知》（鲁人考函〔202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号）文件精神，结合我市实际，现将202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年度执业药师职业资格考试工作有关问题通知如下：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一、考试时间及科目设置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考试分4个半天实施，每半天组织2个场次，每个场次安排一个科目，半天内2个场次之间间隔时间为40分钟。其中，“药事管理与法规”科目安排2个批次。</w:t>
      </w:r>
    </w:p>
    <w:tbl>
      <w:tblPr>
        <w:tblStyle w:val="8"/>
        <w:tblW w:w="86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gridCol w:w="3009"/>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4748" w:type="dxa"/>
            <w:gridSpan w:val="2"/>
            <w:vAlign w:val="center"/>
          </w:tcPr>
          <w:p>
            <w:pPr>
              <w:pStyle w:val="2"/>
              <w:spacing w:line="560" w:lineRule="exact"/>
              <w:ind w:firstLine="0" w:firstLineChars="0"/>
              <w:jc w:val="center"/>
              <w:rPr>
                <w:rFonts w:hint="eastAsia" w:ascii="黑体" w:hAnsi="黑体" w:eastAsia="黑体" w:cs="黑体"/>
                <w:sz w:val="32"/>
                <w:szCs w:val="32"/>
              </w:rPr>
            </w:pPr>
            <w:r>
              <w:rPr>
                <w:rFonts w:hint="eastAsia" w:ascii="黑体" w:hAnsi="黑体" w:eastAsia="黑体" w:cs="黑体"/>
                <w:sz w:val="32"/>
                <w:szCs w:val="32"/>
              </w:rPr>
              <w:t>考试时间</w:t>
            </w:r>
          </w:p>
        </w:tc>
        <w:tc>
          <w:tcPr>
            <w:tcW w:w="3855" w:type="dxa"/>
            <w:vAlign w:val="center"/>
          </w:tcPr>
          <w:p>
            <w:pPr>
              <w:pStyle w:val="2"/>
              <w:spacing w:line="560" w:lineRule="exact"/>
              <w:ind w:firstLine="0" w:firstLineChars="0"/>
              <w:jc w:val="center"/>
              <w:rPr>
                <w:rFonts w:hint="eastAsia" w:ascii="黑体" w:hAnsi="黑体" w:eastAsia="黑体" w:cs="黑体"/>
                <w:sz w:val="32"/>
                <w:szCs w:val="32"/>
              </w:rPr>
            </w:pPr>
            <w:r>
              <w:rPr>
                <w:rFonts w:hint="eastAsia" w:ascii="黑体" w:hAnsi="黑体" w:eastAsia="黑体" w:cs="黑体"/>
                <w:sz w:val="32"/>
                <w:szCs w:val="32"/>
              </w:rPr>
              <w:t>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39" w:type="dxa"/>
            <w:vMerge w:val="restart"/>
            <w:vAlign w:val="center"/>
          </w:tcPr>
          <w:p>
            <w:pPr>
              <w:pStyle w:val="2"/>
              <w:spacing w:after="0" w:line="300" w:lineRule="exact"/>
              <w:ind w:firstLine="0" w:firstLineChars="0"/>
              <w:jc w:val="center"/>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10月31日</w:t>
            </w:r>
          </w:p>
        </w:tc>
        <w:tc>
          <w:tcPr>
            <w:tcW w:w="3009"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8</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30－10</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00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中药学专业知识（一）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39" w:type="dxa"/>
            <w:vMerge w:val="continue"/>
            <w:vAlign w:val="center"/>
          </w:tcPr>
          <w:p>
            <w:pPr>
              <w:pStyle w:val="2"/>
              <w:spacing w:after="0" w:line="300" w:lineRule="exact"/>
              <w:ind w:firstLine="560" w:firstLineChars="0"/>
              <w:jc w:val="center"/>
              <w:rPr>
                <w:rFonts w:hint="eastAsia" w:ascii="仿宋_GB2312" w:hAnsi="仿宋_GB2312" w:eastAsia="仿宋_GB2312" w:cs="仿宋_GB2312"/>
                <w:sz w:val="44"/>
                <w:szCs w:val="44"/>
              </w:rPr>
            </w:pPr>
          </w:p>
        </w:tc>
        <w:tc>
          <w:tcPr>
            <w:tcW w:w="3009"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10</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40－12</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10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b/>
                <w:sz w:val="44"/>
                <w:szCs w:val="44"/>
              </w:rPr>
            </w:pPr>
            <w:r>
              <w:rPr>
                <w:rFonts w:hint="eastAsia" w:ascii="仿宋_GB2312" w:hAnsi="仿宋_GB2312" w:eastAsia="仿宋_GB2312" w:cs="仿宋_GB2312"/>
                <w:sz w:val="28"/>
                <w:szCs w:val="36"/>
              </w:rPr>
              <w:t>中药学专业知识（二）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39" w:type="dxa"/>
            <w:vMerge w:val="continue"/>
            <w:vAlign w:val="center"/>
          </w:tcPr>
          <w:p>
            <w:pPr>
              <w:pStyle w:val="2"/>
              <w:spacing w:after="0" w:line="300" w:lineRule="exact"/>
              <w:ind w:firstLine="560" w:firstLineChars="0"/>
              <w:jc w:val="center"/>
              <w:rPr>
                <w:rFonts w:hint="eastAsia" w:ascii="仿宋_GB2312" w:hAnsi="仿宋_GB2312" w:eastAsia="仿宋_GB2312" w:cs="仿宋_GB2312"/>
                <w:sz w:val="44"/>
                <w:szCs w:val="44"/>
              </w:rPr>
            </w:pPr>
          </w:p>
        </w:tc>
        <w:tc>
          <w:tcPr>
            <w:tcW w:w="3009"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14</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30－16</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00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药学专业知识（一）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39" w:type="dxa"/>
            <w:vMerge w:val="continue"/>
            <w:vAlign w:val="center"/>
          </w:tcPr>
          <w:p>
            <w:pPr>
              <w:pStyle w:val="2"/>
              <w:spacing w:after="0" w:line="300" w:lineRule="exact"/>
              <w:ind w:firstLine="0" w:firstLineChars="0"/>
              <w:jc w:val="center"/>
              <w:rPr>
                <w:rFonts w:hint="eastAsia" w:ascii="仿宋_GB2312" w:hAnsi="仿宋_GB2312" w:eastAsia="仿宋_GB2312" w:cs="仿宋_GB2312"/>
                <w:sz w:val="44"/>
                <w:szCs w:val="44"/>
              </w:rPr>
            </w:pPr>
          </w:p>
        </w:tc>
        <w:tc>
          <w:tcPr>
            <w:tcW w:w="3009"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16</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40－18</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10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药学专业知识（二）</w:t>
            </w:r>
          </w:p>
        </w:tc>
      </w:tr>
    </w:tbl>
    <w:p>
      <w:pPr>
        <w:pStyle w:val="2"/>
        <w:spacing w:line="300" w:lineRule="exact"/>
        <w:ind w:firstLine="0" w:firstLineChars="0"/>
        <w:rPr>
          <w:rFonts w:hint="eastAsia" w:ascii="仿宋_GB2312" w:hAnsi="仿宋_GB2312" w:eastAsia="仿宋_GB2312" w:cs="仿宋_GB2312"/>
          <w:sz w:val="28"/>
          <w:szCs w:val="36"/>
        </w:rPr>
        <w:sectPr>
          <w:pgSz w:w="11906" w:h="16838"/>
          <w:pgMar w:top="2098" w:right="1474" w:bottom="1984" w:left="1587" w:header="851" w:footer="992" w:gutter="0"/>
          <w:pgNumType w:fmt="decimal" w:start="2"/>
          <w:cols w:space="425" w:num="1"/>
          <w:docGrid w:type="lines" w:linePitch="312" w:charSpace="0"/>
        </w:sectPr>
      </w:pPr>
    </w:p>
    <w:tbl>
      <w:tblPr>
        <w:tblStyle w:val="8"/>
        <w:tblW w:w="86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2996"/>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87" w:hRule="atLeast"/>
          <w:jc w:val="center"/>
        </w:trPr>
        <w:tc>
          <w:tcPr>
            <w:tcW w:w="1752" w:type="dxa"/>
            <w:vMerge w:val="restart"/>
            <w:vAlign w:val="center"/>
          </w:tcPr>
          <w:p>
            <w:pPr>
              <w:pStyle w:val="2"/>
              <w:spacing w:line="300" w:lineRule="exact"/>
              <w:ind w:firstLine="0" w:firstLineChars="0"/>
              <w:jc w:val="center"/>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11月1日</w:t>
            </w:r>
          </w:p>
        </w:tc>
        <w:tc>
          <w:tcPr>
            <w:tcW w:w="2996"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8</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30－10</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00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中药学综合知识与技能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52" w:type="dxa"/>
            <w:vMerge w:val="continue"/>
            <w:vAlign w:val="center"/>
          </w:tcPr>
          <w:p>
            <w:pPr>
              <w:pStyle w:val="2"/>
              <w:spacing w:line="560" w:lineRule="exact"/>
              <w:ind w:firstLine="560" w:firstLineChars="0"/>
              <w:jc w:val="center"/>
              <w:rPr>
                <w:rFonts w:hint="eastAsia" w:ascii="仿宋_GB2312" w:hAnsi="仿宋_GB2312" w:eastAsia="仿宋_GB2312" w:cs="仿宋_GB2312"/>
                <w:sz w:val="44"/>
                <w:szCs w:val="44"/>
              </w:rPr>
            </w:pPr>
          </w:p>
        </w:tc>
        <w:tc>
          <w:tcPr>
            <w:tcW w:w="2996"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10</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40－12</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10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药事管理与法规（第一批次）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52" w:type="dxa"/>
            <w:vMerge w:val="continue"/>
            <w:vAlign w:val="center"/>
          </w:tcPr>
          <w:p>
            <w:pPr>
              <w:pStyle w:val="2"/>
              <w:spacing w:line="560" w:lineRule="exact"/>
              <w:ind w:firstLine="560" w:firstLineChars="0"/>
              <w:jc w:val="center"/>
              <w:rPr>
                <w:rFonts w:hint="eastAsia" w:ascii="仿宋_GB2312" w:hAnsi="仿宋_GB2312" w:eastAsia="仿宋_GB2312" w:cs="仿宋_GB2312"/>
                <w:sz w:val="44"/>
                <w:szCs w:val="44"/>
              </w:rPr>
            </w:pPr>
          </w:p>
        </w:tc>
        <w:tc>
          <w:tcPr>
            <w:tcW w:w="2996"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14</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30－16</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00</w:t>
            </w:r>
          </w:p>
        </w:tc>
        <w:tc>
          <w:tcPr>
            <w:tcW w:w="3855" w:type="dxa"/>
            <w:vAlign w:val="center"/>
          </w:tcPr>
          <w:p>
            <w:pPr>
              <w:pStyle w:val="2"/>
              <w:spacing w:after="0" w:line="3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药学综合知识与技能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1752" w:type="dxa"/>
            <w:vMerge w:val="continue"/>
            <w:vAlign w:val="center"/>
          </w:tcPr>
          <w:p>
            <w:pPr>
              <w:pStyle w:val="2"/>
              <w:spacing w:line="560" w:lineRule="exact"/>
              <w:ind w:firstLine="0" w:firstLineChars="0"/>
              <w:jc w:val="center"/>
              <w:rPr>
                <w:rFonts w:hint="eastAsia" w:ascii="仿宋_GB2312" w:hAnsi="仿宋_GB2312" w:eastAsia="仿宋_GB2312" w:cs="仿宋_GB2312"/>
                <w:sz w:val="44"/>
                <w:szCs w:val="44"/>
              </w:rPr>
            </w:pPr>
          </w:p>
        </w:tc>
        <w:tc>
          <w:tcPr>
            <w:tcW w:w="2996" w:type="dxa"/>
            <w:vAlign w:val="center"/>
          </w:tcPr>
          <w:p>
            <w:pPr>
              <w:pStyle w:val="2"/>
              <w:spacing w:after="0" w:line="4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16</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40－18</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10</w:t>
            </w:r>
          </w:p>
        </w:tc>
        <w:tc>
          <w:tcPr>
            <w:tcW w:w="3855" w:type="dxa"/>
            <w:vAlign w:val="center"/>
          </w:tcPr>
          <w:p>
            <w:pPr>
              <w:pStyle w:val="2"/>
              <w:spacing w:after="0" w:line="400" w:lineRule="exact"/>
              <w:ind w:firstLine="0" w:firstLineChars="0"/>
              <w:jc w:val="both"/>
              <w:rPr>
                <w:rFonts w:hint="eastAsia" w:ascii="仿宋_GB2312" w:hAnsi="仿宋_GB2312" w:eastAsia="仿宋_GB2312" w:cs="仿宋_GB2312"/>
                <w:sz w:val="44"/>
                <w:szCs w:val="44"/>
              </w:rPr>
            </w:pPr>
            <w:r>
              <w:rPr>
                <w:rFonts w:hint="eastAsia" w:ascii="仿宋_GB2312" w:hAnsi="仿宋_GB2312" w:eastAsia="仿宋_GB2312" w:cs="仿宋_GB2312"/>
                <w:sz w:val="28"/>
                <w:szCs w:val="36"/>
              </w:rPr>
              <w:t>药事管理与法规（第二批次）</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二、考试题型及答题方式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2026年度执业药师职业资格考试设药学类、中药学类两个专业类别，每个专业类别均包括4个考试科目，各科目均为客观题。药学类考试科目：“药学专业知识（一）”“药学专业知识（二）”“药事管理与法规”“药学综合知识与技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中药学类考试科目：“中药学专业知识（一）”“中药学专业知识（二）”“药事管理与法规”“中药学综合知识与技能”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“药事管理与法规”为药学类和中药学类共同考试科目。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（二）允许使用的身份证件、考试用具及作答要求等应试人员须知事项以准考证载明为准。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（三）本次考试形式为电子化考试（机考），应试人员须在计算机上进行作答。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（四）机考系统支持的输入法：中文（简体）微软拼音输入法、极点五笔输入法、搜狗拼音输入法。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（五）每个科目考试开始5分钟后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一律禁止应试人员进入考场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考试结束前15分钟应试人员可提前交卷。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（六）应试人员应提前30分钟到达考场并尽早就座，以预留充足时间用于签到、测试考试设备、阅读《考场规则》《操作指南》等准备工作。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（七）应试人员须登录中国人事考试网，利用“电子化考试服务专区”中的模拟作答系统，提前熟悉考试作答界面和考试流程，掌握计算器等工具的使用。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（八）考试过程中，应试人员须严格遵守机考系统列明的考场规则、操作指南和作答要求。遇有考试机故障、网络故障等异常情况，应听从监考人员安排。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三、考试成绩管理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业药师职业资格考试成绩实行滚动管理，参加全部4个科目考试（级别为考全科）的应试人员须在连续4个考试年度内通过全部应试科目，参加2个科目考试（级别为免二科）的应试人员须在连续2个考试年度内通过相应应试科目，方可取得资格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考试成绩查询网站为中国人事考试网（www.cpta.com.cn）。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专业技术人员职业资格考试考务工作规程》（人社厅发〔2021〕18号），应试人员对考试成绩有异议的，应在考试成绩公布之日起30天内，提出成绩复查申请。应试人员可登录“山东人事考试信息网”“考后服务”栏目线上申请成绩复查或携带有效身份证件到市南区山东路15号2号楼一楼服务大厅人事考试窗口申请成绩复查。成绩复查结果将通过“山东人事考试信息网”“考后服务”栏目反馈，应试人员可通过线上方式自行查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四、报考条件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（一）级别为考全科（四科）的报考条件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人力资源社会保障部关于降低或取消部分准入类职业资格考试工作年限要求有关事项的通知》（人社部发〔2022〕8号）要求，凡中华人民共和国公民和获准在我国境内就业的外籍人员，具备以下条件之一者，均可申请参加执业药师职业资格考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1.取得药学类、中药学类专业大专学历，在药学或中药学岗位工作满4年</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2.取得药学类、中药学类专业大学本科学历或学士学位，在药学或中药学岗位工作满2年</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3.取得药学类、中药学类专业第二学士学位、研究生班毕业或硕士学位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在药学或中药学岗位工作满1年</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4.取得药学类、中药学类专业博士学位</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5.取得药学类、中药学类相关专业相应学历或学位的人员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在药学或中药学岗位工作的年限相应增加1年。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（二）级别为免二科的报考条件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具备上述“级别为考全科（四科）的报名条件”，并且按照国家有关规定取得药学或医学专业高级职称并在药学岗位工作的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可免试“药学专业知识（一）”“药学专业知识（二）”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只参加“药事管理与法规”“药学综合知识与技能”两个科目的考试；取得中药学或中医学专业高级职称并在中药学岗位工作的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可免试“中药学专业知识（一）”“中药学专业知识（二）”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只参加“药事管理与法规”“中药学综合知识与技能”两个科目的考试。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免试部分科目的报考人员，取得高级职称与在药学、中药学岗位工作两个条件须同时具备。高级职称的类别为从事药学或中药学岗位工作获得的药学、医学或医药学专业高级职称。从事医疗、预防、保健、医技、护理工作的主任（副主任）医师、主任（副主任）技师、主任（副主任）护师，从事高等院校教学、科研、管理工作的教授（副教授）等不符合免考两科的条件。高级职称应于报考截止日之前取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（三）报考条件相关要求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1.学历（学位）证书的要求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条件中有关学历、学位，是指属于国民教育系列或者国务院教育行政部门批准或认可的学历、学位，应有国家认可的文凭颁发权利的学校及其他教育机构所颁发的学历、学位证书为凭证，只取得肄业证书、结业证书不能报考。大专及以上的学历和学位包括普通高等教育、成人高等教育、电大开放教育、网络远程教育、高等教育自学考试所颁发的学历或学位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条件中的“第二学士学位”，是指根据《高等学校培养第二学士学位生的试行办法》（（87）教计字105号），在大学本科毕业获得一个学士学位后，再攻读且取得的列入国家第二学士学位招生计划的学士学位，在层次上属于大学本科后教育。一个本科学习阶段跨专业选修课程获得的“双学位”或一个本科学习阶段获得中外合作办学授予的“双学位”“联合学位”，不属于第二学士学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2.“药学类、中药学类专业”的界定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条件中要求的“药学类、中药学类专业”，按照国务院学位委员会、教育部印发的《学位授予和人才培养学科目录设置与管理办法》《普通高等学校高等职业教育（专科）专业设置管理办法》和《学位授予和人才培养学科目录》《普通高等学校本科专业目录（2012年）》《普通高等学校高等职业教育（专科）专业目录（2015年）》等规定，对照学科目录来界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在本科及以上学历层次，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药学类专业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包括药学、药物制剂、临床药学、药事管理、药物分析、药物化学、海洋药学；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中药学类专业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包括中药学、中药资源与开发、藏药学、蒙药学、中药制药、中草药栽培与鉴定。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在大专层次，“药学类、中药学类专业”包括药学、现代中药技术、中药（或中药学）、蒙药学、维药学、藏药学。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3.“相关专业”的界定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条件中“相关专业”的界定，在《制度规定》《考试办法》实施过渡期内，参照《关于发布2015年执业药师资格考试报考专业参考目录的通知》（人考中心函〔2015〕31号）执行。该报考专业参考目录，包括药学类、中药学类专业和相关专业，其中列入报考专业参考目录的、“药学类、中药学类专业”以外的专业，属于报考专业要求中的“相关专业”，详见《国家执业药师职业资格考试报考专业参考目录》（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4.“药学或中药学岗位工作”的界定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条件中“药学或中药学岗位工作”，限于执业药师注册管理办法规定的注册领域和执业范围内的工作，即药品生产企业、药品经营企业、医疗卫生机构中的药品质量管理工作和药学服务工作。医师的医疗、预防、保健工作，护士的护理工作，医药院校教学、科研、管理工作，化妆品销售工作，不等同于执业药师职业资格考试报考条件中规定的药学或中药学岗位工作。取得临床医学、中医学类、护理学类专业学历、学位的，如果从事药学或中药学岗位工作，且满足从事药学、中药学岗位工作年限要求，可申请参加执业药师职业资格考试；如果从事医疗、预防、保健等执业医师活动或从事护理工作，则不符合“从事药学、中药学专业技术工作”的报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5.专业岗位工作年限计算方式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报考条件中的专业岗位工作年限，是指报考人员取得药学、中药学专业及相关专业学历（学位）后全职从事药学、中药学专业岗位工作时间的总和。专业岗位工作年限计算截止日期为考试当年度的12月31日。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报考人员从事的非药学、非中药学工作时间不计算为专业岗位工作年限。未取得毕业证书前的实习经历不计入专业岗位工作年限。国外工作经历不计算为报考条件要求的专业岗位工作年限。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药学、中药学及相关专业第一学历并参加工作，再以函授、自学考试、远程教育等后取得的药学、中药学及相关专业学历报考的，可累计取得第一学历至报考年度期间的实际药学、中药学岗位工作年限。超过半年的脱产学习时间不计算为专业岗位工作年限，脱产学习前后的实际专业岗位工作年限可累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五、报名安排及其他相关事项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考试报名工作按照属地原则进行，报考人员</w:t>
      </w:r>
      <w:r>
        <w:rPr>
          <w:rFonts w:hint="eastAsia" w:ascii="仿宋_GB2312" w:hAnsi="仿宋_GB2312" w:eastAsia="仿宋_GB2312" w:cs="仿宋_GB2312"/>
          <w:b/>
          <w:bCs/>
          <w:sz w:val="32"/>
          <w:szCs w:val="32"/>
        </w:rPr>
        <w:t>工作地、居住地</w:t>
      </w:r>
      <w:r>
        <w:rPr>
          <w:rFonts w:hint="eastAsia" w:ascii="仿宋_GB2312" w:hAnsi="仿宋_GB2312" w:eastAsia="仿宋_GB2312" w:cs="仿宋_GB2312"/>
          <w:sz w:val="32"/>
          <w:szCs w:val="32"/>
        </w:rPr>
        <w:t>为青岛市的，可在我市报考。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（一）网上报名</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bCs/>
          <w:color w:val="000000"/>
          <w:kern w:val="0"/>
          <w:sz w:val="32"/>
          <w:szCs w:val="32"/>
        </w:rPr>
        <w:t>执业药师职业资格考试</w:t>
      </w:r>
      <w:r>
        <w:rPr>
          <w:rFonts w:hint="eastAsia" w:ascii="仿宋_GB2312" w:hAnsi="仿宋_GB2312" w:eastAsia="仿宋_GB2312" w:cs="仿宋_GB2312"/>
          <w:kern w:val="0"/>
          <w:sz w:val="32"/>
          <w:szCs w:val="32"/>
        </w:rPr>
        <w:t>报名证明事项实行告知承诺制，应试人员须通过中国人事考试网（www.cpta.com.cn）的全国专业技术人员资格考试报名服务平台进行网上注册、报名和缴费。</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报名时间：</w:t>
      </w: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日9</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00—</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日16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00</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缴费时间：</w:t>
      </w:r>
      <w:r>
        <w:rPr>
          <w:rFonts w:hint="eastAsia" w:ascii="仿宋_GB2312" w:hAnsi="仿宋_GB2312" w:eastAsia="仿宋_GB2312" w:cs="仿宋_GB2312"/>
          <w:snapToGrid w:val="0"/>
          <w:kern w:val="0"/>
          <w:sz w:val="32"/>
          <w:szCs w:val="32"/>
          <w:lang w:eastAsia="zh-CN"/>
        </w:rPr>
        <w:t>202</w:t>
      </w:r>
      <w:r>
        <w:rPr>
          <w:rFonts w:hint="eastAsia" w:ascii="仿宋_GB2312" w:hAnsi="仿宋_GB2312" w:eastAsia="仿宋_GB2312" w:cs="仿宋_GB2312"/>
          <w:snapToGrid w:val="0"/>
          <w:kern w:val="0"/>
          <w:sz w:val="32"/>
          <w:szCs w:val="32"/>
          <w:lang w:val="en-US" w:eastAsia="zh-CN"/>
        </w:rPr>
        <w:t>6</w:t>
      </w:r>
      <w:r>
        <w:rPr>
          <w:rFonts w:hint="eastAsia" w:ascii="仿宋_GB2312" w:hAnsi="仿宋_GB2312" w:eastAsia="仿宋_GB2312" w:cs="仿宋_GB2312"/>
          <w:snapToGrid w:val="0"/>
          <w:kern w:val="0"/>
          <w:sz w:val="32"/>
          <w:szCs w:val="32"/>
        </w:rPr>
        <w:t>年</w:t>
      </w:r>
      <w:r>
        <w:rPr>
          <w:rFonts w:hint="eastAsia" w:ascii="仿宋_GB2312" w:hAnsi="仿宋_GB2312" w:eastAsia="仿宋_GB2312" w:cs="仿宋_GB2312"/>
          <w:snapToGrid w:val="0"/>
          <w:kern w:val="0"/>
          <w:sz w:val="32"/>
          <w:szCs w:val="32"/>
          <w:lang w:val="en-US" w:eastAsia="zh-CN"/>
        </w:rPr>
        <w:t>8</w:t>
      </w:r>
      <w:r>
        <w:rPr>
          <w:rFonts w:hint="eastAsia" w:ascii="仿宋_GB2312" w:hAnsi="仿宋_GB2312" w:eastAsia="仿宋_GB2312" w:cs="仿宋_GB2312"/>
          <w:snapToGrid w:val="0"/>
          <w:kern w:val="0"/>
          <w:sz w:val="32"/>
          <w:szCs w:val="32"/>
        </w:rPr>
        <w:t>月</w:t>
      </w:r>
      <w:r>
        <w:rPr>
          <w:rFonts w:hint="eastAsia" w:ascii="仿宋_GB2312" w:hAnsi="仿宋_GB2312" w:eastAsia="仿宋_GB2312" w:cs="仿宋_GB2312"/>
          <w:snapToGrid w:val="0"/>
          <w:kern w:val="0"/>
          <w:sz w:val="32"/>
          <w:szCs w:val="32"/>
          <w:lang w:val="en-US" w:eastAsia="zh-CN"/>
        </w:rPr>
        <w:t>20</w:t>
      </w:r>
      <w:r>
        <w:rPr>
          <w:rFonts w:hint="eastAsia" w:ascii="仿宋_GB2312" w:hAnsi="仿宋_GB2312" w:eastAsia="仿宋_GB2312" w:cs="仿宋_GB2312"/>
          <w:snapToGrid w:val="0"/>
          <w:kern w:val="0"/>
          <w:sz w:val="32"/>
          <w:szCs w:val="32"/>
        </w:rPr>
        <w:t>日9</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00—</w:t>
      </w:r>
      <w:r>
        <w:rPr>
          <w:rFonts w:hint="eastAsia" w:ascii="仿宋_GB2312" w:hAnsi="仿宋_GB2312" w:eastAsia="仿宋_GB2312" w:cs="仿宋_GB2312"/>
          <w:snapToGrid w:val="0"/>
          <w:kern w:val="0"/>
          <w:sz w:val="32"/>
          <w:szCs w:val="32"/>
          <w:lang w:val="en-US" w:eastAsia="zh-CN"/>
        </w:rPr>
        <w:t>8</w:t>
      </w:r>
      <w:r>
        <w:rPr>
          <w:rFonts w:hint="eastAsia" w:ascii="仿宋_GB2312" w:hAnsi="仿宋_GB2312" w:eastAsia="仿宋_GB2312" w:cs="仿宋_GB2312"/>
          <w:snapToGrid w:val="0"/>
          <w:kern w:val="0"/>
          <w:sz w:val="32"/>
          <w:szCs w:val="32"/>
        </w:rPr>
        <w:t>月</w:t>
      </w:r>
      <w:r>
        <w:rPr>
          <w:rFonts w:hint="eastAsia" w:ascii="仿宋_GB2312" w:hAnsi="仿宋_GB2312" w:eastAsia="仿宋_GB2312" w:cs="仿宋_GB2312"/>
          <w:snapToGrid w:val="0"/>
          <w:kern w:val="0"/>
          <w:sz w:val="32"/>
          <w:szCs w:val="32"/>
          <w:lang w:val="en-US" w:eastAsia="zh-CN"/>
        </w:rPr>
        <w:t>27</w:t>
      </w:r>
      <w:r>
        <w:rPr>
          <w:rFonts w:hint="eastAsia" w:ascii="仿宋_GB2312" w:hAnsi="仿宋_GB2312" w:eastAsia="仿宋_GB2312" w:cs="仿宋_GB2312"/>
          <w:snapToGrid w:val="0"/>
          <w:kern w:val="0"/>
          <w:sz w:val="32"/>
          <w:szCs w:val="32"/>
        </w:rPr>
        <w:t>日16</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00</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登录全国专业技术人员资格考试报名服务平台的应试人员，应在报名前完成用户注册，并上传近期彩色标准1寸半身免冠、照片底色背景为白色的正面证件照（上传照片前应使用照片审核处理工具进行处理，通过后方可上传），报名照片将用于准考证、考场座次表、资格证书等。</w:t>
      </w:r>
      <w:r>
        <w:rPr>
          <w:rFonts w:hint="eastAsia" w:ascii="仿宋_GB2312" w:hAnsi="仿宋_GB2312" w:eastAsia="仿宋_GB2312" w:cs="仿宋_GB2312"/>
          <w:b/>
          <w:sz w:val="32"/>
          <w:szCs w:val="32"/>
        </w:rPr>
        <w:t>以往已在报名服务平台注册过的应试人员不得更换照片。</w:t>
      </w:r>
      <w:r>
        <w:rPr>
          <w:rFonts w:hint="eastAsia" w:ascii="仿宋_GB2312" w:hAnsi="仿宋_GB2312" w:eastAsia="仿宋_GB2312" w:cs="仿宋_GB2312"/>
          <w:sz w:val="32"/>
          <w:szCs w:val="32"/>
        </w:rPr>
        <w:t>已注册的应试人员不需重新注册，但须完善相关信息。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专业技术人员职业资格考试统一大纲、统一命题、统一组织，符合条件的专业技术人员应按规定通过中国人事考试网报名，切勿轻信虚假宣传。应试人员报名时，须如实填报信息，诚信参考，本人签署（提交）《专业技术人员职业资格考试报名证明事项告知承诺制告知承诺书》电子文本（可下载保存），切勿委托他人或机构填报本人报考信息、代替本人作出承诺。</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报名服务平台将对身份信息、学历学位等信息进行在线核查，提交补充相关信息24小时后登录报名服务平台查询核查结果，核查完成后方可报名。</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val="0"/>
          <w:kern w:val="0"/>
          <w:sz w:val="32"/>
          <w:szCs w:val="32"/>
        </w:rPr>
        <w:t>为加强报名证明事项告知承诺制事中监管，</w:t>
      </w:r>
      <w:r>
        <w:rPr>
          <w:rFonts w:hint="eastAsia" w:ascii="仿宋_GB2312" w:hAnsi="仿宋_GB2312" w:eastAsia="仿宋_GB2312" w:cs="仿宋_GB2312"/>
          <w:sz w:val="32"/>
          <w:szCs w:val="32"/>
        </w:rPr>
        <w:t>如应试人员提交的境内高等教育学历学位信息无法通过在线自动核验，</w:t>
      </w:r>
      <w:r>
        <w:rPr>
          <w:rFonts w:hint="eastAsia" w:ascii="仿宋_GB2312" w:hAnsi="仿宋_GB2312" w:eastAsia="仿宋_GB2312" w:cs="仿宋_GB2312"/>
          <w:b/>
          <w:sz w:val="32"/>
          <w:szCs w:val="32"/>
        </w:rPr>
        <w:t>应在报名前及时登录中国高等教育学生信息网（学信网）进行验证/认证</w:t>
      </w:r>
      <w:r>
        <w:rPr>
          <w:rFonts w:hint="eastAsia" w:ascii="仿宋_GB2312" w:hAnsi="仿宋_GB2312" w:eastAsia="仿宋_GB2312" w:cs="仿宋_GB2312"/>
          <w:sz w:val="32"/>
          <w:szCs w:val="32"/>
        </w:rPr>
        <w:t>，下载相关PDF格式在线验证/认证报告，报名期间按要求上传相关验证/认证报告，接受</w:t>
      </w:r>
      <w:r>
        <w:rPr>
          <w:rFonts w:hint="eastAsia" w:ascii="仿宋_GB2312" w:hAnsi="仿宋_GB2312" w:eastAsia="仿宋_GB2312" w:cs="仿宋_GB2312"/>
          <w:b/>
          <w:bCs/>
          <w:sz w:val="32"/>
          <w:szCs w:val="32"/>
        </w:rPr>
        <w:t>网上人工核查</w:t>
      </w:r>
      <w:r>
        <w:rPr>
          <w:rFonts w:hint="eastAsia" w:ascii="仿宋_GB2312" w:hAnsi="仿宋_GB2312" w:eastAsia="仿宋_GB2312" w:cs="仿宋_GB2312"/>
          <w:sz w:val="32"/>
          <w:szCs w:val="32"/>
        </w:rPr>
        <w:t>，具体操作方式参见中国人事考试网考生问答栏目内容。</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报名期间，应试人员务必仔细对照报考条件如实填写报考信息，报名服务平台将报考信息与报考条件进行比对，符合报考条件的应试人员点击报名确认按钮，进入缴费状态，</w:t>
      </w:r>
      <w:r>
        <w:rPr>
          <w:rFonts w:hint="eastAsia" w:ascii="仿宋_GB2312" w:hAnsi="仿宋_GB2312" w:eastAsia="仿宋_GB2312" w:cs="仿宋_GB2312"/>
          <w:bCs/>
          <w:sz w:val="32"/>
          <w:szCs w:val="32"/>
        </w:rPr>
        <w:t>缴费成功即完成报名，</w:t>
      </w:r>
      <w:r>
        <w:rPr>
          <w:rFonts w:hint="eastAsia" w:ascii="仿宋_GB2312" w:hAnsi="仿宋_GB2312" w:eastAsia="仿宋_GB2312" w:cs="仿宋_GB2312"/>
          <w:b/>
          <w:bCs/>
          <w:sz w:val="32"/>
          <w:szCs w:val="32"/>
        </w:rPr>
        <w:t>逾期不缴费，视为放弃报名</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应试人员</w:t>
      </w:r>
      <w:r>
        <w:rPr>
          <w:rFonts w:hint="eastAsia" w:ascii="仿宋_GB2312" w:hAnsi="仿宋_GB2312" w:eastAsia="仿宋_GB2312" w:cs="仿宋_GB2312"/>
          <w:b/>
          <w:bCs/>
          <w:sz w:val="32"/>
          <w:szCs w:val="32"/>
        </w:rPr>
        <w:t>工作地、居住地</w:t>
      </w:r>
      <w:r>
        <w:rPr>
          <w:rFonts w:hint="eastAsia" w:ascii="仿宋_GB2312" w:hAnsi="仿宋_GB2312" w:eastAsia="仿宋_GB2312" w:cs="仿宋_GB2312"/>
          <w:sz w:val="32"/>
          <w:szCs w:val="32"/>
        </w:rPr>
        <w:t>为青岛市的，应按属地原则正确选择报考考区为青岛市（资格核查、合格证书发放均由</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市人事考试机构负责）</w:t>
      </w:r>
      <w:r>
        <w:rPr>
          <w:rFonts w:hint="eastAsia" w:ascii="仿宋_GB2312" w:hAnsi="仿宋_GB2312" w:eastAsia="仿宋_GB2312" w:cs="仿宋_GB2312"/>
          <w:bCs/>
          <w:sz w:val="32"/>
          <w:szCs w:val="32"/>
        </w:rPr>
        <w:t>，由于个人原因报错科目、级别、专业或填错个人信息的，</w:t>
      </w:r>
      <w:r>
        <w:rPr>
          <w:rFonts w:hint="eastAsia" w:ascii="仿宋_GB2312" w:hAnsi="仿宋_GB2312" w:eastAsia="仿宋_GB2312" w:cs="仿宋_GB2312"/>
          <w:sz w:val="32"/>
          <w:szCs w:val="32"/>
        </w:rPr>
        <w:t>核查通过后，无法修改报名信息，</w:t>
      </w:r>
      <w:r>
        <w:rPr>
          <w:rFonts w:hint="eastAsia" w:ascii="仿宋_GB2312" w:hAnsi="仿宋_GB2312" w:eastAsia="仿宋_GB2312" w:cs="仿宋_GB2312"/>
          <w:bCs/>
          <w:sz w:val="32"/>
          <w:szCs w:val="32"/>
        </w:rPr>
        <w:t>由本人承担相应责任。</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应试人员作出承诺后，</w:t>
      </w:r>
      <w:r>
        <w:rPr>
          <w:rFonts w:hint="eastAsia" w:ascii="仿宋_GB2312" w:hAnsi="仿宋_GB2312" w:eastAsia="仿宋_GB2312" w:cs="仿宋_GB2312"/>
          <w:b w:val="0"/>
          <w:bCs w:val="0"/>
          <w:sz w:val="32"/>
          <w:szCs w:val="32"/>
        </w:rPr>
        <w:t>可在未缴费且报名截止前撤回承诺。不采用告知承诺制方式或撤回承诺申请的应试人员，本年度该项考试中不再适用告知承诺制，一经选择无法更改为采用告知承诺制方式，请慎重选择。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）报考资格核查</w:t>
      </w:r>
    </w:p>
    <w:p>
      <w:pPr>
        <w:keepNext w:val="0"/>
        <w:keepLines w:val="0"/>
        <w:pageBreakBefore w:val="0"/>
        <w:widowControl w:val="0"/>
        <w:kinsoku/>
        <w:wordWrap/>
        <w:overflowPunct/>
        <w:topLinePunct w:val="0"/>
        <w:autoSpaceDE/>
        <w:autoSpaceDN/>
        <w:bidi w:val="0"/>
        <w:adjustRightInd w:val="0"/>
        <w:snapToGrid w:val="0"/>
        <w:spacing w:line="560" w:lineRule="exact"/>
        <w:ind w:left="105" w:leftChars="5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napToGrid w:val="0"/>
          <w:kern w:val="0"/>
          <w:sz w:val="32"/>
          <w:szCs w:val="32"/>
        </w:rPr>
        <w:t>资格核查工作由我市</w:t>
      </w:r>
      <w:r>
        <w:rPr>
          <w:rFonts w:hint="eastAsia" w:ascii="仿宋_GB2312" w:hAnsi="仿宋_GB2312" w:eastAsia="仿宋_GB2312" w:cs="仿宋_GB2312"/>
          <w:snapToGrid w:val="0"/>
          <w:kern w:val="0"/>
          <w:sz w:val="32"/>
          <w:szCs w:val="32"/>
          <w:lang w:val="en-US" w:eastAsia="zh-CN"/>
        </w:rPr>
        <w:t>各级</w:t>
      </w:r>
      <w:r>
        <w:rPr>
          <w:rFonts w:hint="eastAsia" w:ascii="仿宋_GB2312" w:hAnsi="仿宋_GB2312" w:eastAsia="仿宋_GB2312" w:cs="仿宋_GB2312"/>
          <w:snapToGrid w:val="0"/>
          <w:kern w:val="0"/>
          <w:sz w:val="32"/>
          <w:szCs w:val="32"/>
        </w:rPr>
        <w:t>人事考试机构负责，核查程序如下</w:t>
      </w:r>
      <w:r>
        <w:rPr>
          <w:rFonts w:hint="eastAsia" w:ascii="仿宋_GB2312" w:hAnsi="仿宋_GB2312" w:eastAsia="仿宋_GB2312" w:cs="仿宋_GB2312"/>
          <w:snapToGrid w:val="0"/>
          <w:kern w:val="0"/>
          <w:sz w:val="32"/>
          <w:szCs w:val="32"/>
          <w:lang w:eastAsia="zh-CN"/>
        </w:rPr>
        <w:t>：</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1.我市人事考试机构将根据属地原则报考要求，利用共享数据对所有报考人员户籍、社保、工作年限等信息进行资格复核。</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.所学专业与允许报考专业不符的应试人员，由我市各级人事考</w:t>
      </w:r>
      <w:r>
        <w:rPr>
          <w:rFonts w:hint="eastAsia" w:ascii="仿宋_GB2312" w:hAnsi="仿宋_GB2312" w:eastAsia="仿宋_GB2312" w:cs="仿宋_GB2312"/>
          <w:spacing w:val="8"/>
          <w:kern w:val="0"/>
          <w:sz w:val="32"/>
          <w:szCs w:val="32"/>
        </w:rPr>
        <w:t>试机构在报名期间网上人工复核所学专业，</w:t>
      </w:r>
      <w:r>
        <w:rPr>
          <w:rFonts w:hint="eastAsia" w:ascii="仿宋_GB2312" w:hAnsi="仿宋_GB2312" w:eastAsia="仿宋_GB2312" w:cs="仿宋_GB2312"/>
          <w:kern w:val="0"/>
          <w:sz w:val="32"/>
          <w:szCs w:val="32"/>
        </w:rPr>
        <w:t>核查通过后方可进行缴费。</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.以下</w:t>
      </w:r>
      <w:r>
        <w:rPr>
          <w:rFonts w:hint="eastAsia" w:ascii="仿宋_GB2312" w:hAnsi="仿宋_GB2312" w:eastAsia="仿宋_GB2312" w:cs="仿宋_GB2312"/>
          <w:color w:val="000000"/>
          <w:kern w:val="0"/>
          <w:sz w:val="32"/>
          <w:szCs w:val="32"/>
          <w:lang w:val="en-US" w:eastAsia="zh-CN"/>
        </w:rPr>
        <w:t>四</w:t>
      </w:r>
      <w:r>
        <w:rPr>
          <w:rFonts w:hint="eastAsia" w:ascii="仿宋_GB2312" w:hAnsi="仿宋_GB2312" w:eastAsia="仿宋_GB2312" w:cs="仿宋_GB2312"/>
          <w:color w:val="000000"/>
          <w:kern w:val="0"/>
          <w:sz w:val="32"/>
          <w:szCs w:val="32"/>
        </w:rPr>
        <w:t>种情况的应试人员须在报名服务平台中上传专业工作年限证明材料，</w:t>
      </w:r>
      <w:r>
        <w:rPr>
          <w:rFonts w:hint="eastAsia" w:ascii="仿宋_GB2312" w:hAnsi="仿宋_GB2312" w:eastAsia="仿宋_GB2312" w:cs="仿宋_GB2312"/>
          <w:kern w:val="0"/>
          <w:sz w:val="32"/>
          <w:szCs w:val="32"/>
        </w:rPr>
        <w:t>按</w:t>
      </w:r>
      <w:r>
        <w:rPr>
          <w:rFonts w:hint="eastAsia" w:ascii="仿宋_GB2312" w:hAnsi="仿宋_GB2312" w:eastAsia="仿宋_GB2312" w:cs="仿宋_GB2312"/>
          <w:color w:val="000000"/>
          <w:kern w:val="0"/>
          <w:sz w:val="32"/>
          <w:szCs w:val="32"/>
        </w:rPr>
        <w:t>照规定时间到各区（市）人事考试机构规定地点</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附件2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接受</w:t>
      </w:r>
      <w:r>
        <w:rPr>
          <w:rFonts w:hint="eastAsia" w:ascii="仿宋_GB2312" w:hAnsi="仿宋_GB2312" w:eastAsia="仿宋_GB2312" w:cs="仿宋_GB2312"/>
          <w:b/>
          <w:color w:val="000000"/>
          <w:kern w:val="0"/>
          <w:sz w:val="32"/>
          <w:szCs w:val="32"/>
        </w:rPr>
        <w:t>现场核查</w:t>
      </w: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color w:val="000000"/>
          <w:kern w:val="0"/>
          <w:sz w:val="32"/>
          <w:szCs w:val="32"/>
        </w:rPr>
        <w:t>核查通过后方可进行缴费：</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（1）在专业技术人员职业资格考试报名中存在不实承诺行为，或者因严重、特别严重违纪违规行为被记入专业技术人员资格考试诚信档案库且在记录期内的应试人员；</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（2）不采用告知承诺制方式办理报名事项的应试人员；</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（3）撤回承诺申请的应试人员</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）报考级别为“免二科”的应试人员</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autoSpaceDE/>
        <w:autoSpaceDN/>
        <w:bidi w:val="0"/>
        <w:adjustRightInd w:val="0"/>
        <w:spacing w:line="56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上述应试人员现场核查需要提供的材料：</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（1）应试人员本人有效身份证原件；</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（2）学历（学位）证书原件；</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（3）从事相关专业工作年限证明；</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（4）职称证书（仅报考级别为免二科的提供）。</w:t>
      </w:r>
    </w:p>
    <w:p>
      <w:pPr>
        <w:keepNext w:val="0"/>
        <w:keepLines w:val="0"/>
        <w:pageBreakBefore w:val="0"/>
        <w:widowControl w:val="0"/>
        <w:kinsoku/>
        <w:wordWrap/>
        <w:overflowPunct/>
        <w:topLinePunct/>
        <w:autoSpaceDE/>
        <w:autoSpaceDN/>
        <w:bidi w:val="0"/>
        <w:adjustRightInd w:val="0"/>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000000"/>
          <w:kern w:val="0"/>
          <w:sz w:val="32"/>
          <w:szCs w:val="32"/>
        </w:rPr>
        <w:t>以下四种情况的应试人员须在报名服务平台中上传本人有效身份证件原件电子版、学历（学位）证书</w:t>
      </w:r>
      <w:r>
        <w:rPr>
          <w:rFonts w:hint="eastAsia" w:ascii="仿宋_GB2312" w:hAnsi="仿宋_GB2312" w:eastAsia="仿宋_GB2312" w:cs="仿宋_GB2312"/>
          <w:kern w:val="0"/>
          <w:sz w:val="32"/>
          <w:szCs w:val="32"/>
        </w:rPr>
        <w:t>在线验证/认证报告PDF版</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lang w:eastAsia="zh-CN"/>
        </w:rPr>
        <w:t>由各区（市）人事考试机构进行</w:t>
      </w:r>
      <w:r>
        <w:rPr>
          <w:rFonts w:hint="eastAsia" w:ascii="仿宋_GB2312" w:hAnsi="仿宋_GB2312" w:eastAsia="仿宋_GB2312" w:cs="仿宋_GB2312"/>
          <w:b/>
          <w:bCs/>
          <w:sz w:val="32"/>
          <w:szCs w:val="32"/>
          <w:lang w:eastAsia="zh-CN"/>
        </w:rPr>
        <w:t>网上人工核查</w:t>
      </w:r>
      <w:r>
        <w:rPr>
          <w:rFonts w:hint="eastAsia" w:ascii="仿宋_GB2312" w:hAnsi="仿宋_GB2312" w:eastAsia="仿宋_GB2312" w:cs="仿宋_GB2312"/>
          <w:bCs/>
          <w:sz w:val="32"/>
          <w:szCs w:val="32"/>
        </w:rPr>
        <w:t>，</w:t>
      </w:r>
      <w:r>
        <w:rPr>
          <w:rFonts w:hint="eastAsia" w:ascii="仿宋_GB2312" w:hAnsi="仿宋_GB2312" w:eastAsia="仿宋_GB2312" w:cs="仿宋_GB2312"/>
          <w:color w:val="000000"/>
          <w:kern w:val="0"/>
          <w:sz w:val="32"/>
          <w:szCs w:val="32"/>
        </w:rPr>
        <w:t>核查通过后方可进行缴费：</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（1）2002年以前大专以上（含大专）学历的应试人员；</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（2）2008年9月以前取得学位的应试人员；</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（3）身份或学历学位信息未通过在线核验的应试人员；</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（4）其他身份证件类型或境外学历学位等无法在线核验的应试人员。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5.报考人员上传证明材料无法辨别真伪或其他需要到现场的情形，应试人员应按各区（市）人事考试机构要求携带相关材料到规定核查点进行现场核查。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6.资格核查日期：2026年8月4日至8月19日（周末及国家法定节假日除外）；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资格核查时间：9∶00-11∶30，13∶30-17∶00（8月19日9∶00-11∶30，13∶30-16∶00）。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（三）报考咨询及查询用户名、密码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1.报考人员咨询报名系统操作问题可拨打人力资源社会保障部人事考试中心电话：010-87901800。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2.报考人员咨询报考政策可拨打青岛市人力资源和社会保障局统一咨询电话：0532-12333。</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3.报考人员忘记登录用户名、密码的，请登录青岛市人力资源和社会保障局网站（hrss.qingdao.gov.cn）人事考试板块相关下载栏下载“网上报名信息查询修改申请表”，按要求填写相关信息后，携带身份证原件和“网上报名信息查询修改申请表”到各区（市）人事考试机构规定地点进行现场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六、考区设置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2026年度执业药师职业资格考试在全省16市设置考区（考试地点）。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七、准考证打印</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应试人员须在2026年10月27日9∶00至11月1日18∶00期间登录中国人事考试网打印准考证。应试人员所在的考点考场及场次由系统随机安排，具体考试时间与地点以准考证为准。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八、收费标准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根据《山东省人力资源和社会保障厅关于职业资格考试收费标准有关事项的通知》（鲁人社字〔2026〕1号）文件规定，2026年度执业药师职业资格考试费每人每科61元。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九、考试大纲</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2026年度执业药师职业资格考试大纲以《国家执业药师职业资格考试大纲（第九版·2026）》为准，见国家药品监督管理局执业药师资格认证中心网站。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十、证书发放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考试合格的应试人员请关注青岛市人力资源和社会保障局官方网站（hrss.qingdao.gov.cn）人事考试版块发布的有关通知，根据通知要求提交材料办理证书。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电子证书通过中国人事考试网“证书查验”栏目查询、下载。纸质证书由我市人事考试机构负责发放，可现场领取、自助发证机预约领取或登录山东人事考试信息网（hrss.shandong.gov.cn/rsks/）、爱山东APP办理邮寄。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十一、监督举报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资格核查工作贯穿考前、考中和考后全过程，全程接受社会监督。监督举报邮箱：qdrskszxkw@qd.shandong.cn。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十二、违纪违规行为处理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在核查或者日常监管过程中发现应试人员不符合报考条件的，或未按照我市各级人事考试机构要求办理报考相关事项的，考试报名无效，已缴费用不予退还；取得成绩的，当次全部科目考试成绩无效；取得资格证书或者成绩证明的，资格证书或者成绩证明无效。提供虚假证明材料或者以其他不正当手段取得相应资格证书或者成绩证明等严重违纪违规行为的，按照《专业技术人员资格考试违纪违规行为处理规定》（人力资源和社会保障部令第31号）处理。涉嫌犯罪的，依法移送司法机关处理。考试结束后将采用技术手段甄别雷同答卷，雷同答卷成绩按无效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tabs>
          <w:tab w:val="left" w:pos="594"/>
          <w:tab w:val="left" w:pos="7560"/>
        </w:tabs>
        <w:kinsoku/>
        <w:wordWrap/>
        <w:overflowPunct/>
        <w:topLinePunct w:val="0"/>
        <w:autoSpaceDE/>
        <w:autoSpaceDN/>
        <w:bidi w:val="0"/>
        <w:adjustRightInd w:val="0"/>
        <w:snapToGrid w:val="0"/>
        <w:spacing w:line="560" w:lineRule="exact"/>
        <w:ind w:left="1920" w:leftChars="305" w:hanging="1280" w:hangingChars="4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附件：1.</w:t>
      </w:r>
      <w:r>
        <w:rPr>
          <w:rFonts w:hint="eastAsia" w:ascii="仿宋_GB2312" w:hAnsi="仿宋_GB2312" w:eastAsia="仿宋_GB2312" w:cs="仿宋_GB2312"/>
          <w:color w:val="000000"/>
          <w:sz w:val="32"/>
          <w:szCs w:val="32"/>
        </w:rPr>
        <w:t>国家执业药师职业资格考试报考专业参考目录</w:t>
      </w:r>
    </w:p>
    <w:p>
      <w:pPr>
        <w:keepNext w:val="0"/>
        <w:keepLines w:val="0"/>
        <w:pageBreakBefore w:val="0"/>
        <w:widowControl w:val="0"/>
        <w:tabs>
          <w:tab w:val="left" w:pos="594"/>
          <w:tab w:val="left" w:pos="7560"/>
        </w:tabs>
        <w:kinsoku/>
        <w:wordWrap/>
        <w:overflowPunct/>
        <w:autoSpaceDE/>
        <w:autoSpaceDN/>
        <w:bidi w:val="0"/>
        <w:adjustRightInd w:val="0"/>
        <w:snapToGrid w:val="0"/>
        <w:spacing w:line="560" w:lineRule="exact"/>
        <w:ind w:left="1920" w:leftChars="762" w:hanging="320" w:hangingChars="100"/>
        <w:jc w:val="left"/>
        <w:textAlignment w:val="auto"/>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2.青岛市202</w:t>
      </w:r>
      <w:r>
        <w:rPr>
          <w:rFonts w:hint="eastAsia" w:ascii="仿宋_GB2312" w:hAnsi="仿宋_GB2312" w:eastAsia="仿宋_GB2312" w:cs="仿宋_GB2312"/>
          <w:snapToGrid w:val="0"/>
          <w:color w:val="000000"/>
          <w:kern w:val="0"/>
          <w:sz w:val="32"/>
          <w:szCs w:val="32"/>
          <w:lang w:val="en-US" w:eastAsia="zh-CN"/>
        </w:rPr>
        <w:t>6</w:t>
      </w:r>
      <w:r>
        <w:rPr>
          <w:rFonts w:hint="eastAsia" w:ascii="仿宋_GB2312" w:hAnsi="仿宋_GB2312" w:eastAsia="仿宋_GB2312" w:cs="仿宋_GB2312"/>
          <w:snapToGrid w:val="0"/>
          <w:color w:val="000000"/>
          <w:kern w:val="0"/>
          <w:sz w:val="32"/>
          <w:szCs w:val="32"/>
        </w:rPr>
        <w:t>年度</w:t>
      </w:r>
      <w:r>
        <w:rPr>
          <w:rFonts w:hint="eastAsia" w:ascii="仿宋_GB2312" w:hAnsi="仿宋_GB2312" w:eastAsia="仿宋_GB2312" w:cs="仿宋_GB2312"/>
          <w:color w:val="000000"/>
          <w:sz w:val="32"/>
          <w:szCs w:val="32"/>
        </w:rPr>
        <w:t>执业药师职业资格考试</w:t>
      </w:r>
      <w:r>
        <w:rPr>
          <w:rFonts w:hint="eastAsia" w:ascii="仿宋_GB2312" w:hAnsi="仿宋_GB2312" w:eastAsia="仿宋_GB2312" w:cs="仿宋_GB2312"/>
          <w:color w:val="000000"/>
          <w:kern w:val="0"/>
          <w:sz w:val="32"/>
          <w:szCs w:val="32"/>
        </w:rPr>
        <w:t>报考人员信息核查</w:t>
      </w:r>
      <w:r>
        <w:rPr>
          <w:rFonts w:hint="eastAsia" w:ascii="仿宋_GB2312" w:hAnsi="仿宋_GB2312" w:eastAsia="仿宋_GB2312" w:cs="仿宋_GB2312"/>
          <w:snapToGrid w:val="0"/>
          <w:color w:val="000000"/>
          <w:kern w:val="0"/>
          <w:sz w:val="32"/>
          <w:szCs w:val="32"/>
        </w:rPr>
        <w:t>点汇总表</w:t>
      </w:r>
    </w:p>
    <w:p>
      <w:pPr>
        <w:keepNext w:val="0"/>
        <w:keepLines w:val="0"/>
        <w:pageBreakBefore w:val="0"/>
        <w:widowControl w:val="0"/>
        <w:tabs>
          <w:tab w:val="left" w:pos="8820"/>
        </w:tabs>
        <w:kinsoku/>
        <w:wordWrap/>
        <w:overflowPunct/>
        <w:autoSpaceDE/>
        <w:autoSpaceDN/>
        <w:bidi w:val="0"/>
        <w:spacing w:line="560" w:lineRule="exact"/>
        <w:ind w:right="23" w:rightChars="11"/>
        <w:textAlignment w:val="auto"/>
        <w:rPr>
          <w:rFonts w:hint="eastAsia" w:ascii="仿宋_GB2312" w:hAnsi="仿宋_GB2312" w:eastAsia="仿宋_GB2312" w:cs="仿宋_GB2312"/>
          <w:snapToGrid w:val="0"/>
          <w:color w:val="00B0F0"/>
          <w:kern w:val="0"/>
          <w:sz w:val="32"/>
          <w:szCs w:val="32"/>
        </w:rPr>
      </w:pPr>
    </w:p>
    <w:p>
      <w:pPr>
        <w:keepNext w:val="0"/>
        <w:keepLines w:val="0"/>
        <w:pageBreakBefore w:val="0"/>
        <w:widowControl w:val="0"/>
        <w:tabs>
          <w:tab w:val="left" w:pos="8222"/>
        </w:tabs>
        <w:kinsoku/>
        <w:wordWrap/>
        <w:overflowPunct/>
        <w:autoSpaceDE/>
        <w:autoSpaceDN/>
        <w:bidi w:val="0"/>
        <w:spacing w:line="560" w:lineRule="exact"/>
        <w:ind w:right="407" w:rightChars="194" w:firstLine="4000" w:firstLineChars="1250"/>
        <w:jc w:val="right"/>
        <w:textAlignment w:val="auto"/>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青岛市人力资源和社会保障局</w:t>
      </w:r>
    </w:p>
    <w:p>
      <w:pPr>
        <w:keepNext w:val="0"/>
        <w:keepLines w:val="0"/>
        <w:pageBreakBefore w:val="0"/>
        <w:widowControl w:val="0"/>
        <w:kinsoku/>
        <w:wordWrap/>
        <w:overflowPunct/>
        <w:autoSpaceDE/>
        <w:autoSpaceDN/>
        <w:bidi w:val="0"/>
        <w:spacing w:line="560" w:lineRule="exact"/>
        <w:ind w:right="871" w:rightChars="415" w:firstLine="5120" w:firstLineChars="16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月2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日</w:t>
      </w:r>
    </w:p>
    <w:p>
      <w:pPr>
        <w:pStyle w:val="2"/>
        <w:keepNext w:val="0"/>
        <w:keepLines w:val="0"/>
        <w:pageBreakBefore w:val="0"/>
        <w:widowControl w:val="0"/>
        <w:kinsoku/>
        <w:wordWrap/>
        <w:overflowPunct/>
        <w:autoSpaceDE/>
        <w:autoSpaceDN/>
        <w:bidi w:val="0"/>
        <w:spacing w:line="560" w:lineRule="exact"/>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（此件</w:t>
      </w:r>
      <w:r>
        <w:rPr>
          <w:rFonts w:hint="eastAsia" w:ascii="仿宋_GB2312" w:hAnsi="仿宋_GB2312" w:eastAsia="仿宋_GB2312" w:cs="仿宋_GB2312"/>
          <w:snapToGrid w:val="0"/>
          <w:sz w:val="32"/>
          <w:szCs w:val="32"/>
          <w:lang w:val="en-US" w:eastAsia="zh-CN"/>
        </w:rPr>
        <w:t>主动</w:t>
      </w:r>
      <w:r>
        <w:rPr>
          <w:rFonts w:hint="eastAsia" w:ascii="仿宋_GB2312" w:hAnsi="仿宋_GB2312" w:eastAsia="仿宋_GB2312" w:cs="仿宋_GB2312"/>
          <w:snapToGrid w:val="0"/>
          <w:sz w:val="32"/>
          <w:szCs w:val="32"/>
        </w:rPr>
        <w:t>公开）</w:t>
      </w:r>
    </w:p>
    <w:p>
      <w:pPr>
        <w:keepNext w:val="0"/>
        <w:keepLines w:val="0"/>
        <w:pageBreakBefore w:val="0"/>
        <w:widowControl w:val="0"/>
        <w:kinsoku/>
        <w:wordWrap/>
        <w:overflowPunct/>
        <w:autoSpaceDE/>
        <w:autoSpaceDN/>
        <w:bidi w:val="0"/>
        <w:adjustRightInd w:val="0"/>
        <w:snapToGrid w:val="0"/>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napToGrid w:val="0"/>
          <w:sz w:val="32"/>
          <w:szCs w:val="32"/>
        </w:rPr>
        <w:t>（联系单位：青岛市人力资源发展研究与促进中心）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sectPr>
      <w:footerReference r:id="rId3" w:type="default"/>
      <w:pgSz w:w="11906" w:h="16838"/>
      <w:pgMar w:top="2098" w:right="1474" w:bottom="198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936BF1-D2C8-434B-A010-2FB2CFC255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8B4BB48A-7F13-4F44-9E39-744A0C21A05D}"/>
  </w:font>
  <w:font w:name="方正小标宋简体">
    <w:panose1 w:val="02010601030101010101"/>
    <w:charset w:val="86"/>
    <w:family w:val="script"/>
    <w:pitch w:val="default"/>
    <w:sig w:usb0="00000001" w:usb1="080E0000" w:usb2="00000000" w:usb3="00000000" w:csb0="00040000" w:csb1="00000000"/>
    <w:embedRegular r:id="rId3" w:fontKey="{EC9445F8-A2BF-458E-9293-5A75CD595825}"/>
  </w:font>
  <w:font w:name="方正小标宋_GBK">
    <w:panose1 w:val="03000509000000000000"/>
    <w:charset w:val="86"/>
    <w:family w:val="auto"/>
    <w:pitch w:val="default"/>
    <w:sig w:usb0="00000001" w:usb1="080E0000" w:usb2="00000000" w:usb3="00000000" w:csb0="00040000" w:csb1="00000000"/>
    <w:embedRegular r:id="rId4" w:fontKey="{DDBAEEB2-9A81-4EAF-906D-93BEE278CD32}"/>
  </w:font>
  <w:font w:name="楷体_GB2312">
    <w:panose1 w:val="02010609030101010101"/>
    <w:charset w:val="86"/>
    <w:family w:val="auto"/>
    <w:pitch w:val="default"/>
    <w:sig w:usb0="00000001" w:usb1="080E0000" w:usb2="00000000" w:usb3="00000000" w:csb0="00040000" w:csb1="00000000"/>
    <w:embedRegular r:id="rId5" w:fontKey="{9A026063-FC1E-40CD-AEFE-17C92243DC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D1534"/>
    <w:rsid w:val="0A1A5A63"/>
    <w:rsid w:val="21D462C2"/>
    <w:rsid w:val="33CD1534"/>
    <w:rsid w:val="395C3913"/>
    <w:rsid w:val="462353A6"/>
    <w:rsid w:val="5418124A"/>
    <w:rsid w:val="5AD16CBD"/>
    <w:rsid w:val="78EF2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rPr>
      <w:rFonts w:eastAsia="宋体"/>
      <w:sz w:val="21"/>
      <w:szCs w:val="24"/>
    </w:rPr>
  </w:style>
  <w:style w:type="paragraph" w:styleId="3">
    <w:name w:val="Body Text Indent"/>
    <w:basedOn w:val="1"/>
    <w:qFormat/>
    <w:uiPriority w:val="0"/>
    <w:pPr>
      <w:widowControl w:val="0"/>
      <w:spacing w:after="120"/>
      <w:ind w:left="420" w:leftChars="200"/>
      <w:jc w:val="both"/>
    </w:pPr>
    <w:rPr>
      <w:rFonts w:ascii="Times New Roman" w:hAnsi="Times New Roman" w:eastAsia="仿宋_GB2312" w:cs="Times New Roman"/>
      <w:kern w:val="2"/>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qFormat/>
    <w:uiPriority w:val="0"/>
    <w:pPr>
      <w:widowControl w:val="0"/>
      <w:spacing w:after="120"/>
      <w:ind w:left="420" w:leftChars="200" w:firstLine="420" w:firstLineChars="200"/>
      <w:jc w:val="both"/>
    </w:pPr>
    <w:rPr>
      <w:rFonts w:ascii="Times New Roman" w:hAnsi="Times New Roman" w:eastAsia="仿宋_GB2312" w:cs="Times New Roman"/>
      <w:kern w:val="2"/>
      <w:sz w:val="32"/>
      <w:szCs w:val="32"/>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66020162-d00b-4834-84dd-a6580924e7b9</errorID>
      <errorWord>－</errorWord>
      <group>L1_Format</group>
      <groupName>格式问题</groupName>
      <ability>L2_HalfPunc_CN</ability>
      <abilityName>全半角检查</abilityName>
      <candidateList>
        <item>-</item>
      </candidateList>
      <explain>文本全半角错误。</explain>
      <paraID>341AA205</paraID>
      <start>4</start>
      <end>5</end>
      <status>unmodified</status>
      <modifiedWord/>
      <trackRevisions>false</trackRevisions>
    </reviewItem>
    <reviewItem>
      <errorID>4c478b12-e3b2-42e3-b6c3-c433ae970d2c</errorID>
      <errorWord>－</errorWord>
      <group>L1_Format</group>
      <groupName>格式问题</groupName>
      <ability>L2_HalfPunc_CN</ability>
      <abilityName>全半角检查</abilityName>
      <candidateList>
        <item>-</item>
      </candidateList>
      <explain>文本全半角错误。</explain>
      <paraID>1C21B1BD</paraID>
      <start>5</start>
      <end>6</end>
      <status>unmodified</status>
      <modifiedWord/>
      <trackRevisions>false</trackRevisions>
    </reviewItem>
    <reviewItem>
      <errorID>9964aa11-437b-4e00-9ba4-5b4ba61d08dd</errorID>
      <errorWord>－</errorWord>
      <group>L1_Format</group>
      <groupName>格式问题</groupName>
      <ability>L2_HalfPunc_CN</ability>
      <abilityName>全半角检查</abilityName>
      <candidateList>
        <item>-</item>
      </candidateList>
      <explain>文本全半角错误。</explain>
      <paraID>4E066579</paraID>
      <start>5</start>
      <end>6</end>
      <status>unmodified</status>
      <modifiedWord/>
      <trackRevisions>false</trackRevisions>
    </reviewItem>
    <reviewItem>
      <errorID>a520da64-29f8-47b4-96c9-d67fb8b786d7</errorID>
      <errorWord>－</errorWord>
      <group>L1_Format</group>
      <groupName>格式问题</groupName>
      <ability>L2_HalfPunc_CN</ability>
      <abilityName>全半角检查</abilityName>
      <candidateList>
        <item>-</item>
      </candidateList>
      <explain>文本全半角错误。</explain>
      <paraID> 8B34D93</paraID>
      <start>5</start>
      <end>6</end>
      <status>unmodified</status>
      <modifiedWord/>
      <trackRevisions>false</trackRevisions>
    </reviewItem>
    <reviewItem>
      <errorID>75321b28-57af-4317-8a9e-9016c7f13f94</errorID>
      <errorWord>－</errorWord>
      <group>L1_Format</group>
      <groupName>格式问题</groupName>
      <ability>L2_HalfPunc_CN</ability>
      <abilityName>全半角检查</abilityName>
      <candidateList>
        <item>-</item>
      </candidateList>
      <explain>文本全半角错误。</explain>
      <paraID>47CB6326</paraID>
      <start>4</start>
      <end>5</end>
      <status>unmodified</status>
      <modifiedWord/>
      <trackRevisions>false</trackRevisions>
    </reviewItem>
    <reviewItem>
      <errorID>ab1f6faa-86c7-4e09-b08c-3799ca1dafa6</errorID>
      <errorWord>－</errorWord>
      <group>L1_Format</group>
      <groupName>格式问题</groupName>
      <ability>L2_HalfPunc_CN</ability>
      <abilityName>全半角检查</abilityName>
      <candidateList>
        <item>-</item>
      </candidateList>
      <explain>文本全半角错误。</explain>
      <paraID>72029AF2</paraID>
      <start>5</start>
      <end>6</end>
      <status>unmodified</status>
      <modifiedWord/>
      <trackRevisions>false</trackRevisions>
    </reviewItem>
    <reviewItem>
      <errorID>062d7ae7-8766-4af5-8191-0e22c0f52bed</errorID>
      <errorWord>－</errorWord>
      <group>L1_Format</group>
      <groupName>格式问题</groupName>
      <ability>L2_HalfPunc_CN</ability>
      <abilityName>全半角检查</abilityName>
      <candidateList>
        <item>-</item>
      </candidateList>
      <explain>文本全半角错误。</explain>
      <paraID> C979082</paraID>
      <start>5</start>
      <end>6</end>
      <status>unmodified</status>
      <modifiedWord/>
      <trackRevisions>false</trackRevisions>
    </reviewItem>
    <reviewItem>
      <errorID>9f1bc4ed-dff9-4857-8df1-c443eee6a2eb</errorID>
      <errorWord>－</errorWord>
      <group>L1_Format</group>
      <groupName>格式问题</groupName>
      <ability>L2_HalfPunc_CN</ability>
      <abilityName>全半角检查</abilityName>
      <candidateList>
        <item>-</item>
      </candidateList>
      <explain>文本全半角错误。</explain>
      <paraID>3E8B71D8</paraID>
      <start>5</start>
      <end>6</end>
      <status>unmodified</status>
      <modifiedWord/>
      <trackRevisions>false</trackRevisions>
    </reviewItem>
    <reviewItem>
      <errorID>331194c0-304a-4c81-a3f7-5879dfd5db8b</errorID>
      <errorWord>（</errorWord>
      <group>L1_Punc</group>
      <groupName>标点问题</groupName>
      <ability>L2_Punc_CN</ability>
      <abilityName>标点符号检查</abilityName>
      <candidateList/>
      <explain>同一形式括号套用。</explain>
      <paraID>779935A9</paraID>
      <start>40</start>
      <end>41</end>
      <status>unmodified</status>
      <modifiedWord/>
      <trackRevisions>false</trackRevisions>
    </reviewItem>
    <reviewItem>
      <errorID>349fcd5f-e68e-4a11-b7c2-527d8a508ab1</errorID>
      <errorWord>）</errorWord>
      <group>L1_Punc</group>
      <groupName>标点问题</groupName>
      <ability>L2_Punc_CN</ability>
      <abilityName>标点符号检查</abilityName>
      <candidateList/>
      <explain>同一形式括号套用。</explain>
      <paraID>779935A9</paraID>
      <start>43</start>
      <end>44</end>
      <status>unmodified</status>
      <modifiedWord/>
      <trackRevisions>false</trackRevisions>
    </reviewItem>
    <reviewItem>
      <errorID>781c1b00-aad3-44bb-86b2-8266efa32844</errorID>
      <errorWord>/）</errorWord>
      <group>L1_Punc</group>
      <groupName>标点问题</groupName>
      <ability>L2_Punc_CN</ability>
      <abilityName>标点符号检查</abilityName>
      <candidateList>
        <item>）</item>
      </candidateList>
      <explain/>
      <paraID>1CC60B26</paraID>
      <start>98</start>
      <end>100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af99c8-8c2c-4e88-9ac6-ecf81a0a5ad0}">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1298</Words>
  <Characters>1370</Characters>
  <Lines>0</Lines>
  <Paragraphs>0</Paragraphs>
  <TotalTime>8</TotalTime>
  <ScaleCrop>false</ScaleCrop>
  <LinksUpToDate>false</LinksUpToDate>
  <CharactersWithSpaces>1370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2026-07-21T03:24:00Z</dcterms:created>
  <dc:creator>^</dc:creator>
  <cp:lastModifiedBy>Administrator</cp:lastModifiedBy>
  <cp:lastPrinted>2026-07-24T06:42:10Z</cp:lastPrinted>
  <dcterms:modified xsi:type="dcterms:W3CDTF">2026-07-24T06:42:48Z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1B19A3BFEE87455E96064D717E8901E1_11</vt:lpwstr>
  </property>
  <property fmtid="{D5CDD505-2E9C-101B-9397-08002B2CF9AE}" pid="4" name="KSOTemplateDocerSaveRecord">
    <vt:lpwstr>eyJoZGlkIjoiZTVkZDY0NDdhNjUwNjRkNmE4NjIxZjI2YzkwOTdmNWMiLCJ1c2VySWQiOiIzNzEwNDYxNDgifQ==</vt:lpwstr>
  </property>
</Properties>
</file>