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3"/>
        <w:tblpPr w:leftFromText="180" w:rightFromText="180" w:vertAnchor="page" w:horzAnchor="page" w:tblpX="1139" w:tblpY="1458"/>
        <w:tblOverlap w:val="never"/>
        <w:tblW w:w="0" w:type="auto"/>
        <w:tblInd w:w="0" w:type="dxa"/>
        <w:tblBorders>
          <w:top w:val="none" w:color="auto" w:sz="0" w:space="0"/>
          <w:left w:val="none" w:color="auto" w:sz="0" w:space="0"/>
          <w:bottom w:val="thinThickMediumGap" w:color="FF0000" w:sz="24" w:space="0"/>
          <w:right w:val="none" w:color="auto" w:sz="0" w:space="0"/>
          <w:insideH w:val="thinThickMediumGap" w:color="FF0000" w:sz="24" w:space="0"/>
          <w:insideV w:val="thinThickMediumGap" w:color="FF0000" w:sz="24" w:space="0"/>
        </w:tblBorders>
        <w:tblLayout w:type="fixed"/>
        <w:tblCellMar>
          <w:top w:w="0" w:type="dxa"/>
          <w:left w:w="108" w:type="dxa"/>
          <w:bottom w:w="0" w:type="dxa"/>
          <w:right w:w="108" w:type="dxa"/>
        </w:tblCellMar>
      </w:tblPr>
      <w:tblGrid>
        <w:gridCol w:w="9639"/>
      </w:tblGrid>
      <w:tr>
        <w:tblPrEx>
          <w:tblBorders>
            <w:top w:val="none" w:color="auto" w:sz="0" w:space="0"/>
            <w:left w:val="none" w:color="auto" w:sz="0" w:space="0"/>
            <w:bottom w:val="thinThickMediumGap" w:color="FF0000" w:sz="24" w:space="0"/>
            <w:right w:val="none" w:color="auto" w:sz="0" w:space="0"/>
            <w:insideH w:val="thinThickMediumGap" w:color="FF0000" w:sz="24" w:space="0"/>
            <w:insideV w:val="thinThickMediumGap" w:color="FF0000" w:sz="24" w:space="0"/>
          </w:tblBorders>
          <w:tblCellMar>
            <w:top w:w="0" w:type="dxa"/>
            <w:left w:w="108" w:type="dxa"/>
            <w:bottom w:w="0" w:type="dxa"/>
            <w:right w:w="108" w:type="dxa"/>
          </w:tblCellMar>
        </w:tblPrEx>
        <w:trPr>
          <w:trHeight w:val="558" w:hRule="atLeast"/>
        </w:trPr>
        <w:tc>
          <w:tcPr>
            <w:tcW w:w="9639" w:type="dxa"/>
            <w:noWrap w:val="0"/>
            <w:tcMar>
              <w:left w:w="0" w:type="dxa"/>
              <w:right w:w="0" w:type="dxa"/>
            </w:tcMar>
            <w:vAlign w:val="top"/>
          </w:tcPr>
          <w:p>
            <w:pPr>
              <w:pStyle w:val="11"/>
              <w:rPr>
                <w:rFonts w:hint="eastAsia" w:ascii="方正小标宋_GBK" w:eastAsia="方正小标宋_GBK"/>
                <w:color w:val="FF0000"/>
                <w:sz w:val="66"/>
                <w:szCs w:val="66"/>
              </w:rPr>
            </w:pPr>
            <w:r>
              <w:rPr>
                <w:rFonts w:hint="eastAsia" w:ascii="方正小标宋_GBK" w:hAnsi="文星标宋" w:eastAsia="方正小标宋_GBK"/>
                <w:color w:val="FF0000"/>
                <w:w w:val="88"/>
                <w:position w:val="6"/>
                <w:sz w:val="80"/>
                <w:szCs w:val="80"/>
              </w:rPr>
              <w:t>青岛市人力资源和社会保障局</w:t>
            </w:r>
          </w:p>
        </w:tc>
      </w:tr>
    </w:tbl>
    <w:p>
      <w:pPr>
        <w:spacing w:line="540" w:lineRule="exact"/>
        <w:jc w:val="center"/>
        <w:rPr>
          <w:rFonts w:hint="eastAsia" w:ascii="文星标宋" w:hAnsi="文星标宋" w:eastAsia="文星标宋"/>
          <w:bCs/>
          <w:sz w:val="44"/>
        </w:rPr>
      </w:pPr>
    </w:p>
    <w:p>
      <w:pPr>
        <w:pStyle w:val="2"/>
        <w:widowControl/>
        <w:spacing w:before="0" w:beforeAutospacing="0" w:after="0" w:afterAutospacing="0" w:line="580" w:lineRule="exact"/>
        <w:jc w:val="center"/>
        <w:rPr>
          <w:rFonts w:ascii="方正小标宋_GBK" w:hAnsi="方正小标宋_GBK" w:eastAsia="方正小标宋_GBK" w:cs="方正小标宋_GBK"/>
          <w:b w:val="0"/>
          <w:bCs w:val="0"/>
          <w:color w:val="000000"/>
          <w:sz w:val="44"/>
          <w:szCs w:val="44"/>
        </w:rPr>
      </w:pPr>
      <w:bookmarkStart w:id="0" w:name="OLE_LINK2"/>
      <w:r>
        <w:rPr>
          <w:rFonts w:ascii="方正小标宋_GBK" w:hAnsi="方正小标宋_GBK" w:eastAsia="方正小标宋_GBK" w:cs="方正小标宋_GBK"/>
          <w:b w:val="0"/>
          <w:bCs w:val="0"/>
          <w:color w:val="000000"/>
          <w:sz w:val="44"/>
          <w:szCs w:val="44"/>
        </w:rPr>
        <w:t>青岛市人力资源和社会保障局</w:t>
      </w:r>
    </w:p>
    <w:p>
      <w:pPr>
        <w:pStyle w:val="2"/>
        <w:widowControl/>
        <w:spacing w:before="0" w:beforeAutospacing="0" w:after="0" w:afterAutospacing="0" w:line="580" w:lineRule="exact"/>
        <w:jc w:val="center"/>
        <w:rPr>
          <w:rFonts w:ascii="方正小标宋_GBK" w:hAnsi="方正小标宋_GBK" w:eastAsia="方正小标宋_GBK" w:cs="方正小标宋_GBK"/>
          <w:b w:val="0"/>
          <w:bCs w:val="0"/>
          <w:color w:val="000000"/>
          <w:sz w:val="44"/>
          <w:szCs w:val="44"/>
        </w:rPr>
      </w:pPr>
      <w:r>
        <w:rPr>
          <w:rFonts w:ascii="方正小标宋_GBK" w:hAnsi="方正小标宋_GBK" w:eastAsia="方正小标宋_GBK" w:cs="方正小标宋_GBK"/>
          <w:b w:val="0"/>
          <w:bCs w:val="0"/>
          <w:color w:val="000000"/>
          <w:sz w:val="44"/>
          <w:szCs w:val="44"/>
        </w:rPr>
        <w:t>关于</w:t>
      </w:r>
      <w:r>
        <w:rPr>
          <w:rFonts w:ascii="方正小标宋_GBK" w:hAnsi="方正小标宋简体" w:eastAsia="方正小标宋_GBK" w:cs="方正小标宋简体"/>
          <w:b w:val="0"/>
          <w:bCs w:val="0"/>
          <w:kern w:val="0"/>
          <w:sz w:val="44"/>
          <w:szCs w:val="44"/>
        </w:rPr>
        <w:t>2026年下半年计算机技术与软件专业技术资格（水平）</w:t>
      </w:r>
      <w:r>
        <w:rPr>
          <w:rFonts w:ascii="方正小标宋_GBK" w:hAnsi="方正小标宋_GBK" w:eastAsia="方正小标宋_GBK" w:cs="方正小标宋_GBK"/>
          <w:b w:val="0"/>
          <w:bCs w:val="0"/>
          <w:color w:val="000000"/>
          <w:sz w:val="44"/>
          <w:szCs w:val="44"/>
        </w:rPr>
        <w:t>考试工作有关问题的通知</w:t>
      </w:r>
    </w:p>
    <w:bookmarkEnd w:id="0"/>
    <w:p>
      <w:pPr>
        <w:pStyle w:val="12"/>
        <w:widowControl/>
        <w:spacing w:before="0" w:beforeAutospacing="0" w:after="0" w:afterAutospacing="0" w:line="580" w:lineRule="exact"/>
        <w:rPr>
          <w:rFonts w:ascii="仿宋_GB2312" w:hAnsi="Calibri"/>
          <w:kern w:val="2"/>
          <w:sz w:val="32"/>
        </w:rPr>
      </w:pPr>
    </w:p>
    <w:p>
      <w:pPr>
        <w:pStyle w:val="12"/>
        <w:widowControl/>
        <w:spacing w:before="0" w:beforeAutospacing="0" w:after="0" w:afterAutospacing="0" w:line="580" w:lineRule="exact"/>
        <w:rPr>
          <w:rFonts w:ascii="仿宋_GB2312" w:hAnsi="Calibri"/>
          <w:kern w:val="2"/>
          <w:sz w:val="32"/>
        </w:rPr>
      </w:pPr>
      <w:r>
        <w:rPr>
          <w:rFonts w:hint="eastAsia" w:ascii="仿宋_GB2312" w:hAnsi="Calibri"/>
          <w:kern w:val="2"/>
          <w:sz w:val="32"/>
        </w:rPr>
        <w:t>各有关单位：</w:t>
      </w:r>
    </w:p>
    <w:p>
      <w:pPr>
        <w:pStyle w:val="12"/>
        <w:widowControl/>
        <w:spacing w:before="0" w:beforeAutospacing="0" w:after="0" w:afterAutospacing="0" w:line="580" w:lineRule="exact"/>
        <w:ind w:firstLine="632" w:firstLineChars="200"/>
        <w:jc w:val="both"/>
        <w:rPr>
          <w:rFonts w:hint="eastAsia" w:ascii="仿宋_GB2312" w:hAnsi="Calibri"/>
          <w:kern w:val="2"/>
          <w:sz w:val="32"/>
        </w:rPr>
      </w:pPr>
      <w:bookmarkStart w:id="1" w:name="OLE_LINK1"/>
      <w:r>
        <w:rPr>
          <w:rFonts w:hint="eastAsia" w:ascii="仿宋_GB2312" w:hAnsi="Calibri"/>
          <w:kern w:val="2"/>
          <w:sz w:val="32"/>
        </w:rPr>
        <w:t>根据山东省人事考试中心《</w:t>
      </w:r>
      <w:r>
        <w:rPr>
          <w:rFonts w:hint="eastAsia" w:ascii="仿宋_GB2312" w:hAnsi="Calibri"/>
          <w:bCs/>
          <w:kern w:val="2"/>
          <w:sz w:val="32"/>
        </w:rPr>
        <w:t>关于2026年下半年计算机技术与软件专业技术资格（水平）考试考务工作有关问题的通知</w:t>
      </w:r>
      <w:r>
        <w:rPr>
          <w:rFonts w:hint="eastAsia" w:ascii="仿宋_GB2312" w:hAnsi="Calibri"/>
          <w:kern w:val="2"/>
          <w:sz w:val="32"/>
        </w:rPr>
        <w:t>》（鲁人考函〔2026〕25号）文件要求</w:t>
      </w:r>
      <w:bookmarkEnd w:id="1"/>
      <w:r>
        <w:rPr>
          <w:rFonts w:hint="eastAsia" w:ascii="仿宋_GB2312" w:hAnsi="Calibri"/>
          <w:kern w:val="2"/>
          <w:sz w:val="32"/>
        </w:rPr>
        <w:t>，结合我市实际，现将</w:t>
      </w:r>
      <w:r>
        <w:rPr>
          <w:rFonts w:hint="eastAsia" w:ascii="仿宋_GB2312" w:hAnsi="Calibri"/>
          <w:bCs/>
          <w:kern w:val="2"/>
          <w:sz w:val="32"/>
        </w:rPr>
        <w:t>2026年下</w:t>
      </w:r>
      <w:r>
        <w:rPr>
          <w:rFonts w:ascii="仿宋_GB2312" w:hAnsi="Calibri"/>
          <w:bCs/>
          <w:kern w:val="2"/>
          <w:sz w:val="32"/>
        </w:rPr>
        <w:t>半年</w:t>
      </w:r>
      <w:r>
        <w:rPr>
          <w:rFonts w:hint="eastAsia" w:ascii="仿宋_GB2312" w:hAnsi="Calibri"/>
          <w:bCs/>
          <w:kern w:val="2"/>
          <w:sz w:val="32"/>
        </w:rPr>
        <w:t>计算机技术与软件专业技术资格（水平）考试</w:t>
      </w:r>
      <w:r>
        <w:rPr>
          <w:rFonts w:hint="eastAsia" w:ascii="仿宋_GB2312" w:hAnsi="Calibri"/>
          <w:kern w:val="2"/>
          <w:sz w:val="32"/>
        </w:rPr>
        <w:t>（以下简称“计算机软件资格考试”）工作有关问题通知如下：</w:t>
      </w:r>
    </w:p>
    <w:p>
      <w:pPr>
        <w:pStyle w:val="12"/>
        <w:widowControl/>
        <w:spacing w:before="0" w:beforeAutospacing="0" w:after="0" w:afterAutospacing="0" w:line="580" w:lineRule="exact"/>
        <w:ind w:firstLine="632" w:firstLineChars="200"/>
        <w:rPr>
          <w:rFonts w:hint="eastAsia" w:ascii="仿宋_GB2312" w:hAnsi="仿宋_GB2312" w:cs="仿宋_GB2312"/>
          <w:color w:val="282828"/>
          <w:sz w:val="32"/>
        </w:rPr>
      </w:pPr>
      <w:r>
        <w:rPr>
          <w:rFonts w:hint="eastAsia" w:ascii="黑体" w:hAnsi="黑体" w:eastAsia="黑体" w:cs="黑体"/>
          <w:color w:val="282828"/>
          <w:sz w:val="32"/>
        </w:rPr>
        <w:t>一、考试时间及科目设置</w:t>
      </w:r>
    </w:p>
    <w:p>
      <w:pPr>
        <w:spacing w:line="580" w:lineRule="exact"/>
        <w:ind w:firstLine="632" w:firstLineChars="200"/>
        <w:rPr>
          <w:rFonts w:ascii="仿宋_GB2312"/>
        </w:rPr>
      </w:pPr>
      <w:r>
        <w:rPr>
          <w:rFonts w:hint="eastAsia" w:ascii="仿宋_GB2312"/>
        </w:rPr>
        <w:t>2</w:t>
      </w:r>
      <w:r>
        <w:rPr>
          <w:rFonts w:ascii="仿宋_GB2312"/>
        </w:rPr>
        <w:t>02</w:t>
      </w:r>
      <w:r>
        <w:rPr>
          <w:rFonts w:hint="eastAsia" w:ascii="仿宋_GB2312"/>
        </w:rPr>
        <w:t>6年度</w:t>
      </w:r>
      <w:r>
        <w:rPr>
          <w:rFonts w:ascii="仿宋_GB2312"/>
        </w:rPr>
        <w:t>计算机软件资格考试</w:t>
      </w:r>
      <w:r>
        <w:rPr>
          <w:rFonts w:hint="eastAsia" w:ascii="仿宋_GB2312"/>
        </w:rPr>
        <w:t>（</w:t>
      </w:r>
      <w:r>
        <w:rPr>
          <w:rFonts w:ascii="仿宋_GB2312"/>
        </w:rPr>
        <w:t>初级、中级、高级）</w:t>
      </w:r>
      <w:r>
        <w:rPr>
          <w:rFonts w:hint="eastAsia" w:ascii="仿宋_GB2312"/>
        </w:rPr>
        <w:t>采用电子</w:t>
      </w:r>
      <w:r>
        <w:rPr>
          <w:rFonts w:ascii="仿宋_GB2312"/>
        </w:rPr>
        <w:t>化考试</w:t>
      </w:r>
      <w:r>
        <w:rPr>
          <w:rFonts w:hint="eastAsia" w:ascii="仿宋_GB2312"/>
        </w:rPr>
        <w:t>方式。下半年考试日期及专业设置为：</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9"/>
        <w:gridCol w:w="2296"/>
        <w:gridCol w:w="2603"/>
        <w:gridCol w:w="2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29" w:type="dxa"/>
            <w:vMerge w:val="restart"/>
            <w:noWrap w:val="0"/>
            <w:vAlign w:val="center"/>
          </w:tcPr>
          <w:p>
            <w:pPr>
              <w:spacing w:line="300" w:lineRule="exact"/>
              <w:jc w:val="center"/>
              <w:rPr>
                <w:rFonts w:hint="eastAsia" w:ascii="黑体" w:hAnsi="黑体" w:eastAsia="黑体"/>
                <w:sz w:val="24"/>
                <w:szCs w:val="24"/>
              </w:rPr>
            </w:pPr>
            <w:r>
              <w:rPr>
                <w:rFonts w:hint="eastAsia" w:ascii="黑体" w:hAnsi="黑体" w:eastAsia="黑体"/>
                <w:sz w:val="24"/>
                <w:szCs w:val="24"/>
              </w:rPr>
              <w:t>考试</w:t>
            </w:r>
            <w:r>
              <w:rPr>
                <w:rFonts w:ascii="黑体" w:hAnsi="黑体" w:eastAsia="黑体"/>
                <w:sz w:val="24"/>
                <w:szCs w:val="24"/>
              </w:rPr>
              <w:t>日期</w:t>
            </w:r>
          </w:p>
        </w:tc>
        <w:tc>
          <w:tcPr>
            <w:tcW w:w="7005" w:type="dxa"/>
            <w:gridSpan w:val="3"/>
            <w:noWrap w:val="0"/>
            <w:vAlign w:val="center"/>
          </w:tcPr>
          <w:p>
            <w:pPr>
              <w:spacing w:line="300" w:lineRule="exact"/>
              <w:jc w:val="center"/>
              <w:rPr>
                <w:rFonts w:hint="eastAsia" w:ascii="黑体" w:hAnsi="黑体" w:eastAsia="黑体"/>
                <w:sz w:val="24"/>
                <w:szCs w:val="24"/>
              </w:rPr>
            </w:pPr>
            <w:r>
              <w:rPr>
                <w:rFonts w:hint="eastAsia" w:ascii="黑体" w:hAnsi="黑体" w:eastAsia="黑体"/>
                <w:sz w:val="24"/>
                <w:szCs w:val="24"/>
              </w:rPr>
              <w:t>考试</w:t>
            </w:r>
            <w:r>
              <w:rPr>
                <w:rFonts w:ascii="黑体" w:hAnsi="黑体" w:eastAsia="黑体"/>
                <w:sz w:val="24"/>
                <w:szCs w:val="24"/>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29" w:type="dxa"/>
            <w:vMerge w:val="continue"/>
            <w:noWrap w:val="0"/>
            <w:vAlign w:val="center"/>
          </w:tcPr>
          <w:p>
            <w:pPr>
              <w:spacing w:line="300" w:lineRule="exact"/>
              <w:jc w:val="center"/>
              <w:rPr>
                <w:rFonts w:ascii="仿宋_GB2312"/>
                <w:sz w:val="24"/>
                <w:szCs w:val="24"/>
              </w:rPr>
            </w:pPr>
          </w:p>
        </w:tc>
        <w:tc>
          <w:tcPr>
            <w:tcW w:w="2296" w:type="dxa"/>
            <w:noWrap w:val="0"/>
            <w:vAlign w:val="center"/>
          </w:tcPr>
          <w:p>
            <w:pPr>
              <w:spacing w:line="300" w:lineRule="exact"/>
              <w:jc w:val="center"/>
              <w:rPr>
                <w:rFonts w:hint="eastAsia" w:ascii="宋体" w:hAnsi="宋体" w:eastAsia="宋体"/>
                <w:b/>
                <w:sz w:val="21"/>
                <w:szCs w:val="21"/>
              </w:rPr>
            </w:pPr>
            <w:r>
              <w:rPr>
                <w:rFonts w:hint="eastAsia" w:ascii="宋体" w:hAnsi="宋体" w:eastAsia="宋体"/>
                <w:b/>
                <w:sz w:val="21"/>
                <w:szCs w:val="21"/>
              </w:rPr>
              <w:t>高级</w:t>
            </w:r>
          </w:p>
        </w:tc>
        <w:tc>
          <w:tcPr>
            <w:tcW w:w="2603" w:type="dxa"/>
            <w:noWrap w:val="0"/>
            <w:vAlign w:val="center"/>
          </w:tcPr>
          <w:p>
            <w:pPr>
              <w:spacing w:line="300" w:lineRule="exact"/>
              <w:jc w:val="center"/>
              <w:rPr>
                <w:rFonts w:hint="eastAsia" w:ascii="宋体" w:hAnsi="宋体" w:eastAsia="宋体"/>
                <w:b/>
                <w:sz w:val="21"/>
                <w:szCs w:val="21"/>
              </w:rPr>
            </w:pPr>
            <w:r>
              <w:rPr>
                <w:rFonts w:hint="eastAsia" w:ascii="宋体" w:hAnsi="宋体" w:eastAsia="宋体"/>
                <w:b/>
                <w:sz w:val="21"/>
                <w:szCs w:val="21"/>
              </w:rPr>
              <w:t>中</w:t>
            </w:r>
            <w:r>
              <w:rPr>
                <w:rFonts w:ascii="宋体" w:hAnsi="宋体" w:eastAsia="宋体"/>
                <w:b/>
                <w:sz w:val="21"/>
                <w:szCs w:val="21"/>
              </w:rPr>
              <w:t>级</w:t>
            </w:r>
          </w:p>
        </w:tc>
        <w:tc>
          <w:tcPr>
            <w:tcW w:w="2106" w:type="dxa"/>
            <w:noWrap w:val="0"/>
            <w:vAlign w:val="center"/>
          </w:tcPr>
          <w:p>
            <w:pPr>
              <w:spacing w:line="300" w:lineRule="exact"/>
              <w:jc w:val="center"/>
              <w:rPr>
                <w:rFonts w:hint="eastAsia" w:ascii="宋体" w:hAnsi="宋体" w:eastAsia="宋体"/>
                <w:b/>
                <w:sz w:val="21"/>
                <w:szCs w:val="21"/>
              </w:rPr>
            </w:pPr>
            <w:r>
              <w:rPr>
                <w:rFonts w:hint="eastAsia" w:ascii="宋体" w:hAnsi="宋体" w:eastAsia="宋体"/>
                <w:b/>
                <w:sz w:val="21"/>
                <w:szCs w:val="21"/>
              </w:rPr>
              <w:t>初</w:t>
            </w:r>
            <w:r>
              <w:rPr>
                <w:rFonts w:ascii="宋体" w:hAnsi="宋体" w:eastAsia="宋体"/>
                <w:b/>
                <w:sz w:val="21"/>
                <w:szCs w:val="21"/>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29" w:type="dxa"/>
            <w:vMerge w:val="restart"/>
            <w:noWrap w:val="0"/>
            <w:vAlign w:val="center"/>
          </w:tcPr>
          <w:p>
            <w:pPr>
              <w:spacing w:line="300" w:lineRule="exact"/>
              <w:jc w:val="center"/>
              <w:rPr>
                <w:rFonts w:ascii="仿宋_GB2312"/>
                <w:sz w:val="24"/>
                <w:szCs w:val="24"/>
              </w:rPr>
            </w:pPr>
            <w:r>
              <w:rPr>
                <w:rFonts w:ascii="仿宋_GB2312"/>
                <w:sz w:val="24"/>
                <w:szCs w:val="24"/>
              </w:rPr>
              <w:t>10</w:t>
            </w:r>
            <w:r>
              <w:rPr>
                <w:rFonts w:hint="eastAsia" w:ascii="仿宋_GB2312"/>
                <w:sz w:val="24"/>
                <w:szCs w:val="24"/>
              </w:rPr>
              <w:t>月2</w:t>
            </w:r>
            <w:r>
              <w:rPr>
                <w:rFonts w:ascii="仿宋_GB2312"/>
                <w:sz w:val="24"/>
                <w:szCs w:val="24"/>
              </w:rPr>
              <w:t>4</w:t>
            </w:r>
            <w:r>
              <w:rPr>
                <w:rFonts w:hint="eastAsia" w:ascii="仿宋_GB2312"/>
                <w:sz w:val="24"/>
                <w:szCs w:val="24"/>
              </w:rPr>
              <w:t>、2</w:t>
            </w:r>
            <w:r>
              <w:rPr>
                <w:rFonts w:ascii="仿宋_GB2312"/>
                <w:sz w:val="24"/>
                <w:szCs w:val="24"/>
              </w:rPr>
              <w:t>5</w:t>
            </w:r>
            <w:r>
              <w:rPr>
                <w:rFonts w:hint="eastAsia" w:ascii="仿宋_GB2312"/>
                <w:sz w:val="24"/>
                <w:szCs w:val="24"/>
              </w:rPr>
              <w:t>日</w:t>
            </w:r>
          </w:p>
        </w:tc>
        <w:tc>
          <w:tcPr>
            <w:tcW w:w="2296" w:type="dxa"/>
            <w:noWrap w:val="0"/>
            <w:vAlign w:val="center"/>
          </w:tcPr>
          <w:p>
            <w:pPr>
              <w:spacing w:line="300" w:lineRule="exact"/>
              <w:jc w:val="center"/>
              <w:rPr>
                <w:rFonts w:ascii="仿宋_GB2312"/>
                <w:sz w:val="21"/>
                <w:szCs w:val="21"/>
              </w:rPr>
            </w:pPr>
            <w:r>
              <w:rPr>
                <w:rFonts w:ascii="仿宋_GB2312"/>
                <w:sz w:val="21"/>
                <w:szCs w:val="21"/>
              </w:rPr>
              <w:t>系统</w:t>
            </w:r>
            <w:r>
              <w:rPr>
                <w:rFonts w:hint="eastAsia" w:ascii="仿宋_GB2312"/>
                <w:sz w:val="21"/>
                <w:szCs w:val="21"/>
              </w:rPr>
              <w:t>分析</w:t>
            </w:r>
            <w:r>
              <w:rPr>
                <w:rFonts w:ascii="仿宋_GB2312"/>
                <w:sz w:val="21"/>
                <w:szCs w:val="21"/>
              </w:rPr>
              <w:t>师</w:t>
            </w:r>
          </w:p>
        </w:tc>
        <w:tc>
          <w:tcPr>
            <w:tcW w:w="2603" w:type="dxa"/>
            <w:noWrap w:val="0"/>
            <w:vAlign w:val="center"/>
          </w:tcPr>
          <w:p>
            <w:pPr>
              <w:spacing w:line="300" w:lineRule="exact"/>
              <w:jc w:val="center"/>
              <w:rPr>
                <w:rFonts w:ascii="仿宋_GB2312"/>
                <w:sz w:val="21"/>
                <w:szCs w:val="21"/>
              </w:rPr>
            </w:pPr>
            <w:r>
              <w:rPr>
                <w:rFonts w:ascii="仿宋_GB2312"/>
                <w:sz w:val="21"/>
                <w:szCs w:val="21"/>
              </w:rPr>
              <w:t>软件设计师</w:t>
            </w:r>
          </w:p>
        </w:tc>
        <w:tc>
          <w:tcPr>
            <w:tcW w:w="2106" w:type="dxa"/>
            <w:noWrap w:val="0"/>
            <w:vAlign w:val="center"/>
          </w:tcPr>
          <w:p>
            <w:pPr>
              <w:spacing w:line="300" w:lineRule="exact"/>
              <w:jc w:val="center"/>
              <w:rPr>
                <w:rFonts w:ascii="仿宋_GB2312"/>
                <w:sz w:val="21"/>
                <w:szCs w:val="21"/>
              </w:rPr>
            </w:pPr>
            <w:r>
              <w:rPr>
                <w:rFonts w:hint="eastAsia" w:ascii="仿宋_GB2312"/>
                <w:sz w:val="21"/>
                <w:szCs w:val="21"/>
              </w:rPr>
              <w:t>程序员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29" w:type="dxa"/>
            <w:vMerge w:val="continue"/>
            <w:noWrap w:val="0"/>
            <w:vAlign w:val="center"/>
          </w:tcPr>
          <w:p>
            <w:pPr>
              <w:spacing w:line="300" w:lineRule="exact"/>
              <w:jc w:val="center"/>
              <w:rPr>
                <w:rFonts w:ascii="仿宋_GB2312"/>
                <w:sz w:val="28"/>
                <w:szCs w:val="28"/>
              </w:rPr>
            </w:pPr>
          </w:p>
        </w:tc>
        <w:tc>
          <w:tcPr>
            <w:tcW w:w="2296" w:type="dxa"/>
            <w:noWrap w:val="0"/>
            <w:vAlign w:val="center"/>
          </w:tcPr>
          <w:p>
            <w:pPr>
              <w:spacing w:line="300" w:lineRule="exact"/>
              <w:jc w:val="center"/>
              <w:rPr>
                <w:rFonts w:ascii="仿宋_GB2312"/>
                <w:sz w:val="21"/>
                <w:szCs w:val="21"/>
              </w:rPr>
            </w:pPr>
            <w:r>
              <w:rPr>
                <w:rFonts w:ascii="仿宋_GB2312"/>
                <w:sz w:val="21"/>
                <w:szCs w:val="21"/>
              </w:rPr>
              <w:t>系统</w:t>
            </w:r>
            <w:r>
              <w:rPr>
                <w:rFonts w:hint="eastAsia" w:ascii="仿宋_GB2312"/>
                <w:sz w:val="21"/>
                <w:szCs w:val="21"/>
              </w:rPr>
              <w:t>架构设计</w:t>
            </w:r>
            <w:r>
              <w:rPr>
                <w:rFonts w:ascii="仿宋_GB2312"/>
                <w:sz w:val="21"/>
                <w:szCs w:val="21"/>
              </w:rPr>
              <w:t>师</w:t>
            </w:r>
          </w:p>
        </w:tc>
        <w:tc>
          <w:tcPr>
            <w:tcW w:w="2603" w:type="dxa"/>
            <w:noWrap w:val="0"/>
            <w:vAlign w:val="center"/>
          </w:tcPr>
          <w:p>
            <w:pPr>
              <w:spacing w:line="300" w:lineRule="exact"/>
              <w:jc w:val="center"/>
              <w:rPr>
                <w:rFonts w:ascii="仿宋_GB2312"/>
                <w:sz w:val="21"/>
                <w:szCs w:val="21"/>
              </w:rPr>
            </w:pPr>
            <w:r>
              <w:rPr>
                <w:rFonts w:ascii="仿宋_GB2312"/>
                <w:sz w:val="21"/>
                <w:szCs w:val="21"/>
              </w:rPr>
              <w:t>网络</w:t>
            </w:r>
            <w:r>
              <w:rPr>
                <w:rFonts w:hint="eastAsia" w:ascii="仿宋_GB2312"/>
                <w:sz w:val="21"/>
                <w:szCs w:val="21"/>
              </w:rPr>
              <w:t>工程师</w:t>
            </w:r>
          </w:p>
        </w:tc>
        <w:tc>
          <w:tcPr>
            <w:tcW w:w="2106" w:type="dxa"/>
            <w:noWrap w:val="0"/>
            <w:vAlign w:val="center"/>
          </w:tcPr>
          <w:p>
            <w:pPr>
              <w:spacing w:line="300" w:lineRule="exact"/>
              <w:jc w:val="center"/>
              <w:rPr>
                <w:rFonts w:ascii="仿宋_GB2312"/>
                <w:sz w:val="21"/>
                <w:szCs w:val="21"/>
              </w:rPr>
            </w:pPr>
            <w:r>
              <w:rPr>
                <w:rFonts w:hint="eastAsia" w:ascii="仿宋_GB2312"/>
                <w:sz w:val="21"/>
                <w:szCs w:val="21"/>
              </w:rPr>
              <w:t>网络</w:t>
            </w:r>
            <w:r>
              <w:rPr>
                <w:rFonts w:ascii="仿宋_GB2312"/>
                <w:sz w:val="21"/>
                <w:szCs w:val="21"/>
              </w:rPr>
              <w:t>管理员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29" w:type="dxa"/>
            <w:vMerge w:val="continue"/>
            <w:noWrap w:val="0"/>
            <w:vAlign w:val="center"/>
          </w:tcPr>
          <w:p>
            <w:pPr>
              <w:spacing w:line="300" w:lineRule="exact"/>
              <w:jc w:val="center"/>
              <w:rPr>
                <w:rFonts w:ascii="仿宋_GB2312"/>
                <w:sz w:val="28"/>
                <w:szCs w:val="28"/>
              </w:rPr>
            </w:pPr>
          </w:p>
        </w:tc>
        <w:tc>
          <w:tcPr>
            <w:tcW w:w="2296" w:type="dxa"/>
            <w:noWrap w:val="0"/>
            <w:vAlign w:val="center"/>
          </w:tcPr>
          <w:p>
            <w:pPr>
              <w:spacing w:line="300" w:lineRule="exact"/>
              <w:jc w:val="center"/>
              <w:rPr>
                <w:rFonts w:ascii="仿宋_GB2312"/>
                <w:sz w:val="21"/>
                <w:szCs w:val="21"/>
              </w:rPr>
            </w:pPr>
            <w:r>
              <w:rPr>
                <w:rFonts w:hint="eastAsia" w:ascii="仿宋_GB2312"/>
                <w:sz w:val="21"/>
                <w:szCs w:val="21"/>
              </w:rPr>
              <w:t>网络规划</w:t>
            </w:r>
            <w:r>
              <w:rPr>
                <w:rFonts w:ascii="仿宋_GB2312"/>
                <w:sz w:val="21"/>
                <w:szCs w:val="21"/>
              </w:rPr>
              <w:t>设计师</w:t>
            </w:r>
          </w:p>
        </w:tc>
        <w:tc>
          <w:tcPr>
            <w:tcW w:w="2603" w:type="dxa"/>
            <w:noWrap w:val="0"/>
            <w:vAlign w:val="center"/>
          </w:tcPr>
          <w:p>
            <w:pPr>
              <w:spacing w:line="300" w:lineRule="exact"/>
              <w:jc w:val="center"/>
              <w:rPr>
                <w:rFonts w:ascii="仿宋_GB2312"/>
                <w:sz w:val="21"/>
                <w:szCs w:val="21"/>
              </w:rPr>
            </w:pPr>
            <w:r>
              <w:rPr>
                <w:rFonts w:hint="eastAsia" w:ascii="仿宋_GB2312"/>
                <w:sz w:val="21"/>
                <w:szCs w:val="21"/>
              </w:rPr>
              <w:t>信息安全</w:t>
            </w:r>
            <w:r>
              <w:rPr>
                <w:rFonts w:ascii="仿宋_GB2312"/>
                <w:sz w:val="21"/>
                <w:szCs w:val="21"/>
              </w:rPr>
              <w:t>工程师</w:t>
            </w:r>
          </w:p>
        </w:tc>
        <w:tc>
          <w:tcPr>
            <w:tcW w:w="2106" w:type="dxa"/>
            <w:noWrap w:val="0"/>
            <w:vAlign w:val="center"/>
          </w:tcPr>
          <w:p>
            <w:pPr>
              <w:spacing w:line="300" w:lineRule="exact"/>
              <w:jc w:val="center"/>
              <w:rPr>
                <w:rFonts w:ascii="仿宋_GB2312"/>
                <w:sz w:val="21"/>
                <w:szCs w:val="21"/>
              </w:rPr>
            </w:pPr>
            <w:r>
              <w:rPr>
                <w:rFonts w:hint="eastAsia" w:ascii="仿宋_GB2312"/>
                <w:sz w:val="21"/>
                <w:szCs w:val="21"/>
              </w:rPr>
              <w:t>信息</w:t>
            </w:r>
            <w:r>
              <w:rPr>
                <w:rFonts w:ascii="仿宋_GB2312"/>
                <w:sz w:val="21"/>
                <w:szCs w:val="21"/>
              </w:rPr>
              <w:t>处理技术员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29" w:type="dxa"/>
            <w:vMerge w:val="continue"/>
            <w:noWrap w:val="0"/>
            <w:vAlign w:val="center"/>
          </w:tcPr>
          <w:p>
            <w:pPr>
              <w:spacing w:line="300" w:lineRule="exact"/>
              <w:jc w:val="center"/>
              <w:rPr>
                <w:rFonts w:ascii="仿宋_GB2312"/>
                <w:sz w:val="28"/>
                <w:szCs w:val="28"/>
              </w:rPr>
            </w:pPr>
          </w:p>
        </w:tc>
        <w:tc>
          <w:tcPr>
            <w:tcW w:w="2296" w:type="dxa"/>
            <w:noWrap w:val="0"/>
            <w:vAlign w:val="center"/>
          </w:tcPr>
          <w:p>
            <w:pPr>
              <w:spacing w:line="300" w:lineRule="exact"/>
              <w:jc w:val="center"/>
              <w:rPr>
                <w:rFonts w:ascii="仿宋_GB2312"/>
                <w:sz w:val="21"/>
                <w:szCs w:val="21"/>
              </w:rPr>
            </w:pPr>
            <w:r>
              <w:rPr>
                <w:rFonts w:hint="eastAsia" w:ascii="仿宋_GB2312"/>
                <w:sz w:val="21"/>
                <w:szCs w:val="21"/>
              </w:rPr>
              <w:t>系统</w:t>
            </w:r>
            <w:r>
              <w:rPr>
                <w:rFonts w:ascii="仿宋_GB2312"/>
                <w:sz w:val="21"/>
                <w:szCs w:val="21"/>
              </w:rPr>
              <w:t>规划与管理师</w:t>
            </w:r>
          </w:p>
        </w:tc>
        <w:tc>
          <w:tcPr>
            <w:tcW w:w="2603" w:type="dxa"/>
            <w:noWrap w:val="0"/>
            <w:vAlign w:val="center"/>
          </w:tcPr>
          <w:p>
            <w:pPr>
              <w:spacing w:line="300" w:lineRule="exact"/>
              <w:jc w:val="center"/>
              <w:rPr>
                <w:rFonts w:ascii="仿宋_GB2312"/>
                <w:sz w:val="21"/>
                <w:szCs w:val="21"/>
              </w:rPr>
            </w:pPr>
            <w:r>
              <w:rPr>
                <w:rFonts w:hint="eastAsia" w:ascii="仿宋_GB2312"/>
                <w:sz w:val="21"/>
                <w:szCs w:val="21"/>
              </w:rPr>
              <w:t>信息系统</w:t>
            </w:r>
            <w:r>
              <w:rPr>
                <w:rFonts w:ascii="仿宋_GB2312"/>
                <w:sz w:val="21"/>
                <w:szCs w:val="21"/>
              </w:rPr>
              <w:t>管理工程师</w:t>
            </w:r>
          </w:p>
        </w:tc>
        <w:tc>
          <w:tcPr>
            <w:tcW w:w="2106" w:type="dxa"/>
            <w:noWrap w:val="0"/>
            <w:vAlign w:val="center"/>
          </w:tcPr>
          <w:p>
            <w:pPr>
              <w:spacing w:line="300" w:lineRule="exact"/>
              <w:jc w:val="center"/>
              <w:rPr>
                <w:rFonts w:ascii="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29" w:type="dxa"/>
            <w:vMerge w:val="continue"/>
            <w:noWrap w:val="0"/>
            <w:vAlign w:val="center"/>
          </w:tcPr>
          <w:p>
            <w:pPr>
              <w:spacing w:line="300" w:lineRule="exact"/>
              <w:jc w:val="center"/>
              <w:rPr>
                <w:rFonts w:ascii="仿宋_GB2312"/>
                <w:sz w:val="28"/>
                <w:szCs w:val="28"/>
              </w:rPr>
            </w:pPr>
          </w:p>
        </w:tc>
        <w:tc>
          <w:tcPr>
            <w:tcW w:w="2296" w:type="dxa"/>
            <w:noWrap w:val="0"/>
            <w:vAlign w:val="center"/>
          </w:tcPr>
          <w:p>
            <w:pPr>
              <w:spacing w:line="300" w:lineRule="exact"/>
              <w:jc w:val="center"/>
              <w:rPr>
                <w:rFonts w:ascii="仿宋_GB2312"/>
                <w:sz w:val="21"/>
                <w:szCs w:val="21"/>
              </w:rPr>
            </w:pPr>
          </w:p>
        </w:tc>
        <w:tc>
          <w:tcPr>
            <w:tcW w:w="2603" w:type="dxa"/>
            <w:noWrap w:val="0"/>
            <w:vAlign w:val="center"/>
          </w:tcPr>
          <w:p>
            <w:pPr>
              <w:spacing w:line="300" w:lineRule="exact"/>
              <w:jc w:val="center"/>
              <w:rPr>
                <w:rFonts w:ascii="仿宋_GB2312"/>
                <w:sz w:val="21"/>
                <w:szCs w:val="21"/>
              </w:rPr>
            </w:pPr>
            <w:r>
              <w:rPr>
                <w:rFonts w:hint="eastAsia" w:ascii="仿宋_GB2312"/>
                <w:sz w:val="21"/>
                <w:szCs w:val="21"/>
              </w:rPr>
              <w:t>多媒体应用</w:t>
            </w:r>
            <w:r>
              <w:rPr>
                <w:rFonts w:ascii="仿宋_GB2312"/>
                <w:sz w:val="21"/>
                <w:szCs w:val="21"/>
              </w:rPr>
              <w:t>设计师</w:t>
            </w:r>
          </w:p>
        </w:tc>
        <w:tc>
          <w:tcPr>
            <w:tcW w:w="2106" w:type="dxa"/>
            <w:noWrap w:val="0"/>
            <w:vAlign w:val="center"/>
          </w:tcPr>
          <w:p>
            <w:pPr>
              <w:spacing w:line="300" w:lineRule="exact"/>
              <w:jc w:val="center"/>
              <w:rPr>
                <w:rFonts w:ascii="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829" w:type="dxa"/>
            <w:vMerge w:val="continue"/>
            <w:noWrap w:val="0"/>
            <w:vAlign w:val="center"/>
          </w:tcPr>
          <w:p>
            <w:pPr>
              <w:spacing w:line="300" w:lineRule="exact"/>
              <w:jc w:val="center"/>
              <w:rPr>
                <w:rFonts w:ascii="仿宋_GB2312"/>
                <w:sz w:val="28"/>
                <w:szCs w:val="28"/>
              </w:rPr>
            </w:pPr>
          </w:p>
        </w:tc>
        <w:tc>
          <w:tcPr>
            <w:tcW w:w="2296" w:type="dxa"/>
            <w:noWrap w:val="0"/>
            <w:vAlign w:val="center"/>
          </w:tcPr>
          <w:p>
            <w:pPr>
              <w:spacing w:line="300" w:lineRule="exact"/>
              <w:jc w:val="center"/>
              <w:rPr>
                <w:rFonts w:ascii="仿宋_GB2312"/>
                <w:sz w:val="21"/>
                <w:szCs w:val="21"/>
              </w:rPr>
            </w:pPr>
          </w:p>
        </w:tc>
        <w:tc>
          <w:tcPr>
            <w:tcW w:w="2603" w:type="dxa"/>
            <w:noWrap w:val="0"/>
            <w:vAlign w:val="center"/>
          </w:tcPr>
          <w:p>
            <w:pPr>
              <w:spacing w:line="300" w:lineRule="exact"/>
              <w:jc w:val="center"/>
              <w:rPr>
                <w:rFonts w:ascii="仿宋_GB2312"/>
                <w:sz w:val="21"/>
                <w:szCs w:val="21"/>
              </w:rPr>
            </w:pPr>
            <w:r>
              <w:rPr>
                <w:rFonts w:hint="eastAsia" w:ascii="仿宋_GB2312"/>
                <w:sz w:val="21"/>
                <w:szCs w:val="21"/>
              </w:rPr>
              <w:t>系统集成</w:t>
            </w:r>
            <w:r>
              <w:rPr>
                <w:rFonts w:ascii="仿宋_GB2312"/>
                <w:sz w:val="21"/>
                <w:szCs w:val="21"/>
              </w:rPr>
              <w:t>项目管理工程师</w:t>
            </w:r>
          </w:p>
        </w:tc>
        <w:tc>
          <w:tcPr>
            <w:tcW w:w="2106" w:type="dxa"/>
            <w:noWrap w:val="0"/>
            <w:vAlign w:val="center"/>
          </w:tcPr>
          <w:p>
            <w:pPr>
              <w:spacing w:line="300" w:lineRule="exact"/>
              <w:jc w:val="center"/>
              <w:rPr>
                <w:rFonts w:ascii="仿宋_GB2312"/>
                <w:sz w:val="21"/>
                <w:szCs w:val="21"/>
              </w:rPr>
            </w:pPr>
          </w:p>
        </w:tc>
      </w:tr>
    </w:tbl>
    <w:p>
      <w:pPr>
        <w:spacing w:line="580" w:lineRule="exact"/>
        <w:ind w:firstLine="632" w:firstLineChars="200"/>
        <w:rPr>
          <w:rFonts w:hint="eastAsia" w:ascii="黑体" w:hAnsi="黑体" w:eastAsia="黑体"/>
        </w:rPr>
      </w:pPr>
      <w:r>
        <w:rPr>
          <w:rFonts w:hint="eastAsia" w:ascii="仿宋_GB2312"/>
        </w:rPr>
        <w:t>各级别、各资格</w:t>
      </w:r>
      <w:r>
        <w:rPr>
          <w:rFonts w:ascii="仿宋_GB2312"/>
        </w:rPr>
        <w:t>的批次划分待考试报名结束后</w:t>
      </w:r>
      <w:r>
        <w:rPr>
          <w:rFonts w:hint="eastAsia" w:ascii="仿宋_GB2312"/>
        </w:rPr>
        <w:t>由</w:t>
      </w:r>
      <w:r>
        <w:rPr>
          <w:rFonts w:ascii="仿宋_GB2312"/>
        </w:rPr>
        <w:t>国家统一确定，具体考试时间以准考证为准。</w:t>
      </w:r>
    </w:p>
    <w:p>
      <w:pPr>
        <w:spacing w:line="580" w:lineRule="exact"/>
        <w:ind w:firstLine="632" w:firstLineChars="200"/>
        <w:rPr>
          <w:rFonts w:ascii="仿宋_GB2312" w:hAnsi="华文仿宋"/>
        </w:rPr>
      </w:pPr>
      <w:r>
        <w:rPr>
          <w:rFonts w:hint="eastAsia" w:ascii="黑体" w:hAnsi="黑体" w:eastAsia="黑体"/>
        </w:rPr>
        <w:t>二、考</w:t>
      </w:r>
      <w:r>
        <w:rPr>
          <w:rFonts w:ascii="黑体" w:hAnsi="黑体" w:eastAsia="黑体"/>
        </w:rPr>
        <w:t>区设置</w:t>
      </w:r>
      <w:r>
        <w:rPr>
          <w:rFonts w:hint="eastAsia" w:ascii="黑体" w:hAnsi="黑体" w:eastAsia="黑体"/>
        </w:rPr>
        <w:t>及</w:t>
      </w:r>
      <w:r>
        <w:rPr>
          <w:rFonts w:ascii="黑体" w:hAnsi="黑体" w:eastAsia="黑体"/>
        </w:rPr>
        <w:t>考场安排</w:t>
      </w:r>
    </w:p>
    <w:p>
      <w:pPr>
        <w:spacing w:line="580" w:lineRule="exact"/>
        <w:ind w:firstLine="632" w:firstLineChars="200"/>
        <w:rPr>
          <w:rFonts w:hint="eastAsia" w:ascii="仿宋_GB2312"/>
        </w:rPr>
      </w:pPr>
      <w:r>
        <w:rPr>
          <w:rFonts w:hint="eastAsia" w:ascii="仿宋_GB2312"/>
        </w:rPr>
        <w:t>初</w:t>
      </w:r>
      <w:r>
        <w:rPr>
          <w:rFonts w:ascii="仿宋_GB2312"/>
        </w:rPr>
        <w:t>、中、高级各专业</w:t>
      </w:r>
      <w:r>
        <w:rPr>
          <w:rFonts w:hint="eastAsia" w:ascii="仿宋_GB2312"/>
        </w:rPr>
        <w:t>均在全省16市设置考区。</w:t>
      </w:r>
      <w:r>
        <w:rPr>
          <w:rFonts w:hint="eastAsia" w:ascii="仿宋_GB2312" w:cs="微软雅黑"/>
          <w:kern w:val="0"/>
          <w:lang w:val="zh-CN"/>
        </w:rPr>
        <w:t>考场</w:t>
      </w:r>
      <w:r>
        <w:rPr>
          <w:rFonts w:ascii="仿宋_GB2312" w:cs="微软雅黑"/>
          <w:kern w:val="0"/>
          <w:lang w:val="zh-CN"/>
        </w:rPr>
        <w:t>由</w:t>
      </w:r>
      <w:r>
        <w:rPr>
          <w:rFonts w:hint="eastAsia" w:ascii="仿宋_GB2312" w:cs="微软雅黑"/>
          <w:kern w:val="0"/>
          <w:lang w:val="zh-CN"/>
        </w:rPr>
        <w:t>国</w:t>
      </w:r>
      <w:r>
        <w:rPr>
          <w:rFonts w:ascii="仿宋_GB2312" w:cs="微软雅黑"/>
          <w:kern w:val="0"/>
          <w:lang w:val="zh-CN"/>
        </w:rPr>
        <w:t>家考务</w:t>
      </w:r>
      <w:r>
        <w:rPr>
          <w:rFonts w:hint="eastAsia" w:ascii="仿宋_GB2312" w:cs="微软雅黑"/>
          <w:kern w:val="0"/>
          <w:lang w:val="zh-CN"/>
        </w:rPr>
        <w:t>管理</w:t>
      </w:r>
      <w:r>
        <w:rPr>
          <w:rFonts w:ascii="仿宋_GB2312" w:cs="微软雅黑"/>
          <w:kern w:val="0"/>
          <w:lang w:val="zh-CN"/>
        </w:rPr>
        <w:t>系统随机</w:t>
      </w:r>
      <w:r>
        <w:rPr>
          <w:rFonts w:hint="eastAsia" w:ascii="仿宋_GB2312" w:cs="微软雅黑"/>
          <w:kern w:val="0"/>
          <w:lang w:val="zh-CN"/>
        </w:rPr>
        <w:t>编排，具体</w:t>
      </w:r>
      <w:r>
        <w:rPr>
          <w:rFonts w:ascii="仿宋_GB2312" w:cs="微软雅黑"/>
          <w:kern w:val="0"/>
          <w:lang w:val="zh-CN"/>
        </w:rPr>
        <w:t>安排</w:t>
      </w:r>
      <w:r>
        <w:rPr>
          <w:rFonts w:hint="eastAsia" w:ascii="仿宋_GB2312" w:cs="微软雅黑"/>
          <w:kern w:val="0"/>
          <w:lang w:val="zh-CN"/>
        </w:rPr>
        <w:t>情况</w:t>
      </w:r>
      <w:r>
        <w:rPr>
          <w:rFonts w:ascii="仿宋_GB2312" w:cs="微软雅黑"/>
          <w:kern w:val="0"/>
          <w:lang w:val="zh-CN"/>
        </w:rPr>
        <w:t>以准考证为准</w:t>
      </w:r>
      <w:r>
        <w:rPr>
          <w:rFonts w:hint="eastAsia" w:ascii="仿宋_GB2312" w:cs="微软雅黑"/>
          <w:kern w:val="0"/>
          <w:lang w:val="zh-CN"/>
        </w:rPr>
        <w:t>。</w:t>
      </w:r>
    </w:p>
    <w:p>
      <w:pPr>
        <w:pStyle w:val="12"/>
        <w:widowControl/>
        <w:spacing w:before="0" w:beforeAutospacing="0" w:after="0" w:afterAutospacing="0" w:line="580" w:lineRule="exact"/>
        <w:ind w:firstLine="632" w:firstLineChars="200"/>
        <w:jc w:val="both"/>
        <w:rPr>
          <w:rFonts w:hint="eastAsia" w:ascii="黑体" w:hAnsi="黑体" w:eastAsia="黑体" w:cs="黑体"/>
          <w:color w:val="282828"/>
          <w:sz w:val="32"/>
        </w:rPr>
      </w:pPr>
      <w:r>
        <w:rPr>
          <w:rFonts w:hint="eastAsia" w:ascii="黑体" w:hAnsi="黑体" w:eastAsia="黑体" w:cs="黑体"/>
          <w:color w:val="282828"/>
          <w:sz w:val="32"/>
        </w:rPr>
        <w:t>三、报名条件</w:t>
      </w:r>
    </w:p>
    <w:p>
      <w:pPr>
        <w:tabs>
          <w:tab w:val="left" w:pos="897"/>
        </w:tabs>
        <w:spacing w:line="580" w:lineRule="exact"/>
        <w:ind w:firstLine="632" w:firstLineChars="200"/>
        <w:rPr>
          <w:rFonts w:hint="eastAsia" w:ascii="仿宋_GB2312" w:hAnsi="宋体" w:cs="仿宋_GB2312"/>
        </w:rPr>
      </w:pPr>
      <w:r>
        <w:rPr>
          <w:rFonts w:hint="eastAsia" w:ascii="仿宋_GB2312" w:hAnsi="宋体" w:cs="仿宋_GB2312"/>
        </w:rPr>
        <w:t>（一）凡遵守中华人民共和国宪法和各项法律，有志于从事计算机软件工作的人员，不受学历、资历条件限制，只要达到相应的技术水平就可以报考相应的级别和专业。</w:t>
      </w:r>
    </w:p>
    <w:p>
      <w:pPr>
        <w:tabs>
          <w:tab w:val="left" w:pos="897"/>
        </w:tabs>
        <w:spacing w:line="580" w:lineRule="exact"/>
        <w:ind w:firstLine="632" w:firstLineChars="200"/>
        <w:rPr>
          <w:rFonts w:hint="eastAsia" w:ascii="仿宋_GB2312" w:hAnsi="宋体" w:cs="仿宋_GB2312"/>
        </w:rPr>
      </w:pPr>
      <w:r>
        <w:rPr>
          <w:rFonts w:hint="eastAsia" w:ascii="仿宋_GB2312" w:hAnsi="宋体" w:cs="仿宋_GB2312"/>
        </w:rPr>
        <w:t>（二）获准在中华人民共和国境内就业的外籍人员及港、澳、台地区专业技术人员，可报名参加考试。</w:t>
      </w:r>
    </w:p>
    <w:p>
      <w:pPr>
        <w:tabs>
          <w:tab w:val="left" w:pos="897"/>
        </w:tabs>
        <w:spacing w:line="580" w:lineRule="exact"/>
        <w:ind w:firstLine="632" w:firstLineChars="200"/>
        <w:rPr>
          <w:rFonts w:ascii="仿宋_GB2312" w:hAnsi="宋体" w:cs="仿宋_GB2312"/>
        </w:rPr>
      </w:pPr>
      <w:r>
        <w:rPr>
          <w:rFonts w:hint="eastAsia" w:ascii="仿宋_GB2312" w:hAnsi="宋体" w:cs="仿宋_GB2312"/>
        </w:rPr>
        <w:t>（三）根据《人力资源社会保障部办公厅关于印发〈专业技术人员职业资格考试考务工作规程〉的通知》（人社厅发〔2021〕18号）精神，报名应按属地原则，现工作地或居住地为青岛市的应试人员，可选择报考考区为青岛市（合格证书由青岛市人事考试机构发放）。</w:t>
      </w:r>
    </w:p>
    <w:p>
      <w:pPr>
        <w:adjustRightInd w:val="0"/>
        <w:snapToGrid w:val="0"/>
        <w:spacing w:line="580" w:lineRule="exact"/>
        <w:ind w:firstLine="632" w:firstLineChars="200"/>
        <w:rPr>
          <w:rFonts w:hint="eastAsia" w:ascii="黑体" w:hAnsi="黑体" w:eastAsia="黑体" w:cs="宋体"/>
          <w:snapToGrid w:val="0"/>
          <w:kern w:val="0"/>
        </w:rPr>
      </w:pPr>
      <w:r>
        <w:rPr>
          <w:rFonts w:hint="eastAsia" w:ascii="黑体" w:hAnsi="黑体" w:eastAsia="黑体" w:cs="宋体"/>
          <w:snapToGrid w:val="0"/>
          <w:kern w:val="0"/>
        </w:rPr>
        <w:t>四、报名安排</w:t>
      </w:r>
    </w:p>
    <w:p>
      <w:pPr>
        <w:spacing w:line="580" w:lineRule="exact"/>
        <w:ind w:firstLine="632" w:firstLineChars="200"/>
        <w:rPr>
          <w:rFonts w:hint="eastAsia" w:ascii="仿宋_GB2312" w:hAnsi="宋体" w:cs="宋体"/>
          <w:color w:val="000000"/>
          <w:kern w:val="0"/>
        </w:rPr>
      </w:pPr>
      <w:r>
        <w:rPr>
          <w:rFonts w:hint="eastAsia" w:ascii="仿宋_GB2312" w:hAnsi="宋体" w:cs="宋体"/>
          <w:color w:val="000000"/>
          <w:kern w:val="0"/>
        </w:rPr>
        <w:t>2026年下半年计算机软件资格考试报名采用全国统一网上报名方式进行。应试人员在规定时间内登录中国计算机技术职业资格网（https://www.ruankao.org.cn）进行网上注册、报名、缴费。</w:t>
      </w:r>
    </w:p>
    <w:p>
      <w:pPr>
        <w:spacing w:line="580" w:lineRule="exact"/>
        <w:ind w:firstLine="632" w:firstLineChars="200"/>
        <w:rPr>
          <w:rFonts w:hint="eastAsia" w:ascii="仿宋_GB2312" w:hAnsi="华文仿宋"/>
        </w:rPr>
      </w:pPr>
      <w:r>
        <w:rPr>
          <w:rFonts w:hint="eastAsia" w:ascii="仿宋_GB2312" w:hAnsi="华文仿宋"/>
        </w:rPr>
        <w:t>计算机软件资格考试报名平台已正式接入国家网络身份认证公共服务平台，应试人员注册报考前须通过国家网络身份认证APP完成实名认证和人脸识别。</w:t>
      </w:r>
    </w:p>
    <w:p>
      <w:pPr>
        <w:spacing w:line="580" w:lineRule="exact"/>
        <w:ind w:firstLine="632" w:firstLineChars="200"/>
        <w:rPr>
          <w:rFonts w:ascii="仿宋_GB2312" w:hAnsi="华文仿宋"/>
        </w:rPr>
      </w:pPr>
      <w:r>
        <w:rPr>
          <w:rFonts w:hint="eastAsia" w:ascii="楷体_GB2312" w:hAnsi="华文仿宋" w:eastAsia="楷体_GB2312"/>
        </w:rPr>
        <w:t>（一）网</w:t>
      </w:r>
      <w:r>
        <w:rPr>
          <w:rFonts w:ascii="楷体_GB2312" w:hAnsi="华文仿宋" w:eastAsia="楷体_GB2312"/>
        </w:rPr>
        <w:t>上</w:t>
      </w:r>
      <w:r>
        <w:rPr>
          <w:rFonts w:hint="eastAsia" w:ascii="楷体_GB2312" w:hAnsi="华文仿宋" w:eastAsia="楷体_GB2312"/>
        </w:rPr>
        <w:t>报名时间及要求</w:t>
      </w:r>
    </w:p>
    <w:p>
      <w:pPr>
        <w:spacing w:line="580" w:lineRule="exact"/>
        <w:ind w:firstLine="632" w:firstLineChars="200"/>
        <w:rPr>
          <w:rFonts w:ascii="仿宋_GB2312" w:hAnsi="华文仿宋"/>
        </w:rPr>
      </w:pPr>
      <w:r>
        <w:rPr>
          <w:rFonts w:hint="eastAsia" w:ascii="仿宋_GB2312" w:hAnsi="华文仿宋"/>
        </w:rPr>
        <w:t>报名时间：</w:t>
      </w:r>
      <w:r>
        <w:rPr>
          <w:rFonts w:ascii="仿宋_GB2312" w:hAnsi="华文仿宋"/>
        </w:rPr>
        <w:t>8</w:t>
      </w:r>
      <w:r>
        <w:rPr>
          <w:rFonts w:hint="eastAsia" w:ascii="仿宋_GB2312" w:hAnsi="华文仿宋"/>
        </w:rPr>
        <w:t>月</w:t>
      </w:r>
      <w:r>
        <w:rPr>
          <w:rFonts w:ascii="仿宋_GB2312" w:hAnsi="华文仿宋"/>
        </w:rPr>
        <w:t>2</w:t>
      </w:r>
      <w:r>
        <w:rPr>
          <w:rFonts w:hint="eastAsia" w:ascii="仿宋_GB2312" w:hAnsi="华文仿宋"/>
        </w:rPr>
        <w:t>1日9∶00—</w:t>
      </w:r>
      <w:r>
        <w:rPr>
          <w:rFonts w:ascii="仿宋_GB2312" w:hAnsi="华文仿宋"/>
        </w:rPr>
        <w:t>9</w:t>
      </w:r>
      <w:r>
        <w:rPr>
          <w:rFonts w:hint="eastAsia" w:ascii="仿宋_GB2312" w:hAnsi="华文仿宋"/>
        </w:rPr>
        <w:t>月</w:t>
      </w:r>
      <w:r>
        <w:rPr>
          <w:rFonts w:ascii="仿宋_GB2312" w:hAnsi="华文仿宋"/>
        </w:rPr>
        <w:t>3</w:t>
      </w:r>
      <w:r>
        <w:rPr>
          <w:rFonts w:hint="eastAsia" w:ascii="仿宋_GB2312" w:hAnsi="华文仿宋"/>
        </w:rPr>
        <w:t>日16∶00。</w:t>
      </w:r>
    </w:p>
    <w:p>
      <w:pPr>
        <w:spacing w:line="580" w:lineRule="exact"/>
        <w:ind w:firstLine="632" w:firstLineChars="200"/>
        <w:rPr>
          <w:rFonts w:ascii="仿宋_GB2312"/>
        </w:rPr>
      </w:pPr>
      <w:r>
        <w:rPr>
          <w:rFonts w:hint="eastAsia" w:ascii="仿宋_GB2312" w:hAnsi="华文仿宋"/>
          <w:b/>
        </w:rPr>
        <w:t>应试人员须根据网上报名流程，如实填写、提交报考信息并上传照片(照片须为近期白色背景彩色证件照。上传照片前应下载并使用照片处理工具进行处理，通过后方可正常上传，否则无法完成注册和报名。严禁上传生活照、风景照、自拍大头贴等)。</w:t>
      </w:r>
      <w:r>
        <w:rPr>
          <w:rFonts w:hint="eastAsia" w:ascii="仿宋_GB2312" w:hAnsi="仿宋" w:cs="宋体"/>
          <w:snapToGrid w:val="0"/>
          <w:kern w:val="0"/>
        </w:rPr>
        <w:t>报名照片将用于准考证、考场座次表、资格证书等。</w:t>
      </w:r>
    </w:p>
    <w:p>
      <w:pPr>
        <w:spacing w:line="580" w:lineRule="exact"/>
        <w:ind w:firstLine="632" w:firstLineChars="200"/>
        <w:rPr>
          <w:rFonts w:hint="eastAsia" w:ascii="仿宋_GB2312" w:hAnsi="华文仿宋"/>
          <w:b/>
        </w:rPr>
      </w:pPr>
      <w:r>
        <w:rPr>
          <w:rFonts w:hint="eastAsia" w:ascii="仿宋_GB2312" w:hAnsi="仿宋" w:cs="宋体"/>
          <w:snapToGrid w:val="0"/>
          <w:kern w:val="0"/>
        </w:rPr>
        <w:t>计算机软件资格考试实行统一大纲、统一命题、统一组织，符合条件的专业技术人员应按规定通过正规渠道报名，切勿轻信虚假宣传。</w:t>
      </w:r>
    </w:p>
    <w:p>
      <w:pPr>
        <w:spacing w:line="580" w:lineRule="exact"/>
        <w:ind w:firstLine="632" w:firstLineChars="200"/>
        <w:rPr>
          <w:rFonts w:ascii="楷体_GB2312" w:hAnsi="华文仿宋" w:eastAsia="楷体_GB2312"/>
        </w:rPr>
      </w:pPr>
      <w:r>
        <w:rPr>
          <w:rFonts w:hint="eastAsia" w:ascii="楷体_GB2312" w:hAnsi="华文仿宋" w:eastAsia="楷体_GB2312"/>
        </w:rPr>
        <w:t>（二）资格核查时间及要求</w:t>
      </w:r>
    </w:p>
    <w:p>
      <w:pPr>
        <w:spacing w:line="580" w:lineRule="exact"/>
        <w:ind w:firstLine="632" w:firstLineChars="200"/>
        <w:rPr>
          <w:rFonts w:ascii="仿宋_GB2312" w:hAnsi="华文仿宋"/>
        </w:rPr>
      </w:pPr>
      <w:r>
        <w:rPr>
          <w:rFonts w:hint="eastAsia" w:ascii="仿宋_GB2312" w:hAnsi="华文仿宋"/>
        </w:rPr>
        <w:t>核查</w:t>
      </w:r>
      <w:r>
        <w:rPr>
          <w:rFonts w:ascii="仿宋_GB2312" w:hAnsi="华文仿宋"/>
        </w:rPr>
        <w:t>时间：8</w:t>
      </w:r>
      <w:r>
        <w:rPr>
          <w:rFonts w:hint="eastAsia" w:ascii="仿宋_GB2312" w:hAnsi="华文仿宋"/>
        </w:rPr>
        <w:t>月</w:t>
      </w:r>
      <w:r>
        <w:rPr>
          <w:rFonts w:ascii="仿宋_GB2312" w:hAnsi="华文仿宋"/>
        </w:rPr>
        <w:t>2</w:t>
      </w:r>
      <w:r>
        <w:rPr>
          <w:rFonts w:hint="eastAsia" w:ascii="仿宋_GB2312" w:hAnsi="华文仿宋"/>
        </w:rPr>
        <w:t>1日9∶00—</w:t>
      </w:r>
      <w:r>
        <w:rPr>
          <w:rFonts w:ascii="仿宋_GB2312" w:hAnsi="华文仿宋"/>
        </w:rPr>
        <w:t>9</w:t>
      </w:r>
      <w:r>
        <w:rPr>
          <w:rFonts w:hint="eastAsia" w:ascii="仿宋_GB2312" w:hAnsi="华文仿宋"/>
        </w:rPr>
        <w:t>月</w:t>
      </w:r>
      <w:r>
        <w:rPr>
          <w:rFonts w:ascii="仿宋_GB2312" w:hAnsi="华文仿宋"/>
        </w:rPr>
        <w:t>4</w:t>
      </w:r>
      <w:r>
        <w:rPr>
          <w:rFonts w:hint="eastAsia" w:ascii="仿宋_GB2312" w:hAnsi="华文仿宋"/>
        </w:rPr>
        <w:t>日16∶00。</w:t>
      </w:r>
    </w:p>
    <w:p>
      <w:pPr>
        <w:spacing w:line="580" w:lineRule="exact"/>
        <w:ind w:firstLine="632" w:firstLineChars="200"/>
        <w:rPr>
          <w:rFonts w:hint="eastAsia" w:ascii="仿宋_GB2312"/>
          <w:b/>
          <w:color w:val="000000"/>
        </w:rPr>
      </w:pPr>
      <w:r>
        <w:rPr>
          <w:rFonts w:hint="eastAsia" w:ascii="仿宋_GB2312" w:hAnsi="华文仿宋"/>
        </w:rPr>
        <w:t>资格核查</w:t>
      </w:r>
      <w:r>
        <w:rPr>
          <w:rFonts w:ascii="仿宋_GB2312" w:hAnsi="华文仿宋"/>
        </w:rPr>
        <w:t>工作</w:t>
      </w:r>
      <w:r>
        <w:rPr>
          <w:rFonts w:hint="eastAsia" w:ascii="仿宋_GB2312" w:hAnsi="仿宋" w:cs="宋体"/>
          <w:snapToGrid w:val="0"/>
          <w:kern w:val="0"/>
        </w:rPr>
        <w:t>由我市各级人事考试机构负责</w:t>
      </w:r>
      <w:r>
        <w:rPr>
          <w:rFonts w:hint="eastAsia" w:ascii="仿宋_GB2312" w:hAnsi="华文仿宋"/>
        </w:rPr>
        <w:t>，</w:t>
      </w:r>
      <w:r>
        <w:rPr>
          <w:rFonts w:ascii="仿宋_GB2312" w:hAnsi="华文仿宋"/>
        </w:rPr>
        <w:t>采</w:t>
      </w:r>
      <w:r>
        <w:rPr>
          <w:rFonts w:hint="eastAsia" w:ascii="仿宋_GB2312" w:hAnsi="华文仿宋"/>
        </w:rPr>
        <w:t>用</w:t>
      </w:r>
      <w:r>
        <w:rPr>
          <w:rFonts w:ascii="仿宋_GB2312" w:hAnsi="华文仿宋"/>
        </w:rPr>
        <w:t>网上核查的</w:t>
      </w:r>
      <w:r>
        <w:rPr>
          <w:rFonts w:hint="eastAsia" w:ascii="仿宋_GB2312" w:hAnsi="华文仿宋"/>
        </w:rPr>
        <w:t>方式</w:t>
      </w:r>
      <w:r>
        <w:rPr>
          <w:rFonts w:ascii="仿宋_GB2312" w:hAnsi="华文仿宋"/>
        </w:rPr>
        <w:t>。</w:t>
      </w:r>
      <w:r>
        <w:rPr>
          <w:rFonts w:hint="eastAsia" w:ascii="仿宋_GB2312" w:hAnsi="华文仿宋"/>
        </w:rPr>
        <w:t>我市在报名核查工作中，利用政府共享数据对应试人员居住地、社保等信息进行复核，资格核查工作贯穿考前、考中和考后全过程。对</w:t>
      </w:r>
      <w:r>
        <w:rPr>
          <w:rFonts w:ascii="仿宋_GB2312" w:hAnsi="华文仿宋"/>
        </w:rPr>
        <w:t>于</w:t>
      </w:r>
      <w:r>
        <w:rPr>
          <w:rFonts w:hint="eastAsia" w:ascii="仿宋_GB2312" w:hAnsi="华文仿宋"/>
        </w:rPr>
        <w:t>报名</w:t>
      </w:r>
      <w:r>
        <w:rPr>
          <w:rFonts w:ascii="仿宋_GB2312" w:hAnsi="华文仿宋"/>
        </w:rPr>
        <w:t>资格存疑的</w:t>
      </w:r>
      <w:r>
        <w:rPr>
          <w:rFonts w:hint="eastAsia" w:ascii="仿宋_GB2312" w:hAnsi="华文仿宋"/>
        </w:rPr>
        <w:t>应试人员</w:t>
      </w:r>
      <w:r>
        <w:rPr>
          <w:rFonts w:ascii="仿宋_GB2312" w:hAnsi="华文仿宋"/>
        </w:rPr>
        <w:t>，</w:t>
      </w:r>
      <w:r>
        <w:rPr>
          <w:rFonts w:hint="eastAsia" w:ascii="仿宋_GB2312" w:hAnsi="华文仿宋"/>
        </w:rPr>
        <w:t>须在</w:t>
      </w:r>
      <w:r>
        <w:rPr>
          <w:rFonts w:ascii="仿宋_GB2312" w:hAnsi="华文仿宋"/>
        </w:rPr>
        <w:t>规定时间</w:t>
      </w:r>
      <w:r>
        <w:rPr>
          <w:rFonts w:hint="eastAsia" w:ascii="仿宋_GB2312" w:hAnsi="华文仿宋"/>
        </w:rPr>
        <w:t>到</w:t>
      </w:r>
      <w:r>
        <w:rPr>
          <w:rFonts w:hint="eastAsia" w:ascii="仿宋_GB2312" w:hAnsi="仿宋_GB2312" w:cs="仿宋_GB2312"/>
          <w:color w:val="000000"/>
          <w:kern w:val="0"/>
        </w:rPr>
        <w:t>各区（市）</w:t>
      </w:r>
      <w:r>
        <w:rPr>
          <w:rFonts w:hint="eastAsia" w:ascii="仿宋_GB2312"/>
          <w:color w:val="000000"/>
        </w:rPr>
        <w:t>人事考试机构规定的审核点</w:t>
      </w:r>
      <w:r>
        <w:rPr>
          <w:rFonts w:hint="eastAsia" w:ascii="仿宋_GB2312" w:hAnsi="仿宋_GB2312" w:cs="仿宋_GB2312"/>
          <w:kern w:val="0"/>
        </w:rPr>
        <w:t>（附件）</w:t>
      </w:r>
      <w:r>
        <w:rPr>
          <w:rFonts w:hint="eastAsia" w:ascii="仿宋_GB2312"/>
          <w:color w:val="000000"/>
        </w:rPr>
        <w:t>接受</w:t>
      </w:r>
      <w:r>
        <w:rPr>
          <w:rFonts w:hint="eastAsia" w:ascii="仿宋_GB2312"/>
          <w:b/>
          <w:color w:val="000000"/>
        </w:rPr>
        <w:t>现场核查。</w:t>
      </w:r>
    </w:p>
    <w:p>
      <w:pPr>
        <w:spacing w:line="580" w:lineRule="exact"/>
        <w:ind w:firstLine="632" w:firstLineChars="200"/>
        <w:rPr>
          <w:rFonts w:ascii="楷体_GB2312" w:hAnsi="华文仿宋" w:eastAsia="楷体_GB2312"/>
        </w:rPr>
      </w:pPr>
      <w:r>
        <w:rPr>
          <w:rFonts w:hint="eastAsia" w:ascii="楷体_GB2312" w:hAnsi="华文仿宋" w:eastAsia="楷体_GB2312"/>
        </w:rPr>
        <w:t>（三）网上缴费时间及</w:t>
      </w:r>
      <w:r>
        <w:rPr>
          <w:rFonts w:ascii="楷体_GB2312" w:hAnsi="华文仿宋" w:eastAsia="楷体_GB2312"/>
        </w:rPr>
        <w:t>要求</w:t>
      </w:r>
    </w:p>
    <w:p>
      <w:pPr>
        <w:spacing w:line="580" w:lineRule="exact"/>
        <w:ind w:firstLine="632" w:firstLineChars="200"/>
        <w:rPr>
          <w:rFonts w:ascii="仿宋_GB2312" w:hAnsi="华文仿宋"/>
        </w:rPr>
      </w:pPr>
      <w:r>
        <w:rPr>
          <w:rFonts w:hint="eastAsia" w:ascii="仿宋_GB2312" w:hAnsi="华文仿宋"/>
        </w:rPr>
        <w:t>缴费时间：</w:t>
      </w:r>
      <w:r>
        <w:rPr>
          <w:rFonts w:ascii="仿宋_GB2312" w:hAnsi="华文仿宋"/>
        </w:rPr>
        <w:t>8</w:t>
      </w:r>
      <w:r>
        <w:rPr>
          <w:rFonts w:hint="eastAsia" w:ascii="仿宋_GB2312" w:hAnsi="华文仿宋"/>
        </w:rPr>
        <w:t>月</w:t>
      </w:r>
      <w:r>
        <w:rPr>
          <w:rFonts w:ascii="仿宋_GB2312" w:hAnsi="华文仿宋"/>
        </w:rPr>
        <w:t>21</w:t>
      </w:r>
      <w:r>
        <w:rPr>
          <w:rFonts w:hint="eastAsia" w:ascii="仿宋_GB2312" w:hAnsi="华文仿宋"/>
        </w:rPr>
        <w:t>日9∶00—</w:t>
      </w:r>
      <w:r>
        <w:rPr>
          <w:rFonts w:ascii="仿宋_GB2312" w:hAnsi="华文仿宋"/>
        </w:rPr>
        <w:t>9</w:t>
      </w:r>
      <w:r>
        <w:rPr>
          <w:rFonts w:hint="eastAsia" w:ascii="仿宋_GB2312" w:hAnsi="华文仿宋"/>
        </w:rPr>
        <w:t>月</w:t>
      </w:r>
      <w:r>
        <w:rPr>
          <w:rFonts w:ascii="仿宋_GB2312" w:hAnsi="华文仿宋"/>
        </w:rPr>
        <w:t>8</w:t>
      </w:r>
      <w:r>
        <w:rPr>
          <w:rFonts w:hint="eastAsia" w:ascii="仿宋_GB2312" w:hAnsi="华文仿宋"/>
        </w:rPr>
        <w:t>日16∶00。</w:t>
      </w:r>
    </w:p>
    <w:p>
      <w:pPr>
        <w:spacing w:line="580" w:lineRule="exact"/>
        <w:ind w:firstLine="632" w:firstLineChars="200"/>
        <w:rPr>
          <w:rFonts w:hint="eastAsia" w:ascii="仿宋_GB2312" w:hAnsi="华文仿宋"/>
        </w:rPr>
      </w:pPr>
      <w:r>
        <w:rPr>
          <w:rFonts w:hint="eastAsia" w:ascii="仿宋_GB2312" w:hAnsi="华文仿宋"/>
        </w:rPr>
        <w:t>应试人员资格核查通过后，须在规定时间进行网上缴费，逾期未办理网上缴费的，视作放弃报考资格。应试人员缴费前，应根据报名平台提示认真检查并确定报名信息，缴费一旦成功，不予退还。</w:t>
      </w:r>
    </w:p>
    <w:p>
      <w:pPr>
        <w:spacing w:line="580" w:lineRule="exact"/>
        <w:ind w:firstLine="632" w:firstLineChars="200"/>
        <w:rPr>
          <w:rFonts w:ascii="楷体_GB2312" w:hAnsi="楷体" w:eastAsia="楷体_GB2312" w:cs="宋体"/>
          <w:kern w:val="0"/>
        </w:rPr>
      </w:pPr>
      <w:r>
        <w:rPr>
          <w:rFonts w:hint="eastAsia" w:ascii="楷体_GB2312" w:hAnsi="楷体" w:eastAsia="楷体_GB2312" w:cs="宋体"/>
          <w:kern w:val="0"/>
        </w:rPr>
        <w:t>（四）其他注意事项</w:t>
      </w:r>
    </w:p>
    <w:p>
      <w:pPr>
        <w:adjustRightInd w:val="0"/>
        <w:snapToGrid w:val="0"/>
        <w:spacing w:line="580" w:lineRule="exact"/>
        <w:ind w:firstLine="632" w:firstLineChars="200"/>
        <w:rPr>
          <w:rFonts w:hint="eastAsia" w:ascii="仿宋_GB2312" w:hAnsi="楷体" w:cs="宋体"/>
          <w:kern w:val="0"/>
        </w:rPr>
      </w:pPr>
      <w:r>
        <w:rPr>
          <w:rFonts w:hint="eastAsia" w:ascii="仿宋_GB2312" w:hAnsi="楷体" w:cs="宋体"/>
          <w:kern w:val="0"/>
        </w:rPr>
        <w:t>应试人员因提供相关信息、证件不实、报错考试专业、填错个人信息或不按要求上传照片造成的后果，由本人承担相应责任。应试人员不符合报考要求或未按要求办理报考相关事项的，按考试报名无效或考试成绩无效处理，已缴费用不予退还。</w:t>
      </w:r>
    </w:p>
    <w:p>
      <w:pPr>
        <w:adjustRightInd w:val="0"/>
        <w:snapToGrid w:val="0"/>
        <w:spacing w:line="580" w:lineRule="exact"/>
        <w:ind w:firstLine="632" w:firstLineChars="200"/>
        <w:rPr>
          <w:rFonts w:hint="eastAsia" w:ascii="黑体" w:hAnsi="黑体" w:eastAsia="黑体" w:cs="黑体"/>
          <w:snapToGrid w:val="0"/>
          <w:kern w:val="0"/>
        </w:rPr>
      </w:pPr>
      <w:r>
        <w:rPr>
          <w:rFonts w:hint="eastAsia" w:ascii="黑体" w:hAnsi="黑体" w:eastAsia="黑体" w:cs="黑体"/>
          <w:snapToGrid w:val="0"/>
          <w:kern w:val="0"/>
        </w:rPr>
        <w:t>五、准考证打印</w:t>
      </w:r>
    </w:p>
    <w:p>
      <w:pPr>
        <w:adjustRightInd w:val="0"/>
        <w:snapToGrid w:val="0"/>
        <w:spacing w:line="580" w:lineRule="exact"/>
        <w:ind w:firstLine="632" w:firstLineChars="200"/>
        <w:rPr>
          <w:rFonts w:hint="eastAsia" w:ascii="仿宋_GB2312"/>
        </w:rPr>
      </w:pPr>
      <w:r>
        <w:rPr>
          <w:rFonts w:ascii="仿宋_GB2312" w:hAnsi="宋体"/>
        </w:rPr>
        <w:t>应试人员参加考试前</w:t>
      </w:r>
      <w:r>
        <w:rPr>
          <w:rFonts w:hint="eastAsia" w:ascii="仿宋_GB2312" w:hAnsi="宋体"/>
        </w:rPr>
        <w:t>须</w:t>
      </w:r>
      <w:r>
        <w:rPr>
          <w:rFonts w:ascii="仿宋_GB2312" w:hAnsi="宋体"/>
        </w:rPr>
        <w:t>登</w:t>
      </w:r>
      <w:r>
        <w:rPr>
          <w:rFonts w:hint="eastAsia" w:ascii="仿宋_GB2312" w:hAnsi="宋体"/>
        </w:rPr>
        <w:t>录</w:t>
      </w:r>
      <w:r>
        <w:rPr>
          <w:rFonts w:hint="eastAsia" w:ascii="仿宋_GB2312" w:hAnsi="华文仿宋"/>
        </w:rPr>
        <w:t>中国计算机技术职业资格网打印准考证。准考证打印</w:t>
      </w:r>
      <w:r>
        <w:rPr>
          <w:rFonts w:ascii="仿宋_GB2312" w:hAnsi="宋体"/>
        </w:rPr>
        <w:t>系统10</w:t>
      </w:r>
      <w:r>
        <w:rPr>
          <w:rFonts w:hint="eastAsia" w:ascii="仿宋_GB2312"/>
        </w:rPr>
        <w:t>月</w:t>
      </w:r>
      <w:r>
        <w:rPr>
          <w:rFonts w:ascii="仿宋_GB2312"/>
        </w:rPr>
        <w:t>19</w:t>
      </w:r>
      <w:r>
        <w:rPr>
          <w:rFonts w:hint="eastAsia" w:ascii="仿宋_GB2312"/>
        </w:rPr>
        <w:t>日</w:t>
      </w:r>
      <w:r>
        <w:rPr>
          <w:rFonts w:hint="eastAsia" w:ascii="仿宋_GB2312" w:hAnsi="宋体"/>
        </w:rPr>
        <w:t>开放打印</w:t>
      </w:r>
      <w:r>
        <w:rPr>
          <w:rFonts w:hint="eastAsia" w:ascii="仿宋_GB2312"/>
        </w:rPr>
        <w:t>。</w:t>
      </w:r>
    </w:p>
    <w:p>
      <w:pPr>
        <w:adjustRightInd w:val="0"/>
        <w:snapToGrid w:val="0"/>
        <w:spacing w:line="580" w:lineRule="exact"/>
        <w:ind w:firstLine="632" w:firstLineChars="200"/>
        <w:rPr>
          <w:rFonts w:ascii="黑体" w:hAnsi="黑体" w:eastAsia="黑体" w:cs="宋体"/>
          <w:snapToGrid w:val="0"/>
          <w:kern w:val="0"/>
        </w:rPr>
      </w:pPr>
      <w:r>
        <w:rPr>
          <w:rFonts w:hint="eastAsia" w:ascii="黑体" w:hAnsi="黑体" w:eastAsia="黑体" w:cs="宋体"/>
          <w:snapToGrid w:val="0"/>
          <w:kern w:val="0"/>
        </w:rPr>
        <w:t>六、收费标准</w:t>
      </w:r>
    </w:p>
    <w:p>
      <w:pPr>
        <w:spacing w:line="580" w:lineRule="exact"/>
        <w:ind w:firstLine="632" w:firstLineChars="200"/>
        <w:rPr>
          <w:rFonts w:ascii="仿宋_GB2312"/>
        </w:rPr>
      </w:pPr>
      <w:r>
        <w:rPr>
          <w:rFonts w:hint="eastAsia" w:ascii="仿宋_GB2312"/>
        </w:rPr>
        <w:t>根据工业和信息化部教育与考试中心《关于计算机软件专业技术资格考试等三项考试考务费标准的通知》（工信教〔2016〕111号）和</w:t>
      </w:r>
      <w:r>
        <w:rPr>
          <w:rFonts w:hint="eastAsia" w:ascii="仿宋_GB2312" w:hAnsi="华文仿宋"/>
        </w:rPr>
        <w:t>《山东省人力资源和社会保障厅关于职业资格考试收费标准有关问题的通知》（鲁人社字〔2026〕1号）</w:t>
      </w:r>
      <w:r>
        <w:rPr>
          <w:rFonts w:hint="eastAsia" w:ascii="仿宋_GB2312"/>
        </w:rPr>
        <w:t>文件规定，2026年</w:t>
      </w:r>
      <w:r>
        <w:rPr>
          <w:rFonts w:ascii="仿宋_GB2312"/>
        </w:rPr>
        <w:t>下半年</w:t>
      </w:r>
      <w:r>
        <w:rPr>
          <w:rFonts w:hint="eastAsia" w:ascii="仿宋_GB2312"/>
        </w:rPr>
        <w:t>计算机软件资格考试费每人每科68元。</w:t>
      </w:r>
    </w:p>
    <w:p>
      <w:pPr>
        <w:spacing w:line="580" w:lineRule="exact"/>
        <w:ind w:firstLine="632" w:firstLineChars="200"/>
        <w:rPr>
          <w:rFonts w:hint="eastAsia" w:ascii="黑体" w:hAnsi="黑体" w:eastAsia="黑体"/>
        </w:rPr>
      </w:pPr>
      <w:r>
        <w:rPr>
          <w:rFonts w:hint="eastAsia" w:ascii="黑体" w:hAnsi="黑体" w:eastAsia="黑体"/>
        </w:rPr>
        <w:t>七、考试大纲</w:t>
      </w:r>
    </w:p>
    <w:p>
      <w:pPr>
        <w:spacing w:line="580" w:lineRule="exact"/>
        <w:ind w:firstLine="632" w:firstLineChars="200"/>
        <w:rPr>
          <w:rFonts w:ascii="仿宋_GB2312" w:hAnsi="华文仿宋"/>
        </w:rPr>
      </w:pPr>
      <w:r>
        <w:rPr>
          <w:rFonts w:hint="eastAsia" w:ascii="仿宋_GB2312" w:hAnsi="华文仿宋"/>
        </w:rPr>
        <w:t>考试大纲信息请登陆中国计算机技术职业资格网</w:t>
      </w:r>
      <w:r>
        <w:rPr>
          <w:rFonts w:ascii="仿宋_GB2312" w:hAnsi="华文仿宋"/>
        </w:rPr>
        <w:fldChar w:fldCharType="begin"/>
      </w:r>
      <w:r>
        <w:rPr>
          <w:rFonts w:ascii="仿宋_GB2312" w:hAnsi="华文仿宋"/>
        </w:rPr>
        <w:instrText xml:space="preserve"> HYPERLINK "http://www.ruankao.org.cn）" </w:instrText>
      </w:r>
      <w:r>
        <w:rPr>
          <w:rFonts w:ascii="仿宋_GB2312" w:hAnsi="华文仿宋"/>
        </w:rPr>
        <w:fldChar w:fldCharType="separate"/>
      </w:r>
      <w:r>
        <w:rPr>
          <w:rFonts w:hint="eastAsia" w:ascii="仿宋_GB2312" w:hAnsi="华文仿宋"/>
        </w:rPr>
        <w:t>查询。</w:t>
      </w:r>
      <w:r>
        <w:rPr>
          <w:rFonts w:ascii="仿宋_GB2312" w:hAnsi="华文仿宋"/>
        </w:rPr>
        <w:fldChar w:fldCharType="end"/>
      </w:r>
    </w:p>
    <w:p>
      <w:pPr>
        <w:spacing w:line="580" w:lineRule="exact"/>
        <w:ind w:left="640"/>
        <w:rPr>
          <w:rFonts w:ascii="黑体" w:hAnsi="黑体" w:eastAsia="黑体"/>
        </w:rPr>
      </w:pPr>
      <w:r>
        <w:rPr>
          <w:rFonts w:hint="eastAsia" w:ascii="黑体" w:hAnsi="黑体" w:eastAsia="黑体"/>
        </w:rPr>
        <w:t>八、成绩管理及</w:t>
      </w:r>
      <w:r>
        <w:rPr>
          <w:rFonts w:ascii="黑体" w:hAnsi="黑体" w:eastAsia="黑体"/>
        </w:rPr>
        <w:t>证</w:t>
      </w:r>
      <w:r>
        <w:rPr>
          <w:rFonts w:hint="eastAsia" w:ascii="黑体" w:hAnsi="黑体" w:eastAsia="黑体"/>
        </w:rPr>
        <w:t>书</w:t>
      </w:r>
      <w:r>
        <w:rPr>
          <w:rFonts w:ascii="黑体" w:hAnsi="黑体" w:eastAsia="黑体"/>
        </w:rPr>
        <w:t>办理</w:t>
      </w:r>
    </w:p>
    <w:p>
      <w:pPr>
        <w:wordWrap w:val="0"/>
        <w:adjustRightInd w:val="0"/>
        <w:snapToGrid w:val="0"/>
        <w:spacing w:line="580" w:lineRule="exact"/>
        <w:ind w:firstLine="632" w:firstLineChars="200"/>
        <w:rPr>
          <w:rFonts w:ascii="仿宋_GB2312" w:hAnsi="仿宋_GB2312" w:cs="仿宋_GB2312"/>
          <w:snapToGrid w:val="0"/>
          <w:kern w:val="0"/>
        </w:rPr>
      </w:pPr>
      <w:r>
        <w:rPr>
          <w:rFonts w:hint="eastAsia" w:ascii="仿宋_GB2312"/>
        </w:rPr>
        <w:t>应试人员须一次通过所有考试科目，方可取得资格证书。</w:t>
      </w:r>
      <w:r>
        <w:rPr>
          <w:rFonts w:hint="eastAsia" w:ascii="仿宋_GB2312" w:cs="仿宋_GB2312"/>
        </w:rPr>
        <w:t>考试成绩在</w:t>
      </w:r>
      <w:r>
        <w:rPr>
          <w:rFonts w:ascii="仿宋_GB2312" w:cs="仿宋_GB2312"/>
        </w:rPr>
        <w:t>中国计算机技术职业资格网</w:t>
      </w:r>
      <w:r>
        <w:rPr>
          <w:rFonts w:hint="eastAsia" w:ascii="仿宋_GB2312" w:cs="仿宋_GB2312"/>
        </w:rPr>
        <w:t>查询。</w:t>
      </w:r>
      <w:r>
        <w:rPr>
          <w:rFonts w:hint="eastAsia" w:ascii="仿宋_GB2312" w:hAnsi="仿宋_GB2312" w:cs="仿宋_GB2312"/>
          <w:snapToGrid w:val="0"/>
          <w:kern w:val="0"/>
        </w:rPr>
        <w:t>考试合格的应试人员请关注青岛市人力资源和社会保障局官方网站（hrss.qingdao.gov.cn）人事考试版块发布的有关通知，根据通知要求提交材料办理证书。</w:t>
      </w:r>
    </w:p>
    <w:p>
      <w:pPr>
        <w:wordWrap w:val="0"/>
        <w:adjustRightInd w:val="0"/>
        <w:snapToGrid w:val="0"/>
        <w:spacing w:line="580" w:lineRule="exact"/>
        <w:ind w:firstLine="632" w:firstLineChars="200"/>
        <w:rPr>
          <w:rFonts w:hint="eastAsia" w:ascii="仿宋_GB2312" w:hAnsi="仿宋_GB2312" w:cs="仿宋_GB2312"/>
          <w:snapToGrid w:val="0"/>
          <w:kern w:val="0"/>
        </w:rPr>
      </w:pPr>
      <w:r>
        <w:rPr>
          <w:rFonts w:hint="eastAsia" w:ascii="仿宋_GB2312" w:hAnsi="仿宋_GB2312" w:cs="仿宋_GB2312"/>
          <w:snapToGrid w:val="0"/>
          <w:kern w:val="0"/>
        </w:rPr>
        <w:t>根据《专业技术人员职业资格考试考务工作规程》（人社厅发〔2021〕18号），应试人员对考试成绩有异议的，应在考试成绩公布之日起30天内，提出成绩复查申请。应试人员可登录“山东人事考试信息网”“考后服务”栏目线上申请成绩复查或携带有效身份证件到青岛市人事考试机构现场申请成绩复查。成绩复查结果将通过“山东人事考试信息网”“考后服务”栏目反馈，应试人员可通过线上方式自行查看。</w:t>
      </w:r>
    </w:p>
    <w:p>
      <w:pPr>
        <w:wordWrap w:val="0"/>
        <w:adjustRightInd w:val="0"/>
        <w:snapToGrid w:val="0"/>
        <w:spacing w:line="580" w:lineRule="exact"/>
        <w:ind w:firstLine="632" w:firstLineChars="200"/>
        <w:rPr>
          <w:rFonts w:hint="eastAsia" w:ascii="仿宋_GB2312"/>
        </w:rPr>
      </w:pPr>
      <w:r>
        <w:rPr>
          <w:rFonts w:hint="eastAsia" w:ascii="仿宋_GB2312"/>
        </w:rPr>
        <w:t>纸质证书由我市人事考试机构负责发放，可现场领取、自助发证机预约领取或登录山东人事考试信息网（hrss.shandong.gov.cn/rsks/）、爱山东APP办理邮寄。</w:t>
      </w:r>
    </w:p>
    <w:p>
      <w:pPr>
        <w:pStyle w:val="5"/>
        <w:spacing w:after="0" w:line="580" w:lineRule="exact"/>
        <w:ind w:left="1895" w:hanging="1264" w:hangingChars="400"/>
        <w:rPr>
          <w:rFonts w:ascii="仿宋_GB2312" w:hAnsi="仿宋" w:cs="宋体"/>
          <w:bCs/>
          <w:snapToGrid w:val="0"/>
          <w:kern w:val="0"/>
        </w:rPr>
      </w:pPr>
    </w:p>
    <w:p>
      <w:pPr>
        <w:pStyle w:val="5"/>
        <w:spacing w:after="0" w:line="580" w:lineRule="exact"/>
        <w:ind w:left="1422" w:hanging="790" w:hangingChars="250"/>
        <w:rPr>
          <w:rFonts w:hint="eastAsia" w:ascii="仿宋_GB2312" w:hAnsi="仿宋" w:cs="仿宋_GB2312"/>
          <w:kern w:val="0"/>
          <w:lang w:bidi="ar"/>
        </w:rPr>
      </w:pPr>
      <w:r>
        <w:rPr>
          <w:rFonts w:hint="eastAsia" w:ascii="仿宋_GB2312"/>
        </w:rPr>
        <w:t>附件：</w:t>
      </w:r>
      <w:r>
        <w:rPr>
          <w:rFonts w:ascii="仿宋_GB2312"/>
        </w:rPr>
        <w:t>202</w:t>
      </w:r>
      <w:r>
        <w:rPr>
          <w:rFonts w:hint="eastAsia" w:ascii="仿宋_GB2312"/>
        </w:rPr>
        <w:t>6年下</w:t>
      </w:r>
      <w:r>
        <w:rPr>
          <w:rFonts w:ascii="仿宋_GB2312"/>
        </w:rPr>
        <w:t>半年</w:t>
      </w:r>
      <w:r>
        <w:rPr>
          <w:rFonts w:hint="eastAsia" w:ascii="仿宋_GB2312"/>
        </w:rPr>
        <w:t>计算机</w:t>
      </w:r>
      <w:r>
        <w:rPr>
          <w:rFonts w:ascii="仿宋_GB2312"/>
        </w:rPr>
        <w:t>技术与软件专业技术资格（水平）考试</w:t>
      </w:r>
      <w:r>
        <w:rPr>
          <w:rFonts w:hint="eastAsia" w:ascii="仿宋_GB2312" w:hAnsi="宋体" w:cs="仿宋_GB2312"/>
          <w:kern w:val="0"/>
          <w:lang w:bidi="ar"/>
        </w:rPr>
        <w:t>应试人员信息审核</w:t>
      </w:r>
      <w:r>
        <w:rPr>
          <w:rFonts w:hint="eastAsia" w:ascii="仿宋_GB2312" w:hAnsi="仿宋" w:cs="仿宋_GB2312"/>
          <w:kern w:val="0"/>
          <w:lang w:bidi="ar"/>
        </w:rPr>
        <w:t>点汇总表</w:t>
      </w:r>
    </w:p>
    <w:p>
      <w:pPr>
        <w:pStyle w:val="5"/>
        <w:spacing w:after="0" w:line="580" w:lineRule="exact"/>
        <w:ind w:left="1895" w:hanging="1264" w:hangingChars="400"/>
        <w:rPr>
          <w:rFonts w:hint="eastAsia" w:ascii="仿宋_GB2312" w:hAnsi="仿宋" w:cs="仿宋_GB2312"/>
          <w:kern w:val="0"/>
          <w:lang w:bidi="ar"/>
        </w:rPr>
      </w:pPr>
    </w:p>
    <w:p>
      <w:pPr>
        <w:pStyle w:val="5"/>
        <w:spacing w:after="0" w:line="580" w:lineRule="exact"/>
        <w:ind w:left="1895" w:hanging="1264" w:hangingChars="400"/>
        <w:rPr>
          <w:rFonts w:hint="eastAsia" w:ascii="仿宋_GB2312" w:hAnsi="仿宋" w:cs="仿宋_GB2312"/>
          <w:kern w:val="0"/>
          <w:lang w:bidi="ar"/>
        </w:rPr>
      </w:pPr>
    </w:p>
    <w:p>
      <w:pPr>
        <w:wordWrap w:val="0"/>
        <w:adjustRightInd w:val="0"/>
        <w:snapToGrid w:val="0"/>
        <w:spacing w:line="580" w:lineRule="exact"/>
        <w:ind w:firstLine="632" w:firstLineChars="200"/>
        <w:jc w:val="right"/>
        <w:rPr>
          <w:rFonts w:ascii="仿宋_GB2312" w:hAnsi="仿宋" w:cs="宋体"/>
          <w:bCs/>
          <w:snapToGrid w:val="0"/>
          <w:kern w:val="0"/>
        </w:rPr>
      </w:pPr>
      <w:r>
        <w:rPr>
          <w:rFonts w:hint="eastAsia" w:ascii="仿宋_GB2312" w:hAnsi="仿宋" w:cs="宋体"/>
          <w:bCs/>
          <w:snapToGrid w:val="0"/>
          <w:kern w:val="0"/>
        </w:rPr>
        <w:t xml:space="preserve">青岛市人力资源和社会保障局    </w:t>
      </w:r>
    </w:p>
    <w:p>
      <w:pPr>
        <w:wordWrap w:val="0"/>
        <w:adjustRightInd w:val="0"/>
        <w:snapToGrid w:val="0"/>
        <w:spacing w:line="580" w:lineRule="exact"/>
        <w:ind w:right="1276" w:firstLine="632" w:firstLineChars="200"/>
        <w:jc w:val="right"/>
        <w:rPr>
          <w:rFonts w:ascii="仿宋_GB2312" w:hAnsi="仿宋" w:cs="宋体"/>
          <w:bCs/>
          <w:snapToGrid w:val="0"/>
          <w:kern w:val="0"/>
        </w:rPr>
      </w:pPr>
      <w:r>
        <w:rPr>
          <w:rFonts w:hint="eastAsia" w:ascii="仿宋_GB2312" w:hAnsi="仿宋" w:cs="宋体"/>
          <w:bCs/>
          <w:snapToGrid w:val="0"/>
          <w:kern w:val="0"/>
        </w:rPr>
        <w:t>2026年8月1</w:t>
      </w:r>
      <w:bookmarkStart w:id="2" w:name="_GoBack"/>
      <w:bookmarkEnd w:id="2"/>
      <w:r>
        <w:rPr>
          <w:rFonts w:hint="eastAsia" w:ascii="仿宋_GB2312" w:hAnsi="仿宋" w:cs="宋体"/>
          <w:bCs/>
          <w:snapToGrid w:val="0"/>
          <w:kern w:val="0"/>
          <w:lang w:val="en-US" w:eastAsia="zh-CN"/>
        </w:rPr>
        <w:t>8</w:t>
      </w:r>
      <w:r>
        <w:rPr>
          <w:rFonts w:hint="eastAsia" w:ascii="仿宋_GB2312" w:hAnsi="仿宋" w:cs="宋体"/>
          <w:bCs/>
          <w:snapToGrid w:val="0"/>
          <w:kern w:val="0"/>
        </w:rPr>
        <w:t>日</w:t>
      </w:r>
    </w:p>
    <w:p>
      <w:pPr>
        <w:adjustRightInd w:val="0"/>
        <w:snapToGrid w:val="0"/>
        <w:spacing w:line="580" w:lineRule="exact"/>
        <w:ind w:right="1276" w:firstLine="632" w:firstLineChars="200"/>
        <w:jc w:val="right"/>
        <w:rPr>
          <w:rFonts w:ascii="仿宋_GB2312" w:hAnsi="仿宋" w:cs="宋体"/>
          <w:bCs/>
          <w:snapToGrid w:val="0"/>
          <w:kern w:val="0"/>
        </w:rPr>
      </w:pPr>
    </w:p>
    <w:p>
      <w:pPr>
        <w:adjustRightInd w:val="0"/>
        <w:snapToGrid w:val="0"/>
        <w:spacing w:line="580" w:lineRule="exact"/>
        <w:ind w:right="1276" w:firstLine="632" w:firstLineChars="200"/>
        <w:jc w:val="left"/>
        <w:rPr>
          <w:rFonts w:ascii="仿宋_GB2312" w:hAnsi="仿宋" w:cs="宋体"/>
          <w:bCs/>
          <w:snapToGrid w:val="0"/>
          <w:kern w:val="0"/>
        </w:rPr>
      </w:pPr>
      <w:r>
        <w:rPr>
          <w:rFonts w:hint="eastAsia" w:ascii="仿宋_GB2312" w:hAnsi="仿宋" w:cs="宋体"/>
          <w:bCs/>
          <w:snapToGrid w:val="0"/>
          <w:kern w:val="0"/>
        </w:rPr>
        <w:t>(此件主动公开)</w:t>
      </w:r>
    </w:p>
    <w:p>
      <w:pPr>
        <w:adjustRightInd w:val="0"/>
        <w:snapToGrid w:val="0"/>
        <w:spacing w:line="580" w:lineRule="exact"/>
        <w:ind w:right="1276" w:firstLine="632" w:firstLineChars="200"/>
        <w:jc w:val="left"/>
        <w:rPr>
          <w:rFonts w:hint="eastAsia" w:ascii="仿宋_GB2312" w:hAnsi="仿宋" w:cs="宋体"/>
          <w:bCs/>
          <w:snapToGrid w:val="0"/>
          <w:kern w:val="0"/>
        </w:rPr>
      </w:pPr>
      <w:r>
        <w:rPr>
          <w:rFonts w:hint="eastAsia" w:ascii="仿宋_GB2312" w:hAnsi="仿宋" w:cs="宋体"/>
          <w:bCs/>
          <w:snapToGrid w:val="0"/>
          <w:kern w:val="0"/>
        </w:rPr>
        <w:t>(联系单位:青岛市人力资源发展研究与促进中心)</w:t>
      </w:r>
    </w:p>
    <w:p>
      <w:pPr>
        <w:tabs>
          <w:tab w:val="left" w:pos="594"/>
          <w:tab w:val="left" w:pos="7560"/>
        </w:tabs>
        <w:adjustRightInd w:val="0"/>
        <w:snapToGrid w:val="0"/>
        <w:spacing w:line="580" w:lineRule="exact"/>
        <w:jc w:val="left"/>
        <w:rPr>
          <w:rFonts w:hint="eastAsia" w:ascii="方正小标宋_GBK" w:eastAsia="方正小标宋_GBK"/>
          <w:sz w:val="44"/>
          <w:szCs w:val="44"/>
        </w:rPr>
      </w:pPr>
      <w:r>
        <w:rPr>
          <w:rFonts w:hint="eastAsia" w:ascii="黑体" w:hAnsi="黑体" w:eastAsia="黑体" w:cs="宋体"/>
          <w:bCs/>
          <w:snapToGrid w:val="0"/>
          <w:kern w:val="0"/>
        </w:rPr>
        <w:br w:type="page"/>
      </w:r>
      <w:r>
        <w:rPr>
          <w:rFonts w:hint="eastAsia" w:ascii="黑体" w:hAnsi="黑体" w:eastAsia="黑体" w:cs="宋体"/>
          <w:bCs/>
          <w:snapToGrid w:val="0"/>
          <w:kern w:val="0"/>
        </w:rPr>
        <w:t>附件</w:t>
      </w:r>
    </w:p>
    <w:p>
      <w:pPr>
        <w:spacing w:line="580" w:lineRule="exact"/>
        <w:ind w:right="53" w:rightChars="17"/>
        <w:jc w:val="center"/>
        <w:rPr>
          <w:rFonts w:hint="eastAsia" w:ascii="方正小标宋_GBK" w:eastAsia="方正小标宋_GBK"/>
          <w:sz w:val="44"/>
          <w:szCs w:val="44"/>
        </w:rPr>
      </w:pPr>
      <w:r>
        <w:rPr>
          <w:rFonts w:hint="eastAsia" w:ascii="方正小标宋_GBK" w:hAnsi="方正小标宋简体" w:eastAsia="方正小标宋_GBK" w:cs="方正小标宋简体"/>
          <w:kern w:val="0"/>
          <w:sz w:val="44"/>
          <w:szCs w:val="44"/>
        </w:rPr>
        <w:t>202</w:t>
      </w:r>
      <w:r>
        <w:rPr>
          <w:rFonts w:hint="eastAsia" w:ascii="方正小标宋_GBK" w:hAnsi="Cambria" w:eastAsia="方正小标宋_GBK" w:cs="方正小标宋简体"/>
          <w:kern w:val="0"/>
          <w:sz w:val="44"/>
          <w:szCs w:val="44"/>
        </w:rPr>
        <w:t>6</w:t>
      </w:r>
      <w:r>
        <w:rPr>
          <w:rFonts w:hint="eastAsia" w:ascii="方正小标宋_GBK" w:eastAsia="方正小标宋_GBK"/>
          <w:sz w:val="44"/>
          <w:szCs w:val="44"/>
        </w:rPr>
        <w:t>年下半年计算机技术与软件专业技术资格</w:t>
      </w:r>
    </w:p>
    <w:p>
      <w:pPr>
        <w:spacing w:after="293" w:afterLines="50" w:line="580" w:lineRule="exact"/>
        <w:ind w:right="53" w:rightChars="17"/>
        <w:jc w:val="center"/>
        <w:rPr>
          <w:rFonts w:hint="eastAsia" w:ascii="方正小标宋_GBK" w:eastAsia="方正小标宋_GBK"/>
          <w:sz w:val="44"/>
          <w:szCs w:val="44"/>
        </w:rPr>
      </w:pPr>
      <w:r>
        <w:rPr>
          <w:rFonts w:hint="eastAsia" w:ascii="方正小标宋_GBK" w:eastAsia="方正小标宋_GBK"/>
          <w:sz w:val="44"/>
          <w:szCs w:val="44"/>
        </w:rPr>
        <w:t>（水平）考试应试人员信息审核点汇总表</w:t>
      </w:r>
    </w:p>
    <w:tbl>
      <w:tblPr>
        <w:tblStyle w:val="13"/>
        <w:tblW w:w="10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4"/>
        <w:gridCol w:w="3464"/>
        <w:gridCol w:w="3118"/>
        <w:gridCol w:w="1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04" w:type="dxa"/>
            <w:noWrap w:val="0"/>
            <w:vAlign w:val="center"/>
          </w:tcPr>
          <w:p>
            <w:pPr>
              <w:spacing w:line="560" w:lineRule="exact"/>
              <w:jc w:val="center"/>
              <w:rPr>
                <w:rFonts w:hint="eastAsia" w:ascii="黑体" w:hAnsi="黑体" w:eastAsia="黑体" w:cs="宋体"/>
                <w:color w:val="000000"/>
              </w:rPr>
            </w:pPr>
            <w:r>
              <w:rPr>
                <w:rFonts w:hint="eastAsia" w:ascii="黑体" w:hAnsi="黑体" w:eastAsia="黑体"/>
                <w:color w:val="000000"/>
              </w:rPr>
              <w:t>区（市）</w:t>
            </w:r>
          </w:p>
        </w:tc>
        <w:tc>
          <w:tcPr>
            <w:tcW w:w="3464" w:type="dxa"/>
            <w:noWrap w:val="0"/>
            <w:vAlign w:val="center"/>
          </w:tcPr>
          <w:p>
            <w:pPr>
              <w:spacing w:line="560" w:lineRule="exact"/>
              <w:jc w:val="center"/>
              <w:rPr>
                <w:rFonts w:hint="eastAsia" w:ascii="黑体" w:hAnsi="黑体" w:eastAsia="黑体" w:cs="宋体"/>
                <w:color w:val="000000"/>
              </w:rPr>
            </w:pPr>
            <w:r>
              <w:rPr>
                <w:rFonts w:hint="eastAsia" w:ascii="黑体" w:hAnsi="黑体" w:eastAsia="黑体" w:cs="宋体"/>
                <w:color w:val="000000"/>
              </w:rPr>
              <w:t>核查点地址</w:t>
            </w:r>
          </w:p>
        </w:tc>
        <w:tc>
          <w:tcPr>
            <w:tcW w:w="3118" w:type="dxa"/>
            <w:noWrap w:val="0"/>
            <w:vAlign w:val="top"/>
          </w:tcPr>
          <w:p>
            <w:pPr>
              <w:spacing w:line="560" w:lineRule="exact"/>
              <w:jc w:val="center"/>
              <w:rPr>
                <w:rFonts w:hint="eastAsia" w:ascii="黑体" w:hAnsi="黑体" w:eastAsia="黑体"/>
                <w:color w:val="000000"/>
              </w:rPr>
            </w:pPr>
            <w:r>
              <w:rPr>
                <w:rFonts w:hint="eastAsia" w:ascii="黑体" w:hAnsi="黑体" w:eastAsia="黑体"/>
                <w:color w:val="000000"/>
              </w:rPr>
              <w:t>核查时间</w:t>
            </w:r>
          </w:p>
        </w:tc>
        <w:tc>
          <w:tcPr>
            <w:tcW w:w="1854" w:type="dxa"/>
            <w:noWrap w:val="0"/>
            <w:vAlign w:val="top"/>
          </w:tcPr>
          <w:p>
            <w:pPr>
              <w:spacing w:line="560" w:lineRule="exact"/>
              <w:jc w:val="center"/>
              <w:rPr>
                <w:rFonts w:hint="eastAsia" w:ascii="黑体" w:hAnsi="黑体" w:eastAsia="黑体" w:cs="宋体"/>
                <w:color w:val="000000"/>
              </w:rPr>
            </w:pPr>
            <w:r>
              <w:rPr>
                <w:rFonts w:hint="eastAsia" w:ascii="黑体" w:hAnsi="黑体" w:eastAsia="黑体"/>
                <w:color w:val="000000"/>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2304"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崂山区人力资源和社会保障局</w:t>
            </w:r>
          </w:p>
        </w:tc>
        <w:tc>
          <w:tcPr>
            <w:tcW w:w="3464" w:type="dxa"/>
            <w:tcBorders>
              <w:top w:val="single" w:color="auto" w:sz="4" w:space="0"/>
              <w:left w:val="nil"/>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崂山区新锦路6号崂山区行政服务中心D1座5楼G区514房间</w:t>
            </w:r>
          </w:p>
        </w:tc>
        <w:tc>
          <w:tcPr>
            <w:tcW w:w="3118" w:type="dxa"/>
            <w:vMerge w:val="restart"/>
            <w:tcBorders>
              <w:top w:val="single" w:color="auto" w:sz="4" w:space="0"/>
              <w:left w:val="single" w:color="auto" w:sz="4" w:space="0"/>
              <w:right w:val="single" w:color="auto" w:sz="4" w:space="0"/>
            </w:tcBorders>
            <w:noWrap w:val="0"/>
            <w:vAlign w:val="center"/>
          </w:tcPr>
          <w:p>
            <w:pPr>
              <w:widowControl/>
              <w:snapToGrid w:val="0"/>
              <w:jc w:val="left"/>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现场资格核查日期：</w:t>
            </w:r>
          </w:p>
          <w:p>
            <w:pPr>
              <w:widowControl/>
              <w:snapToGrid w:val="0"/>
              <w:jc w:val="left"/>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2026年8月21日9∶00—9月4日16∶00（周末及国家法定节假日除外）</w:t>
            </w:r>
          </w:p>
          <w:p>
            <w:pPr>
              <w:autoSpaceDE w:val="0"/>
              <w:autoSpaceDN w:val="0"/>
              <w:adjustRightInd w:val="0"/>
              <w:snapToGrid w:val="0"/>
              <w:jc w:val="left"/>
              <w:rPr>
                <w:rFonts w:hint="eastAsia" w:ascii="宋体" w:hAnsi="宋体"/>
                <w:spacing w:val="5"/>
                <w:kern w:val="0"/>
                <w:szCs w:val="20"/>
              </w:rPr>
            </w:pPr>
          </w:p>
          <w:p>
            <w:pPr>
              <w:widowControl/>
              <w:snapToGrid w:val="0"/>
              <w:jc w:val="left"/>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现场资格核查时间：</w:t>
            </w:r>
          </w:p>
          <w:p>
            <w:pPr>
              <w:widowControl/>
              <w:snapToGrid w:val="0"/>
              <w:jc w:val="left"/>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上午9:00-11:30，</w:t>
            </w:r>
          </w:p>
          <w:p>
            <w:pPr>
              <w:widowControl/>
              <w:snapToGrid w:val="0"/>
              <w:jc w:val="left"/>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下午13:30-17:00（9月4日下午13:30-16:00）</w:t>
            </w:r>
          </w:p>
        </w:tc>
        <w:tc>
          <w:tcPr>
            <w:tcW w:w="1854"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0532-88897709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230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城阳区人力资源和社会保障局</w:t>
            </w:r>
          </w:p>
        </w:tc>
        <w:tc>
          <w:tcPr>
            <w:tcW w:w="3464" w:type="dxa"/>
            <w:tcBorders>
              <w:top w:val="nil"/>
              <w:left w:val="nil"/>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城阳区正阳路211号511房间</w:t>
            </w:r>
          </w:p>
        </w:tc>
        <w:tc>
          <w:tcPr>
            <w:tcW w:w="3118" w:type="dxa"/>
            <w:vMerge w:val="continue"/>
            <w:tcBorders>
              <w:left w:val="single" w:color="auto" w:sz="4" w:space="0"/>
              <w:right w:val="single" w:color="auto" w:sz="4" w:space="0"/>
            </w:tcBorders>
            <w:noWrap w:val="0"/>
            <w:vAlign w:val="top"/>
          </w:tcPr>
          <w:p>
            <w:pPr>
              <w:snapToGrid w:val="0"/>
            </w:pPr>
          </w:p>
        </w:tc>
        <w:tc>
          <w:tcPr>
            <w:tcW w:w="185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0532-58659757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230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西海岸新区人力资源和社会保障局</w:t>
            </w:r>
          </w:p>
        </w:tc>
        <w:tc>
          <w:tcPr>
            <w:tcW w:w="3464" w:type="dxa"/>
            <w:tcBorders>
              <w:top w:val="nil"/>
              <w:left w:val="nil"/>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西海岸新区水灵山路188号2号楼101室</w:t>
            </w:r>
          </w:p>
        </w:tc>
        <w:tc>
          <w:tcPr>
            <w:tcW w:w="3118" w:type="dxa"/>
            <w:vMerge w:val="continue"/>
            <w:tcBorders>
              <w:left w:val="single" w:color="auto" w:sz="4" w:space="0"/>
              <w:right w:val="single" w:color="auto" w:sz="4" w:space="0"/>
            </w:tcBorders>
            <w:noWrap w:val="0"/>
            <w:vAlign w:val="top"/>
          </w:tcPr>
          <w:p>
            <w:pPr>
              <w:snapToGrid w:val="0"/>
            </w:pPr>
          </w:p>
        </w:tc>
        <w:tc>
          <w:tcPr>
            <w:tcW w:w="185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0532-85166766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230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即墨区人力资源和社会保障局</w:t>
            </w:r>
          </w:p>
        </w:tc>
        <w:tc>
          <w:tcPr>
            <w:tcW w:w="3464" w:type="dxa"/>
            <w:tcBorders>
              <w:top w:val="nil"/>
              <w:left w:val="nil"/>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即墨区振武路496号政务服务大厅k楼809室</w:t>
            </w:r>
          </w:p>
        </w:tc>
        <w:tc>
          <w:tcPr>
            <w:tcW w:w="3118" w:type="dxa"/>
            <w:vMerge w:val="continue"/>
            <w:tcBorders>
              <w:left w:val="single" w:color="auto" w:sz="4" w:space="0"/>
              <w:right w:val="single" w:color="auto" w:sz="4" w:space="0"/>
            </w:tcBorders>
            <w:noWrap w:val="0"/>
            <w:vAlign w:val="top"/>
          </w:tcPr>
          <w:p>
            <w:pPr>
              <w:snapToGrid w:val="0"/>
            </w:pPr>
          </w:p>
        </w:tc>
        <w:tc>
          <w:tcPr>
            <w:tcW w:w="185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0532-88551734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230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胶州市人力资源和社会保障局</w:t>
            </w:r>
          </w:p>
        </w:tc>
        <w:tc>
          <w:tcPr>
            <w:tcW w:w="3464" w:type="dxa"/>
            <w:tcBorders>
              <w:top w:val="nil"/>
              <w:left w:val="nil"/>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胶州市北京路2号行政服务西楼13楼1309房间</w:t>
            </w:r>
          </w:p>
        </w:tc>
        <w:tc>
          <w:tcPr>
            <w:tcW w:w="3118" w:type="dxa"/>
            <w:vMerge w:val="continue"/>
            <w:tcBorders>
              <w:left w:val="single" w:color="auto" w:sz="4" w:space="0"/>
              <w:right w:val="single" w:color="auto" w:sz="4" w:space="0"/>
            </w:tcBorders>
            <w:noWrap w:val="0"/>
            <w:vAlign w:val="top"/>
          </w:tcPr>
          <w:p>
            <w:pPr>
              <w:snapToGrid w:val="0"/>
            </w:pPr>
          </w:p>
        </w:tc>
        <w:tc>
          <w:tcPr>
            <w:tcW w:w="185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0532-82206551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230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平度市人力资源和社会保障局</w:t>
            </w:r>
          </w:p>
        </w:tc>
        <w:tc>
          <w:tcPr>
            <w:tcW w:w="3464" w:type="dxa"/>
            <w:tcBorders>
              <w:top w:val="nil"/>
              <w:left w:val="nil"/>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平度市北京路379号1号楼219室</w:t>
            </w:r>
          </w:p>
        </w:tc>
        <w:tc>
          <w:tcPr>
            <w:tcW w:w="3118" w:type="dxa"/>
            <w:vMerge w:val="continue"/>
            <w:tcBorders>
              <w:left w:val="single" w:color="auto" w:sz="4" w:space="0"/>
              <w:right w:val="single" w:color="auto" w:sz="4" w:space="0"/>
            </w:tcBorders>
            <w:noWrap w:val="0"/>
            <w:vAlign w:val="top"/>
          </w:tcPr>
          <w:p>
            <w:pPr>
              <w:snapToGrid w:val="0"/>
            </w:pPr>
          </w:p>
        </w:tc>
        <w:tc>
          <w:tcPr>
            <w:tcW w:w="185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0532-88396837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230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莱西市人力资源和社会保障局</w:t>
            </w:r>
          </w:p>
        </w:tc>
        <w:tc>
          <w:tcPr>
            <w:tcW w:w="3464" w:type="dxa"/>
            <w:tcBorders>
              <w:top w:val="nil"/>
              <w:left w:val="nil"/>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莱西市烟台路79号公共就业和人才服务中心1号楼101室</w:t>
            </w:r>
          </w:p>
        </w:tc>
        <w:tc>
          <w:tcPr>
            <w:tcW w:w="3118" w:type="dxa"/>
            <w:vMerge w:val="continue"/>
            <w:tcBorders>
              <w:left w:val="single" w:color="auto" w:sz="4" w:space="0"/>
              <w:right w:val="single" w:color="auto" w:sz="4" w:space="0"/>
            </w:tcBorders>
            <w:noWrap w:val="0"/>
            <w:vAlign w:val="top"/>
          </w:tcPr>
          <w:p>
            <w:pPr>
              <w:snapToGrid w:val="0"/>
            </w:pPr>
          </w:p>
        </w:tc>
        <w:tc>
          <w:tcPr>
            <w:tcW w:w="185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0532-88475177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230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市南区人力资源和社会保障局</w:t>
            </w:r>
          </w:p>
        </w:tc>
        <w:tc>
          <w:tcPr>
            <w:tcW w:w="3464" w:type="dxa"/>
            <w:tcBorders>
              <w:top w:val="nil"/>
              <w:left w:val="nil"/>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市南区延安三路105号民生大厦一楼大厅6号窗口</w:t>
            </w:r>
          </w:p>
        </w:tc>
        <w:tc>
          <w:tcPr>
            <w:tcW w:w="3118" w:type="dxa"/>
            <w:vMerge w:val="continue"/>
            <w:tcBorders>
              <w:left w:val="single" w:color="auto" w:sz="4" w:space="0"/>
              <w:right w:val="single" w:color="auto" w:sz="4" w:space="0"/>
            </w:tcBorders>
            <w:noWrap w:val="0"/>
            <w:vAlign w:val="top"/>
          </w:tcPr>
          <w:p>
            <w:pPr>
              <w:snapToGrid w:val="0"/>
            </w:pPr>
          </w:p>
        </w:tc>
        <w:tc>
          <w:tcPr>
            <w:tcW w:w="185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0532-68896015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230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市北区人力资源和社会保障局</w:t>
            </w:r>
          </w:p>
        </w:tc>
        <w:tc>
          <w:tcPr>
            <w:tcW w:w="3464" w:type="dxa"/>
            <w:tcBorders>
              <w:top w:val="nil"/>
              <w:left w:val="nil"/>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市北区台柳路179号和达中心城B座二楼公共服务大厅</w:t>
            </w:r>
          </w:p>
        </w:tc>
        <w:tc>
          <w:tcPr>
            <w:tcW w:w="3118" w:type="dxa"/>
            <w:vMerge w:val="continue"/>
            <w:tcBorders>
              <w:left w:val="single" w:color="auto" w:sz="4" w:space="0"/>
              <w:bottom w:val="single" w:color="auto" w:sz="4" w:space="0"/>
              <w:right w:val="single" w:color="auto" w:sz="4" w:space="0"/>
            </w:tcBorders>
            <w:noWrap w:val="0"/>
            <w:vAlign w:val="top"/>
          </w:tcPr>
          <w:p>
            <w:pPr>
              <w:snapToGrid w:val="0"/>
            </w:pPr>
          </w:p>
        </w:tc>
        <w:tc>
          <w:tcPr>
            <w:tcW w:w="1854" w:type="dxa"/>
            <w:tcBorders>
              <w:top w:val="nil"/>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0532-51986590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2304"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李沧区人力资源和社会保障局</w:t>
            </w:r>
          </w:p>
        </w:tc>
        <w:tc>
          <w:tcPr>
            <w:tcW w:w="3464" w:type="dxa"/>
            <w:tcBorders>
              <w:top w:val="single" w:color="auto" w:sz="4" w:space="0"/>
              <w:left w:val="nil"/>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李沧区永平路19号甲李沧区公共就业和人才服务中心一楼大厅</w:t>
            </w:r>
          </w:p>
        </w:tc>
        <w:tc>
          <w:tcPr>
            <w:tcW w:w="3118" w:type="dxa"/>
            <w:vMerge w:val="continue"/>
            <w:tcBorders>
              <w:top w:val="single" w:color="auto" w:sz="4" w:space="0"/>
              <w:left w:val="single" w:color="auto" w:sz="4" w:space="0"/>
              <w:bottom w:val="single" w:color="auto" w:sz="4" w:space="0"/>
              <w:right w:val="single" w:color="auto" w:sz="4" w:space="0"/>
            </w:tcBorders>
            <w:noWrap w:val="0"/>
            <w:vAlign w:val="top"/>
          </w:tcPr>
          <w:p>
            <w:pPr>
              <w:snapToGrid w:val="0"/>
            </w:pPr>
          </w:p>
        </w:tc>
        <w:tc>
          <w:tcPr>
            <w:tcW w:w="1854" w:type="dxa"/>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textAlignment w:val="center"/>
              <w:rPr>
                <w:rFonts w:hint="eastAsia" w:ascii="仿宋_GB2312" w:hAnsi="宋体" w:cs="仿宋_GB2312"/>
                <w:color w:val="000000"/>
                <w:kern w:val="0"/>
                <w:sz w:val="24"/>
                <w:szCs w:val="24"/>
              </w:rPr>
            </w:pPr>
            <w:r>
              <w:rPr>
                <w:rFonts w:hint="eastAsia" w:ascii="仿宋_GB2312" w:hAnsi="宋体" w:cs="仿宋_GB2312"/>
                <w:color w:val="000000"/>
                <w:kern w:val="0"/>
                <w:sz w:val="24"/>
                <w:szCs w:val="24"/>
              </w:rPr>
              <w:t>0532-87896069</w:t>
            </w:r>
          </w:p>
        </w:tc>
      </w:tr>
    </w:tbl>
    <w:p>
      <w:pPr>
        <w:adjustRightInd w:val="0"/>
        <w:snapToGrid w:val="0"/>
        <w:spacing w:line="20" w:lineRule="exact"/>
        <w:jc w:val="left"/>
        <w:rPr>
          <w:rFonts w:hint="eastAsia" w:ascii="仿宋_GB2312" w:hAnsi="仿宋" w:cs="宋体"/>
          <w:bCs/>
          <w:snapToGrid w:val="0"/>
          <w:kern w:val="0"/>
        </w:rPr>
      </w:pPr>
    </w:p>
    <w:sectPr>
      <w:footerReference r:id="rId5" w:type="first"/>
      <w:footerReference r:id="rId3" w:type="default"/>
      <w:footerReference r:id="rId4" w:type="even"/>
      <w:pgSz w:w="11906" w:h="16838"/>
      <w:pgMar w:top="2098" w:right="1531" w:bottom="1814" w:left="1531" w:header="851" w:footer="1020" w:gutter="0"/>
      <w:cols w:space="720" w:num="1"/>
      <w:titlePg/>
      <w:docGrid w:type="linesAndChars" w:linePitch="587"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Verdana">
    <w:altName w:val="DejaVu Sans"/>
    <w:panose1 w:val="020B0604030504040204"/>
    <w:charset w:val="00"/>
    <w:family w:val="swiss"/>
    <w:pitch w:val="default"/>
    <w:sig w:usb0="00000000" w:usb1="00000000" w:usb2="00000010" w:usb3="00000000" w:csb0="0000019F" w:csb1="00000000"/>
  </w:font>
  <w:font w:name="方正小标宋_GBK">
    <w:panose1 w:val="02000000000000000000"/>
    <w:charset w:val="86"/>
    <w:family w:val="script"/>
    <w:pitch w:val="default"/>
    <w:sig w:usb0="00000001" w:usb1="08000000" w:usb2="00000000" w:usb3="00000000" w:csb0="00040000" w:csb1="00000000"/>
  </w:font>
  <w:font w:name="文星标宋">
    <w:altName w:val="方正书宋_GBK"/>
    <w:panose1 w:val="02010609000101010101"/>
    <w:charset w:val="00"/>
    <w:family w:val="modern"/>
    <w:pitch w:val="default"/>
    <w:sig w:usb0="00000000" w:usb1="00000000" w:usb2="00000010" w:usb3="00000000" w:csb0="00040000" w:csb1="00000000"/>
  </w:font>
  <w:font w:name="方正小标宋简体">
    <w:panose1 w:val="02000000000000000000"/>
    <w:charset w:val="86"/>
    <w:family w:val="script"/>
    <w:pitch w:val="default"/>
    <w:sig w:usb0="A00002BF" w:usb1="184F6CFA" w:usb2="00000012" w:usb3="00000000" w:csb0="00040001" w:csb1="00000000"/>
  </w:font>
  <w:font w:name="华文仿宋">
    <w:altName w:val="汉仪仿宋简"/>
    <w:panose1 w:val="02010600040101010101"/>
    <w:charset w:val="00"/>
    <w:family w:val="auto"/>
    <w:pitch w:val="default"/>
    <w:sig w:usb0="00000000" w:usb1="00000000" w:usb2="00000010" w:usb3="00000000" w:csb0="0004009F" w:csb1="00000000"/>
  </w:font>
  <w:font w:name="微软雅黑">
    <w:altName w:val="方正黑体_GBK"/>
    <w:panose1 w:val="020B0503020204020204"/>
    <w:charset w:val="00"/>
    <w:family w:val="swiss"/>
    <w:pitch w:val="default"/>
    <w:sig w:usb0="00000000" w:usb1="00000000" w:usb2="00000016" w:usb3="00000000" w:csb0="0004001F" w:csb1="00000000"/>
  </w:font>
  <w:font w:name="楷体_GB2312">
    <w:altName w:val="方正楷体_GBK"/>
    <w:panose1 w:val="02010609030101010101"/>
    <w:charset w:val="00"/>
    <w:family w:val="modern"/>
    <w:pitch w:val="default"/>
    <w:sig w:usb0="00000000" w:usb1="00000000" w:usb2="00000010" w:usb3="00000000" w:csb0="00040000" w:csb1="00000000"/>
  </w:font>
  <w:font w:name="仿宋">
    <w:altName w:val="方正仿宋_GBK"/>
    <w:panose1 w:val="02010609060101010101"/>
    <w:charset w:val="00"/>
    <w:family w:val="modern"/>
    <w:pitch w:val="default"/>
    <w:sig w:usb0="00000000" w:usb1="00000000" w:usb2="00000016" w:usb3="00000000" w:csb0="00040001" w:csb1="00000000"/>
  </w:font>
  <w:font w:name="楷体">
    <w:altName w:val="方正楷体_GBK"/>
    <w:panose1 w:val="02010609060101010101"/>
    <w:charset w:val="00"/>
    <w:family w:val="modern"/>
    <w:pitch w:val="default"/>
    <w:sig w:usb0="00000000" w:usb1="00000000" w:usb2="00000016" w:usb3="00000000" w:csb0="00040001" w:csb1="00000000"/>
  </w:font>
  <w:font w:name="Cambria">
    <w:altName w:val="Noto Sans Syriac Eastern"/>
    <w:panose1 w:val="02040503050406030204"/>
    <w:charset w:val="00"/>
    <w:family w:val="roman"/>
    <w:pitch w:val="default"/>
    <w:sig w:usb0="00000000" w:usb1="00000000" w:usb2="00000000" w:usb3="00000000" w:csb0="0000019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1155" w:h="599" w:hRule="exact" w:wrap="around" w:vAnchor="text" w:hAnchor="page" w:x="9337" w:y="-322"/>
      <w:rPr>
        <w:rFonts w:hint="eastAsia" w:ascii="宋体" w:hAnsi="宋体" w:eastAsia="宋体"/>
        <w:sz w:val="28"/>
        <w:szCs w:val="28"/>
        <w:lang w:eastAsia="en-US"/>
      </w:rPr>
    </w:pPr>
    <w:r>
      <w:rPr>
        <w:rFonts w:hint="eastAsia" w:ascii="宋体" w:hAnsi="宋体" w:eastAsia="宋体"/>
        <w:sz w:val="28"/>
        <w:szCs w:val="28"/>
        <w:lang w:eastAsia="en-US"/>
      </w:rPr>
      <w:t xml:space="preserve">— </w:t>
    </w:r>
    <w:r>
      <w:rPr>
        <w:rFonts w:hint="eastAsia" w:ascii="宋体" w:hAnsi="宋体" w:eastAsia="宋体"/>
        <w:sz w:val="28"/>
        <w:szCs w:val="28"/>
        <w:lang w:eastAsia="en-US"/>
      </w:rPr>
      <w:fldChar w:fldCharType="begin"/>
    </w:r>
    <w:r>
      <w:rPr>
        <w:rFonts w:hint="eastAsia" w:ascii="宋体" w:hAnsi="宋体" w:eastAsia="宋体"/>
        <w:sz w:val="28"/>
        <w:szCs w:val="28"/>
        <w:lang w:eastAsia="en-US"/>
      </w:rPr>
      <w:instrText xml:space="preserve"> PAGE  \* MERGEFORMAT </w:instrText>
    </w:r>
    <w:r>
      <w:rPr>
        <w:rFonts w:hint="eastAsia" w:ascii="宋体" w:hAnsi="宋体" w:eastAsia="宋体"/>
        <w:sz w:val="28"/>
        <w:szCs w:val="28"/>
        <w:lang w:eastAsia="en-US"/>
      </w:rPr>
      <w:fldChar w:fldCharType="separate"/>
    </w:r>
    <w:r>
      <w:rPr>
        <w:rFonts w:ascii="宋体" w:hAnsi="宋体" w:eastAsia="宋体"/>
        <w:sz w:val="28"/>
        <w:szCs w:val="28"/>
        <w:lang w:eastAsia="en-US"/>
      </w:rPr>
      <w:t>7</w:t>
    </w:r>
    <w:r>
      <w:rPr>
        <w:rFonts w:hint="eastAsia" w:ascii="宋体" w:hAnsi="宋体" w:eastAsia="宋体"/>
        <w:sz w:val="28"/>
        <w:szCs w:val="28"/>
        <w:lang w:eastAsia="en-US"/>
      </w:rPr>
      <w:fldChar w:fldCharType="end"/>
    </w:r>
    <w:r>
      <w:rPr>
        <w:rFonts w:hint="eastAsia" w:ascii="宋体" w:hAnsi="宋体" w:eastAsia="宋体"/>
        <w:sz w:val="28"/>
        <w:szCs w:val="28"/>
        <w:lang w:eastAsia="en-US"/>
      </w:rPr>
      <w:t xml:space="preserve"> —</w:t>
    </w:r>
  </w:p>
  <w:p>
    <w:pPr>
      <w:pStyle w:val="10"/>
      <w:framePr w:w="1155" w:h="599" w:hRule="exact" w:wrap="around" w:vAnchor="text" w:hAnchor="page" w:x="9337" w:y="-322"/>
      <w:rPr>
        <w:rStyle w:val="17"/>
        <w:sz w:val="28"/>
        <w:szCs w:val="28"/>
      </w:rPr>
    </w:pPr>
  </w:p>
  <w:p>
    <w:pPr>
      <w:pStyle w:val="10"/>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wordWrap w:val="0"/>
      <w:ind w:right="1120"/>
      <w:rPr>
        <w:rFonts w:ascii="宋体" w:hAnsi="宋体" w:eastAsia="宋体"/>
        <w:sz w:val="28"/>
        <w:szCs w:val="28"/>
      </w:rPr>
    </w:pPr>
    <w:r>
      <w:rPr>
        <w:rFonts w:hint="eastAsia" w:ascii="宋体" w:hAnsi="宋体" w:eastAsia="宋体"/>
        <w:sz w:val="28"/>
        <w:szCs w:val="28"/>
      </w:rPr>
      <w:t xml:space="preserve">—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 xml:space="preserve"> —</w:t>
    </w:r>
  </w:p>
  <w:p>
    <w:pPr>
      <w:tabs>
        <w:tab w:val="left" w:pos="249"/>
      </w:tabs>
      <w:spacing w:line="240" w:lineRule="exact"/>
      <w:ind w:left="320" w:leftChars="100" w:right="57" w:firstLine="360"/>
      <w:rPr>
        <w:rFonts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left="640"/>
    </w:pPr>
    <w:r>
      <w:pict>
        <v:shape id="文本框 3" o:spid="_x0000_s4097" o:spt="202" type="#_x0000_t202" style="position:absolute;left:0pt;margin-top:0pt;height:144pt;width:144pt;mso-position-horizontal:outside;mso-position-horizontal-relative:margin;mso-wrap-style:none;z-index:251658240;mso-width-relative:page;mso-height-relative:page;" filled="f" stroked="f" coordsize="21600,21600">
          <v:path/>
          <v:fill on="f" focussize="0,0"/>
          <v:stroke on="f"/>
          <v:imagedata o:title=""/>
          <o:lock v:ext="edit" grouping="f" rotation="f" text="f" aspectratio="f"/>
          <v:textbox inset="0mm,0mm,0mm,0mm" style="mso-fit-shape-to-text:t;">
            <w:txbxContent>
              <w:p>
                <w:pPr>
                  <w:snapToGrid w:val="0"/>
                  <w:rPr>
                    <w:rFonts w:hint="eastAsia"/>
                    <w:sz w:val="18"/>
                  </w:rPr>
                </w:pPr>
              </w:p>
            </w:txbxContent>
          </v:textbox>
        </v:shape>
      </w:pict>
    </w:r>
  </w:p>
  <w:tbl>
    <w:tblPr>
      <w:tblStyle w:val="13"/>
      <w:tblW w:w="0" w:type="auto"/>
      <w:jc w:val="center"/>
      <w:tblBorders>
        <w:top w:val="thickThinMediumGap" w:color="FF0000" w:sz="24" w:space="0"/>
        <w:left w:val="none" w:color="auto" w:sz="0" w:space="0"/>
        <w:bottom w:val="none" w:color="auto" w:sz="0" w:space="0"/>
        <w:right w:val="none" w:color="auto" w:sz="0" w:space="0"/>
        <w:insideH w:val="thickThinMediumGap" w:color="FF0000" w:sz="24" w:space="0"/>
        <w:insideV w:val="thickThinMediumGap" w:color="FF0000" w:sz="24" w:space="0"/>
      </w:tblBorders>
      <w:tblLayout w:type="fixed"/>
      <w:tblCellMar>
        <w:top w:w="0" w:type="dxa"/>
        <w:left w:w="108" w:type="dxa"/>
        <w:bottom w:w="0" w:type="dxa"/>
        <w:right w:w="108" w:type="dxa"/>
      </w:tblCellMar>
    </w:tblPr>
    <w:tblGrid>
      <w:gridCol w:w="9639"/>
    </w:tblGrid>
    <w:tr>
      <w:tblPrEx>
        <w:tblBorders>
          <w:top w:val="thickThinMediumGap" w:color="FF0000" w:sz="24" w:space="0"/>
          <w:left w:val="none" w:color="auto" w:sz="0" w:space="0"/>
          <w:bottom w:val="none" w:color="auto" w:sz="0" w:space="0"/>
          <w:right w:val="none" w:color="auto" w:sz="0" w:space="0"/>
          <w:insideH w:val="thickThinMediumGap" w:color="FF0000" w:sz="24" w:space="0"/>
          <w:insideV w:val="thickThinMediumGap" w:color="FF0000" w:sz="24" w:space="0"/>
        </w:tblBorders>
        <w:tblCellMar>
          <w:top w:w="0" w:type="dxa"/>
          <w:left w:w="108" w:type="dxa"/>
          <w:bottom w:w="0" w:type="dxa"/>
          <w:right w:w="108" w:type="dxa"/>
        </w:tblCellMar>
      </w:tblPrEx>
      <w:trPr>
        <w:trHeight w:val="113" w:hRule="exact"/>
        <w:jc w:val="center"/>
      </w:trPr>
      <w:tc>
        <w:tcPr>
          <w:tcW w:w="9639" w:type="dxa"/>
          <w:noWrap w:val="0"/>
          <w:vAlign w:val="top"/>
        </w:tcPr>
        <w:p>
          <w:pPr>
            <w:pStyle w:val="10"/>
            <w:ind w:left="640"/>
          </w:pPr>
          <w:r>
            <w:pict>
              <v:shape id="_x0000_s4098" o:spid="_x0000_s4098"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grouping="f" rotation="f" text="f" aspectratio="f"/>
                <v:textbox inset="0mm,0mm,0mm,0mm" style="mso-fit-shape-to-text:t;">
                  <w:txbxContent>
                    <w:p>
                      <w:pPr>
                        <w:snapToGrid w:val="0"/>
                        <w:rPr>
                          <w:rFonts w:hint="eastAsia"/>
                          <w:sz w:val="18"/>
                        </w:rPr>
                      </w:pPr>
                    </w:p>
                  </w:txbxContent>
                </v:textbox>
              </v:shape>
            </w:pict>
          </w:r>
        </w:p>
      </w:tc>
    </w:tr>
  </w:tbl>
  <w:p>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false"/>
  <w:bordersDoNotSurroundFooter w:val="fal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true"/>
  <w:drawingGridHorizontalSpacing w:val="158"/>
  <w:drawingGridVerticalSpacing w:val="587"/>
  <w:displayHorizontalDrawingGridEvery w:val="1"/>
  <w:displayVerticalDrawingGridEvery w:val="1"/>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2ViNWNlZWE2MGE5OWU5MjBjZjNmMDI0OTU0YjgyNjIifQ=="/>
  </w:docVars>
  <w:rsids>
    <w:rsidRoot w:val="005D0C86"/>
    <w:rsid w:val="00000F5B"/>
    <w:rsid w:val="00001AAD"/>
    <w:rsid w:val="00001E47"/>
    <w:rsid w:val="00015384"/>
    <w:rsid w:val="0002118B"/>
    <w:rsid w:val="00021DF5"/>
    <w:rsid w:val="00023663"/>
    <w:rsid w:val="00030AD8"/>
    <w:rsid w:val="00041CFF"/>
    <w:rsid w:val="00044A1A"/>
    <w:rsid w:val="0004504C"/>
    <w:rsid w:val="00046DC3"/>
    <w:rsid w:val="00050827"/>
    <w:rsid w:val="0005226C"/>
    <w:rsid w:val="000530E0"/>
    <w:rsid w:val="00061E1F"/>
    <w:rsid w:val="0006295B"/>
    <w:rsid w:val="000635A3"/>
    <w:rsid w:val="00063BB8"/>
    <w:rsid w:val="00065504"/>
    <w:rsid w:val="000674AD"/>
    <w:rsid w:val="0007554F"/>
    <w:rsid w:val="00075671"/>
    <w:rsid w:val="0008172C"/>
    <w:rsid w:val="00083160"/>
    <w:rsid w:val="000863C9"/>
    <w:rsid w:val="000875ED"/>
    <w:rsid w:val="000A3CC2"/>
    <w:rsid w:val="000C0065"/>
    <w:rsid w:val="000D6F11"/>
    <w:rsid w:val="000E64D0"/>
    <w:rsid w:val="000E67C3"/>
    <w:rsid w:val="000E742D"/>
    <w:rsid w:val="000E7AF5"/>
    <w:rsid w:val="00102227"/>
    <w:rsid w:val="001036E6"/>
    <w:rsid w:val="001076EA"/>
    <w:rsid w:val="001169ED"/>
    <w:rsid w:val="001232E2"/>
    <w:rsid w:val="001235BE"/>
    <w:rsid w:val="0013020A"/>
    <w:rsid w:val="00131170"/>
    <w:rsid w:val="001332CE"/>
    <w:rsid w:val="001371E3"/>
    <w:rsid w:val="00140F9C"/>
    <w:rsid w:val="00141D76"/>
    <w:rsid w:val="00146FD2"/>
    <w:rsid w:val="0015071D"/>
    <w:rsid w:val="00150EE0"/>
    <w:rsid w:val="00151536"/>
    <w:rsid w:val="00152168"/>
    <w:rsid w:val="00156C38"/>
    <w:rsid w:val="00162606"/>
    <w:rsid w:val="001722E4"/>
    <w:rsid w:val="00181790"/>
    <w:rsid w:val="001830E7"/>
    <w:rsid w:val="00184BE4"/>
    <w:rsid w:val="00185D9B"/>
    <w:rsid w:val="0019300B"/>
    <w:rsid w:val="0019371A"/>
    <w:rsid w:val="001A2FCB"/>
    <w:rsid w:val="001C2D21"/>
    <w:rsid w:val="001C339F"/>
    <w:rsid w:val="001D3577"/>
    <w:rsid w:val="001D4915"/>
    <w:rsid w:val="001E62CF"/>
    <w:rsid w:val="001F2F1C"/>
    <w:rsid w:val="00205772"/>
    <w:rsid w:val="0020714D"/>
    <w:rsid w:val="002130DE"/>
    <w:rsid w:val="00215621"/>
    <w:rsid w:val="00217559"/>
    <w:rsid w:val="00217CA8"/>
    <w:rsid w:val="00223C8A"/>
    <w:rsid w:val="0022508A"/>
    <w:rsid w:val="002272C6"/>
    <w:rsid w:val="00231CDD"/>
    <w:rsid w:val="00232BFD"/>
    <w:rsid w:val="00240B60"/>
    <w:rsid w:val="0024609E"/>
    <w:rsid w:val="00253E34"/>
    <w:rsid w:val="0025479A"/>
    <w:rsid w:val="00255395"/>
    <w:rsid w:val="00263263"/>
    <w:rsid w:val="002846BF"/>
    <w:rsid w:val="00285BC8"/>
    <w:rsid w:val="002901CD"/>
    <w:rsid w:val="00290A65"/>
    <w:rsid w:val="002A3CD7"/>
    <w:rsid w:val="002B1C8E"/>
    <w:rsid w:val="002B45F6"/>
    <w:rsid w:val="002B665B"/>
    <w:rsid w:val="002B6F24"/>
    <w:rsid w:val="002C2DC7"/>
    <w:rsid w:val="002C7777"/>
    <w:rsid w:val="002E117E"/>
    <w:rsid w:val="002E1C6C"/>
    <w:rsid w:val="002E31D1"/>
    <w:rsid w:val="002F7DD3"/>
    <w:rsid w:val="003053C5"/>
    <w:rsid w:val="00305FCF"/>
    <w:rsid w:val="003176A4"/>
    <w:rsid w:val="00322B97"/>
    <w:rsid w:val="003234E8"/>
    <w:rsid w:val="00323A71"/>
    <w:rsid w:val="00324DAD"/>
    <w:rsid w:val="00326F20"/>
    <w:rsid w:val="0034036E"/>
    <w:rsid w:val="00342A39"/>
    <w:rsid w:val="00345035"/>
    <w:rsid w:val="00362863"/>
    <w:rsid w:val="00364A45"/>
    <w:rsid w:val="00364BD0"/>
    <w:rsid w:val="0036560B"/>
    <w:rsid w:val="00365AC9"/>
    <w:rsid w:val="003721F4"/>
    <w:rsid w:val="00373B19"/>
    <w:rsid w:val="003743B2"/>
    <w:rsid w:val="0037617D"/>
    <w:rsid w:val="00380138"/>
    <w:rsid w:val="0038194A"/>
    <w:rsid w:val="00384C3C"/>
    <w:rsid w:val="003915A1"/>
    <w:rsid w:val="00395B13"/>
    <w:rsid w:val="003975CA"/>
    <w:rsid w:val="003A0EC2"/>
    <w:rsid w:val="003A1180"/>
    <w:rsid w:val="003A2A46"/>
    <w:rsid w:val="003A6293"/>
    <w:rsid w:val="003B00D5"/>
    <w:rsid w:val="003B4077"/>
    <w:rsid w:val="003C0387"/>
    <w:rsid w:val="003C1FC3"/>
    <w:rsid w:val="003C22F4"/>
    <w:rsid w:val="003C582C"/>
    <w:rsid w:val="003D2748"/>
    <w:rsid w:val="003E0E27"/>
    <w:rsid w:val="003E1A5E"/>
    <w:rsid w:val="003E1DCF"/>
    <w:rsid w:val="003E5503"/>
    <w:rsid w:val="003E6B29"/>
    <w:rsid w:val="003F27B1"/>
    <w:rsid w:val="003F3E70"/>
    <w:rsid w:val="003F5FB0"/>
    <w:rsid w:val="003F7C86"/>
    <w:rsid w:val="00403284"/>
    <w:rsid w:val="00406759"/>
    <w:rsid w:val="00407E53"/>
    <w:rsid w:val="00412C0E"/>
    <w:rsid w:val="00413791"/>
    <w:rsid w:val="0042060F"/>
    <w:rsid w:val="00420E91"/>
    <w:rsid w:val="00434096"/>
    <w:rsid w:val="00434F52"/>
    <w:rsid w:val="00444AA2"/>
    <w:rsid w:val="00453200"/>
    <w:rsid w:val="004575B0"/>
    <w:rsid w:val="004575C0"/>
    <w:rsid w:val="004612DC"/>
    <w:rsid w:val="004614A5"/>
    <w:rsid w:val="00463BFA"/>
    <w:rsid w:val="00466596"/>
    <w:rsid w:val="0048688F"/>
    <w:rsid w:val="00492904"/>
    <w:rsid w:val="004937FC"/>
    <w:rsid w:val="0049437B"/>
    <w:rsid w:val="004A24EB"/>
    <w:rsid w:val="004A2A4A"/>
    <w:rsid w:val="004A2E0B"/>
    <w:rsid w:val="004A39D3"/>
    <w:rsid w:val="004A7CB6"/>
    <w:rsid w:val="004B1F72"/>
    <w:rsid w:val="004B7880"/>
    <w:rsid w:val="004B7DC7"/>
    <w:rsid w:val="004C1231"/>
    <w:rsid w:val="004C1F5A"/>
    <w:rsid w:val="004D0CB4"/>
    <w:rsid w:val="004D34D8"/>
    <w:rsid w:val="004D791A"/>
    <w:rsid w:val="004F05E1"/>
    <w:rsid w:val="004F1499"/>
    <w:rsid w:val="004F1E0B"/>
    <w:rsid w:val="004F4224"/>
    <w:rsid w:val="004F4699"/>
    <w:rsid w:val="004F4871"/>
    <w:rsid w:val="005036A7"/>
    <w:rsid w:val="00511145"/>
    <w:rsid w:val="00517ACE"/>
    <w:rsid w:val="00517FFE"/>
    <w:rsid w:val="005214D4"/>
    <w:rsid w:val="00532F96"/>
    <w:rsid w:val="00541E33"/>
    <w:rsid w:val="00543BEF"/>
    <w:rsid w:val="00543FF9"/>
    <w:rsid w:val="00552374"/>
    <w:rsid w:val="005526E6"/>
    <w:rsid w:val="00553692"/>
    <w:rsid w:val="00557AF3"/>
    <w:rsid w:val="0056311C"/>
    <w:rsid w:val="005858A7"/>
    <w:rsid w:val="00587EF2"/>
    <w:rsid w:val="00591EBC"/>
    <w:rsid w:val="005A1BE3"/>
    <w:rsid w:val="005A48FA"/>
    <w:rsid w:val="005A51EC"/>
    <w:rsid w:val="005A5DC4"/>
    <w:rsid w:val="005B1655"/>
    <w:rsid w:val="005B7F11"/>
    <w:rsid w:val="005C0472"/>
    <w:rsid w:val="005C051A"/>
    <w:rsid w:val="005C05D7"/>
    <w:rsid w:val="005C1A24"/>
    <w:rsid w:val="005C2B44"/>
    <w:rsid w:val="005C71F9"/>
    <w:rsid w:val="005C732B"/>
    <w:rsid w:val="005D0118"/>
    <w:rsid w:val="005D0390"/>
    <w:rsid w:val="005D0C86"/>
    <w:rsid w:val="005D2C88"/>
    <w:rsid w:val="005F5243"/>
    <w:rsid w:val="005F653E"/>
    <w:rsid w:val="00603376"/>
    <w:rsid w:val="006158AB"/>
    <w:rsid w:val="0061683F"/>
    <w:rsid w:val="00626E80"/>
    <w:rsid w:val="00626EBF"/>
    <w:rsid w:val="00630C92"/>
    <w:rsid w:val="006452A9"/>
    <w:rsid w:val="00645BA2"/>
    <w:rsid w:val="00650247"/>
    <w:rsid w:val="0065340E"/>
    <w:rsid w:val="006750CE"/>
    <w:rsid w:val="00681EB1"/>
    <w:rsid w:val="00682FF4"/>
    <w:rsid w:val="00686265"/>
    <w:rsid w:val="0069660E"/>
    <w:rsid w:val="006A0DE8"/>
    <w:rsid w:val="006A29AB"/>
    <w:rsid w:val="006A2AF1"/>
    <w:rsid w:val="006A4E26"/>
    <w:rsid w:val="006B0BED"/>
    <w:rsid w:val="006B0C31"/>
    <w:rsid w:val="006B0D94"/>
    <w:rsid w:val="006B1A06"/>
    <w:rsid w:val="006B225D"/>
    <w:rsid w:val="006B3E96"/>
    <w:rsid w:val="006C6520"/>
    <w:rsid w:val="006D0BBE"/>
    <w:rsid w:val="006D2855"/>
    <w:rsid w:val="006D2E18"/>
    <w:rsid w:val="006D4837"/>
    <w:rsid w:val="006E1A0A"/>
    <w:rsid w:val="006E23D8"/>
    <w:rsid w:val="006E2DDA"/>
    <w:rsid w:val="006E6145"/>
    <w:rsid w:val="006E6C63"/>
    <w:rsid w:val="006F25F0"/>
    <w:rsid w:val="006F27AA"/>
    <w:rsid w:val="006F4759"/>
    <w:rsid w:val="00700031"/>
    <w:rsid w:val="00705EB5"/>
    <w:rsid w:val="00706771"/>
    <w:rsid w:val="00710E91"/>
    <w:rsid w:val="00713D1C"/>
    <w:rsid w:val="00714389"/>
    <w:rsid w:val="00721CCD"/>
    <w:rsid w:val="00723F73"/>
    <w:rsid w:val="007252E8"/>
    <w:rsid w:val="00726E2D"/>
    <w:rsid w:val="007419BA"/>
    <w:rsid w:val="00742762"/>
    <w:rsid w:val="007450C9"/>
    <w:rsid w:val="00746B88"/>
    <w:rsid w:val="00753E9F"/>
    <w:rsid w:val="00755ED5"/>
    <w:rsid w:val="007919CB"/>
    <w:rsid w:val="00794151"/>
    <w:rsid w:val="007A04C5"/>
    <w:rsid w:val="007A28FD"/>
    <w:rsid w:val="007A3850"/>
    <w:rsid w:val="007A62E7"/>
    <w:rsid w:val="007A663B"/>
    <w:rsid w:val="007A7793"/>
    <w:rsid w:val="007B3096"/>
    <w:rsid w:val="007C3F5C"/>
    <w:rsid w:val="007C57F7"/>
    <w:rsid w:val="007C70DA"/>
    <w:rsid w:val="007D24EB"/>
    <w:rsid w:val="007D5BD3"/>
    <w:rsid w:val="007E0F93"/>
    <w:rsid w:val="007E1C05"/>
    <w:rsid w:val="007E5325"/>
    <w:rsid w:val="007F0455"/>
    <w:rsid w:val="007F514D"/>
    <w:rsid w:val="007F5A57"/>
    <w:rsid w:val="007F5CCF"/>
    <w:rsid w:val="008058FC"/>
    <w:rsid w:val="00814795"/>
    <w:rsid w:val="008158B3"/>
    <w:rsid w:val="008225F3"/>
    <w:rsid w:val="0082383A"/>
    <w:rsid w:val="00824852"/>
    <w:rsid w:val="00827140"/>
    <w:rsid w:val="00831F55"/>
    <w:rsid w:val="0083731B"/>
    <w:rsid w:val="00841007"/>
    <w:rsid w:val="00843E01"/>
    <w:rsid w:val="008459F9"/>
    <w:rsid w:val="0085220F"/>
    <w:rsid w:val="00860EC4"/>
    <w:rsid w:val="00863C4C"/>
    <w:rsid w:val="00871CA6"/>
    <w:rsid w:val="00873683"/>
    <w:rsid w:val="00892DF3"/>
    <w:rsid w:val="00893F2F"/>
    <w:rsid w:val="00897333"/>
    <w:rsid w:val="008973BE"/>
    <w:rsid w:val="008A5429"/>
    <w:rsid w:val="008B09E9"/>
    <w:rsid w:val="008D2D51"/>
    <w:rsid w:val="008E08B9"/>
    <w:rsid w:val="008E0D6C"/>
    <w:rsid w:val="008E0E22"/>
    <w:rsid w:val="008E20C3"/>
    <w:rsid w:val="008E51E8"/>
    <w:rsid w:val="008E6F4A"/>
    <w:rsid w:val="008E7D4B"/>
    <w:rsid w:val="00901967"/>
    <w:rsid w:val="00917067"/>
    <w:rsid w:val="00920CC3"/>
    <w:rsid w:val="00921C49"/>
    <w:rsid w:val="00926D3F"/>
    <w:rsid w:val="0092719C"/>
    <w:rsid w:val="00931FBA"/>
    <w:rsid w:val="00933AB8"/>
    <w:rsid w:val="009414FB"/>
    <w:rsid w:val="009456AC"/>
    <w:rsid w:val="00950FDC"/>
    <w:rsid w:val="00954A16"/>
    <w:rsid w:val="009574E8"/>
    <w:rsid w:val="00957C9D"/>
    <w:rsid w:val="00963BDF"/>
    <w:rsid w:val="009656E1"/>
    <w:rsid w:val="0096632F"/>
    <w:rsid w:val="009672D1"/>
    <w:rsid w:val="0096762F"/>
    <w:rsid w:val="0097577C"/>
    <w:rsid w:val="00976838"/>
    <w:rsid w:val="00977949"/>
    <w:rsid w:val="009866C2"/>
    <w:rsid w:val="00986965"/>
    <w:rsid w:val="009948D2"/>
    <w:rsid w:val="00997CBF"/>
    <w:rsid w:val="009A038A"/>
    <w:rsid w:val="009A1DE8"/>
    <w:rsid w:val="009B2642"/>
    <w:rsid w:val="009C1606"/>
    <w:rsid w:val="009D14B2"/>
    <w:rsid w:val="009D7E50"/>
    <w:rsid w:val="009E22D4"/>
    <w:rsid w:val="009E3621"/>
    <w:rsid w:val="009F2D21"/>
    <w:rsid w:val="009F490E"/>
    <w:rsid w:val="009F644B"/>
    <w:rsid w:val="009F6BFC"/>
    <w:rsid w:val="009F6DF3"/>
    <w:rsid w:val="009F734D"/>
    <w:rsid w:val="00A00087"/>
    <w:rsid w:val="00A02703"/>
    <w:rsid w:val="00A03B5F"/>
    <w:rsid w:val="00A2031B"/>
    <w:rsid w:val="00A272C5"/>
    <w:rsid w:val="00A33BFC"/>
    <w:rsid w:val="00A40BCA"/>
    <w:rsid w:val="00A4264A"/>
    <w:rsid w:val="00A5422D"/>
    <w:rsid w:val="00A6106C"/>
    <w:rsid w:val="00A634B3"/>
    <w:rsid w:val="00A63CE8"/>
    <w:rsid w:val="00A651BA"/>
    <w:rsid w:val="00A7219A"/>
    <w:rsid w:val="00A761BF"/>
    <w:rsid w:val="00A862C3"/>
    <w:rsid w:val="00A876C1"/>
    <w:rsid w:val="00AA1518"/>
    <w:rsid w:val="00AA66F8"/>
    <w:rsid w:val="00AB1129"/>
    <w:rsid w:val="00AB49B6"/>
    <w:rsid w:val="00AC7579"/>
    <w:rsid w:val="00AD1543"/>
    <w:rsid w:val="00AF1DA3"/>
    <w:rsid w:val="00AF4C63"/>
    <w:rsid w:val="00AF5463"/>
    <w:rsid w:val="00B01E1F"/>
    <w:rsid w:val="00B07BD9"/>
    <w:rsid w:val="00B12810"/>
    <w:rsid w:val="00B12BD4"/>
    <w:rsid w:val="00B138AB"/>
    <w:rsid w:val="00B20CB1"/>
    <w:rsid w:val="00B2126A"/>
    <w:rsid w:val="00B228F2"/>
    <w:rsid w:val="00B2342F"/>
    <w:rsid w:val="00B2369C"/>
    <w:rsid w:val="00B251AF"/>
    <w:rsid w:val="00B32F19"/>
    <w:rsid w:val="00B356DE"/>
    <w:rsid w:val="00B41ECB"/>
    <w:rsid w:val="00B422F8"/>
    <w:rsid w:val="00B46183"/>
    <w:rsid w:val="00B50C27"/>
    <w:rsid w:val="00B51BED"/>
    <w:rsid w:val="00B554E9"/>
    <w:rsid w:val="00B67C7B"/>
    <w:rsid w:val="00B71976"/>
    <w:rsid w:val="00B71F0D"/>
    <w:rsid w:val="00B80A16"/>
    <w:rsid w:val="00B81226"/>
    <w:rsid w:val="00B845C0"/>
    <w:rsid w:val="00B866B4"/>
    <w:rsid w:val="00B9206C"/>
    <w:rsid w:val="00B9232C"/>
    <w:rsid w:val="00B95BF9"/>
    <w:rsid w:val="00B9656D"/>
    <w:rsid w:val="00BA4A7D"/>
    <w:rsid w:val="00BB0D22"/>
    <w:rsid w:val="00BB1A75"/>
    <w:rsid w:val="00BB346A"/>
    <w:rsid w:val="00BC2395"/>
    <w:rsid w:val="00BC299B"/>
    <w:rsid w:val="00BD3822"/>
    <w:rsid w:val="00BD3B11"/>
    <w:rsid w:val="00BE3580"/>
    <w:rsid w:val="00BE6558"/>
    <w:rsid w:val="00C00B6A"/>
    <w:rsid w:val="00C021DE"/>
    <w:rsid w:val="00C036AA"/>
    <w:rsid w:val="00C04874"/>
    <w:rsid w:val="00C06913"/>
    <w:rsid w:val="00C13449"/>
    <w:rsid w:val="00C21071"/>
    <w:rsid w:val="00C21A06"/>
    <w:rsid w:val="00C22988"/>
    <w:rsid w:val="00C23180"/>
    <w:rsid w:val="00C307D1"/>
    <w:rsid w:val="00C30B38"/>
    <w:rsid w:val="00C400DA"/>
    <w:rsid w:val="00C43F2E"/>
    <w:rsid w:val="00C44147"/>
    <w:rsid w:val="00C45E54"/>
    <w:rsid w:val="00C45EF7"/>
    <w:rsid w:val="00C52746"/>
    <w:rsid w:val="00C5311C"/>
    <w:rsid w:val="00C55684"/>
    <w:rsid w:val="00C55A2C"/>
    <w:rsid w:val="00C60B0B"/>
    <w:rsid w:val="00C7094A"/>
    <w:rsid w:val="00C7104B"/>
    <w:rsid w:val="00C82C70"/>
    <w:rsid w:val="00C93454"/>
    <w:rsid w:val="00C97CC9"/>
    <w:rsid w:val="00CA78E1"/>
    <w:rsid w:val="00CB7C0E"/>
    <w:rsid w:val="00CD39E6"/>
    <w:rsid w:val="00CE0673"/>
    <w:rsid w:val="00CE06F7"/>
    <w:rsid w:val="00CE3ABF"/>
    <w:rsid w:val="00CF5E39"/>
    <w:rsid w:val="00CF7F93"/>
    <w:rsid w:val="00D0071A"/>
    <w:rsid w:val="00D010F5"/>
    <w:rsid w:val="00D03118"/>
    <w:rsid w:val="00D05A1C"/>
    <w:rsid w:val="00D063EF"/>
    <w:rsid w:val="00D07A8F"/>
    <w:rsid w:val="00D10456"/>
    <w:rsid w:val="00D11B3C"/>
    <w:rsid w:val="00D14EEE"/>
    <w:rsid w:val="00D273FB"/>
    <w:rsid w:val="00D27EC4"/>
    <w:rsid w:val="00D35E02"/>
    <w:rsid w:val="00D43427"/>
    <w:rsid w:val="00D445BD"/>
    <w:rsid w:val="00D46B7C"/>
    <w:rsid w:val="00D52AD3"/>
    <w:rsid w:val="00D554B9"/>
    <w:rsid w:val="00D560F3"/>
    <w:rsid w:val="00D561B9"/>
    <w:rsid w:val="00D56645"/>
    <w:rsid w:val="00D5700E"/>
    <w:rsid w:val="00D6750F"/>
    <w:rsid w:val="00D70823"/>
    <w:rsid w:val="00D770C9"/>
    <w:rsid w:val="00D84E3A"/>
    <w:rsid w:val="00D90021"/>
    <w:rsid w:val="00D9446B"/>
    <w:rsid w:val="00DA109D"/>
    <w:rsid w:val="00DB3BE7"/>
    <w:rsid w:val="00DC0783"/>
    <w:rsid w:val="00DD1B7B"/>
    <w:rsid w:val="00DD2EDD"/>
    <w:rsid w:val="00DD508A"/>
    <w:rsid w:val="00DE35D8"/>
    <w:rsid w:val="00DE592E"/>
    <w:rsid w:val="00DE7BF8"/>
    <w:rsid w:val="00DF01A4"/>
    <w:rsid w:val="00DF0A28"/>
    <w:rsid w:val="00DF40C2"/>
    <w:rsid w:val="00E03475"/>
    <w:rsid w:val="00E06785"/>
    <w:rsid w:val="00E10B81"/>
    <w:rsid w:val="00E12F6E"/>
    <w:rsid w:val="00E228AB"/>
    <w:rsid w:val="00E229C8"/>
    <w:rsid w:val="00E264C4"/>
    <w:rsid w:val="00E35DA3"/>
    <w:rsid w:val="00E41816"/>
    <w:rsid w:val="00E418B5"/>
    <w:rsid w:val="00E4203F"/>
    <w:rsid w:val="00E4449A"/>
    <w:rsid w:val="00E527DC"/>
    <w:rsid w:val="00E61AA1"/>
    <w:rsid w:val="00E62B79"/>
    <w:rsid w:val="00E65B5A"/>
    <w:rsid w:val="00E74E5D"/>
    <w:rsid w:val="00E9328F"/>
    <w:rsid w:val="00E951BE"/>
    <w:rsid w:val="00E960B6"/>
    <w:rsid w:val="00EA0BDA"/>
    <w:rsid w:val="00EA1E21"/>
    <w:rsid w:val="00EA398E"/>
    <w:rsid w:val="00EA6A5D"/>
    <w:rsid w:val="00EB13F4"/>
    <w:rsid w:val="00EB2AD9"/>
    <w:rsid w:val="00EB3282"/>
    <w:rsid w:val="00EB6DE4"/>
    <w:rsid w:val="00EB732B"/>
    <w:rsid w:val="00EC03EC"/>
    <w:rsid w:val="00EC1CB2"/>
    <w:rsid w:val="00EC5552"/>
    <w:rsid w:val="00EC60D3"/>
    <w:rsid w:val="00ED2789"/>
    <w:rsid w:val="00ED443D"/>
    <w:rsid w:val="00ED6ECA"/>
    <w:rsid w:val="00EE004A"/>
    <w:rsid w:val="00EE19FC"/>
    <w:rsid w:val="00EE2DBF"/>
    <w:rsid w:val="00EE7303"/>
    <w:rsid w:val="00EF0A4D"/>
    <w:rsid w:val="00EF5163"/>
    <w:rsid w:val="00F00D2A"/>
    <w:rsid w:val="00F05DD0"/>
    <w:rsid w:val="00F15959"/>
    <w:rsid w:val="00F16F26"/>
    <w:rsid w:val="00F17C92"/>
    <w:rsid w:val="00F23536"/>
    <w:rsid w:val="00F2653C"/>
    <w:rsid w:val="00F3044F"/>
    <w:rsid w:val="00F309CE"/>
    <w:rsid w:val="00F31FCE"/>
    <w:rsid w:val="00F51AED"/>
    <w:rsid w:val="00F52291"/>
    <w:rsid w:val="00F562FF"/>
    <w:rsid w:val="00F57C42"/>
    <w:rsid w:val="00F62614"/>
    <w:rsid w:val="00F67069"/>
    <w:rsid w:val="00F7002E"/>
    <w:rsid w:val="00F717B4"/>
    <w:rsid w:val="00F73513"/>
    <w:rsid w:val="00F7500F"/>
    <w:rsid w:val="00F755A8"/>
    <w:rsid w:val="00F86934"/>
    <w:rsid w:val="00F874AA"/>
    <w:rsid w:val="00F90291"/>
    <w:rsid w:val="00F926FB"/>
    <w:rsid w:val="00F97A0D"/>
    <w:rsid w:val="00FA0B06"/>
    <w:rsid w:val="00FB299C"/>
    <w:rsid w:val="00FC0399"/>
    <w:rsid w:val="00FC6890"/>
    <w:rsid w:val="00FD0768"/>
    <w:rsid w:val="00FD0CB4"/>
    <w:rsid w:val="00FD6EFF"/>
    <w:rsid w:val="00FD73E8"/>
    <w:rsid w:val="00FE341B"/>
    <w:rsid w:val="00FE3717"/>
    <w:rsid w:val="00FF29EF"/>
    <w:rsid w:val="012D66CB"/>
    <w:rsid w:val="02873BB9"/>
    <w:rsid w:val="02A93B2F"/>
    <w:rsid w:val="02CB7387"/>
    <w:rsid w:val="03393105"/>
    <w:rsid w:val="05616943"/>
    <w:rsid w:val="061E4834"/>
    <w:rsid w:val="077E37DC"/>
    <w:rsid w:val="08273E74"/>
    <w:rsid w:val="087150EF"/>
    <w:rsid w:val="098B21E0"/>
    <w:rsid w:val="09E37496"/>
    <w:rsid w:val="0AEA1189"/>
    <w:rsid w:val="0BDA119C"/>
    <w:rsid w:val="0BE04A65"/>
    <w:rsid w:val="0DB937C0"/>
    <w:rsid w:val="1109680C"/>
    <w:rsid w:val="118F1B03"/>
    <w:rsid w:val="11E626AA"/>
    <w:rsid w:val="12542649"/>
    <w:rsid w:val="16D57191"/>
    <w:rsid w:val="1821750B"/>
    <w:rsid w:val="18456EC5"/>
    <w:rsid w:val="19D61256"/>
    <w:rsid w:val="19E27BFB"/>
    <w:rsid w:val="1B0B4F2F"/>
    <w:rsid w:val="1B3501FE"/>
    <w:rsid w:val="1BD72C87"/>
    <w:rsid w:val="1CFF0AC4"/>
    <w:rsid w:val="1D0D31E0"/>
    <w:rsid w:val="1DFF5B61"/>
    <w:rsid w:val="1FDEC22A"/>
    <w:rsid w:val="20FA7F20"/>
    <w:rsid w:val="210B3EDB"/>
    <w:rsid w:val="22525B39"/>
    <w:rsid w:val="26746D52"/>
    <w:rsid w:val="275C1B8B"/>
    <w:rsid w:val="27C038B2"/>
    <w:rsid w:val="27C9523F"/>
    <w:rsid w:val="28A34A3C"/>
    <w:rsid w:val="28DA3395"/>
    <w:rsid w:val="29F51284"/>
    <w:rsid w:val="2DC1436E"/>
    <w:rsid w:val="2E60247E"/>
    <w:rsid w:val="2F2707B9"/>
    <w:rsid w:val="2FE2337B"/>
    <w:rsid w:val="339C09C3"/>
    <w:rsid w:val="343B7289"/>
    <w:rsid w:val="345A2557"/>
    <w:rsid w:val="358B0CEF"/>
    <w:rsid w:val="3781684D"/>
    <w:rsid w:val="37BE5DE1"/>
    <w:rsid w:val="39186D3D"/>
    <w:rsid w:val="39534219"/>
    <w:rsid w:val="3A410F25"/>
    <w:rsid w:val="3DF7FC2A"/>
    <w:rsid w:val="3E2E7840"/>
    <w:rsid w:val="3E95498C"/>
    <w:rsid w:val="40275AB8"/>
    <w:rsid w:val="428816FF"/>
    <w:rsid w:val="42AF30A5"/>
    <w:rsid w:val="42B20202"/>
    <w:rsid w:val="43171E14"/>
    <w:rsid w:val="44531571"/>
    <w:rsid w:val="46DA7D28"/>
    <w:rsid w:val="46FC7C9E"/>
    <w:rsid w:val="474B5DFB"/>
    <w:rsid w:val="49793982"/>
    <w:rsid w:val="49B4660E"/>
    <w:rsid w:val="4AC63CC7"/>
    <w:rsid w:val="4C2D26A8"/>
    <w:rsid w:val="4C4D68A6"/>
    <w:rsid w:val="4E6C7E7F"/>
    <w:rsid w:val="4EBD4CD0"/>
    <w:rsid w:val="4F506DD9"/>
    <w:rsid w:val="50574197"/>
    <w:rsid w:val="50A51317"/>
    <w:rsid w:val="536E3CD2"/>
    <w:rsid w:val="55B91525"/>
    <w:rsid w:val="56301712"/>
    <w:rsid w:val="598B6C60"/>
    <w:rsid w:val="5A4F5EDF"/>
    <w:rsid w:val="5A533C21"/>
    <w:rsid w:val="5A957D96"/>
    <w:rsid w:val="5BA504AD"/>
    <w:rsid w:val="5C82434A"/>
    <w:rsid w:val="5CF80B6C"/>
    <w:rsid w:val="5D823E2B"/>
    <w:rsid w:val="5E9B760C"/>
    <w:rsid w:val="5F75779A"/>
    <w:rsid w:val="5FC353A5"/>
    <w:rsid w:val="5FFA069B"/>
    <w:rsid w:val="607C6B59"/>
    <w:rsid w:val="60CB2763"/>
    <w:rsid w:val="61D27683"/>
    <w:rsid w:val="62601E96"/>
    <w:rsid w:val="62DE4DBC"/>
    <w:rsid w:val="64870183"/>
    <w:rsid w:val="64CC0858"/>
    <w:rsid w:val="652E2319"/>
    <w:rsid w:val="65E63B9C"/>
    <w:rsid w:val="66FD73EF"/>
    <w:rsid w:val="67E377C0"/>
    <w:rsid w:val="689378C3"/>
    <w:rsid w:val="68E00D76"/>
    <w:rsid w:val="69A84119"/>
    <w:rsid w:val="6A4D243B"/>
    <w:rsid w:val="6AD830DB"/>
    <w:rsid w:val="6B9C759A"/>
    <w:rsid w:val="6D017EA8"/>
    <w:rsid w:val="6FAA2D18"/>
    <w:rsid w:val="702A768D"/>
    <w:rsid w:val="704509C1"/>
    <w:rsid w:val="704B11CB"/>
    <w:rsid w:val="711517D9"/>
    <w:rsid w:val="718030F6"/>
    <w:rsid w:val="72E94CCB"/>
    <w:rsid w:val="74031DBD"/>
    <w:rsid w:val="74A83F98"/>
    <w:rsid w:val="75667C5E"/>
    <w:rsid w:val="7601057E"/>
    <w:rsid w:val="76764AC8"/>
    <w:rsid w:val="77DF88B8"/>
    <w:rsid w:val="77EB2296"/>
    <w:rsid w:val="7892370F"/>
    <w:rsid w:val="789F0B72"/>
    <w:rsid w:val="79570BE0"/>
    <w:rsid w:val="79AC1D55"/>
    <w:rsid w:val="7A607C2C"/>
    <w:rsid w:val="7B8923FA"/>
    <w:rsid w:val="7BFF730D"/>
    <w:rsid w:val="7C484810"/>
    <w:rsid w:val="7C8A307B"/>
    <w:rsid w:val="7D9B4EC1"/>
    <w:rsid w:val="7E2968C4"/>
    <w:rsid w:val="7EC55BB5"/>
    <w:rsid w:val="7F34557F"/>
    <w:rsid w:val="99CECA8F"/>
    <w:rsid w:val="BFE9BFB7"/>
    <w:rsid w:val="FAFA2A2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character" w:default="1" w:styleId="15">
    <w:name w:val="Default Paragraph Font"/>
    <w:link w:val="16"/>
    <w:unhideWhenUsed/>
    <w:qFormat/>
    <w:uiPriority w:val="1"/>
    <w:rPr>
      <w:rFonts w:ascii="Verdana" w:hAnsi="Verdana" w:eastAsia="仿宋_GB2312"/>
      <w:kern w:val="0"/>
      <w:sz w:val="24"/>
      <w:szCs w:val="20"/>
      <w:lang w:eastAsia="en-US"/>
    </w:rPr>
  </w:style>
  <w:style w:type="table" w:default="1" w:styleId="13">
    <w:name w:val="Normal Table"/>
    <w:unhideWhenUsed/>
    <w:qFormat/>
    <w:uiPriority w:val="99"/>
    <w:tblPr>
      <w:tblCellMar>
        <w:top w:w="0" w:type="dxa"/>
        <w:left w:w="108" w:type="dxa"/>
        <w:bottom w:w="0" w:type="dxa"/>
        <w:right w:w="108" w:type="dxa"/>
      </w:tblCellMar>
    </w:tblPr>
  </w:style>
  <w:style w:type="paragraph" w:styleId="3">
    <w:name w:val="Body Text"/>
    <w:basedOn w:val="1"/>
    <w:next w:val="4"/>
    <w:qFormat/>
    <w:uiPriority w:val="0"/>
    <w:pPr>
      <w:autoSpaceDE w:val="0"/>
      <w:autoSpaceDN w:val="0"/>
      <w:adjustRightInd w:val="0"/>
      <w:snapToGrid w:val="0"/>
      <w:spacing w:line="600" w:lineRule="atLeast"/>
    </w:pPr>
    <w:rPr>
      <w:rFonts w:ascii="宋体"/>
      <w:spacing w:val="5"/>
      <w:kern w:val="0"/>
      <w:sz w:val="32"/>
      <w:szCs w:val="20"/>
    </w:rPr>
  </w:style>
  <w:style w:type="paragraph" w:styleId="4">
    <w:name w:val="Body Text First Indent 2"/>
    <w:basedOn w:val="5"/>
    <w:qFormat/>
    <w:uiPriority w:val="0"/>
    <w:pPr>
      <w:ind w:firstLine="420"/>
    </w:pPr>
  </w:style>
  <w:style w:type="paragraph" w:styleId="5">
    <w:name w:val="Body Text Indent"/>
    <w:basedOn w:val="1"/>
    <w:link w:val="19"/>
    <w:qFormat/>
    <w:uiPriority w:val="0"/>
    <w:pPr>
      <w:spacing w:after="120"/>
      <w:ind w:left="420" w:leftChars="200"/>
    </w:pPr>
  </w:style>
  <w:style w:type="paragraph" w:styleId="6">
    <w:name w:val="Plain Text"/>
    <w:basedOn w:val="1"/>
    <w:qFormat/>
    <w:uiPriority w:val="0"/>
    <w:rPr>
      <w:rFonts w:ascii="宋体" w:hAnsi="Courier New"/>
      <w:szCs w:val="20"/>
    </w:rPr>
  </w:style>
  <w:style w:type="paragraph" w:styleId="7">
    <w:name w:val="Date"/>
    <w:basedOn w:val="1"/>
    <w:next w:val="1"/>
    <w:qFormat/>
    <w:uiPriority w:val="0"/>
    <w:rPr>
      <w:rFonts w:eastAsia="仿宋_GB2312"/>
      <w:spacing w:val="2"/>
      <w:sz w:val="32"/>
      <w:szCs w:val="20"/>
    </w:rPr>
  </w:style>
  <w:style w:type="paragraph" w:styleId="8">
    <w:name w:val="Body Text Indent 2"/>
    <w:basedOn w:val="1"/>
    <w:link w:val="20"/>
    <w:qFormat/>
    <w:uiPriority w:val="0"/>
    <w:pPr>
      <w:spacing w:after="120" w:line="480" w:lineRule="auto"/>
      <w:ind w:left="420" w:leftChars="200"/>
    </w:pPr>
  </w:style>
  <w:style w:type="paragraph" w:styleId="9">
    <w:name w:val="Balloon Text"/>
    <w:basedOn w:val="1"/>
    <w:semiHidden/>
    <w:qFormat/>
    <w:uiPriority w:val="0"/>
    <w:rPr>
      <w:sz w:val="18"/>
      <w:szCs w:val="18"/>
    </w:rPr>
  </w:style>
  <w:style w:type="paragraph" w:styleId="10">
    <w:name w:val="footer"/>
    <w:basedOn w:val="1"/>
    <w:link w:val="21"/>
    <w:qFormat/>
    <w:uiPriority w:val="99"/>
    <w:pPr>
      <w:tabs>
        <w:tab w:val="center" w:pos="4153"/>
        <w:tab w:val="right" w:pos="8306"/>
      </w:tabs>
      <w:snapToGrid w:val="0"/>
      <w:jc w:val="left"/>
    </w:pPr>
    <w:rPr>
      <w:sz w:val="18"/>
      <w:szCs w:val="18"/>
    </w:rPr>
  </w:style>
  <w:style w:type="paragraph" w:styleId="11">
    <w:name w:val="header"/>
    <w:basedOn w:val="1"/>
    <w:link w:val="22"/>
    <w:qFormat/>
    <w:uiPriority w:val="0"/>
    <w:pPr>
      <w:tabs>
        <w:tab w:val="center" w:pos="4153"/>
        <w:tab w:val="right" w:pos="8306"/>
      </w:tabs>
      <w:snapToGrid w:val="0"/>
      <w:jc w:val="center"/>
    </w:pPr>
    <w:rPr>
      <w:sz w:val="18"/>
      <w:szCs w:val="18"/>
    </w:rPr>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4">
    <w:name w:val="Table Grid"/>
    <w:basedOn w:val="13"/>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 Char Char Char Char"/>
    <w:basedOn w:val="1"/>
    <w:link w:val="15"/>
    <w:qFormat/>
    <w:uiPriority w:val="0"/>
    <w:pPr>
      <w:widowControl/>
      <w:spacing w:after="160" w:line="240" w:lineRule="exact"/>
      <w:jc w:val="left"/>
    </w:pPr>
    <w:rPr>
      <w:rFonts w:ascii="Verdana" w:hAnsi="Verdana" w:eastAsia="仿宋_GB2312"/>
      <w:kern w:val="0"/>
      <w:sz w:val="24"/>
      <w:szCs w:val="20"/>
      <w:lang w:eastAsia="en-US"/>
    </w:rPr>
  </w:style>
  <w:style w:type="character" w:styleId="17">
    <w:name w:val="page number"/>
    <w:qFormat/>
    <w:uiPriority w:val="0"/>
    <w:rPr>
      <w:rFonts w:cs="Times New Roman"/>
      <w:lang w:eastAsia="en-US"/>
    </w:rPr>
  </w:style>
  <w:style w:type="character" w:styleId="18">
    <w:name w:val="Hyperlink"/>
    <w:qFormat/>
    <w:uiPriority w:val="0"/>
    <w:rPr>
      <w:rFonts w:ascii="Verdana" w:hAnsi="Verdana" w:eastAsia="仿宋_GB2312"/>
      <w:color w:val="0563C1"/>
      <w:kern w:val="0"/>
      <w:sz w:val="24"/>
      <w:szCs w:val="20"/>
      <w:u w:val="single"/>
      <w:lang w:eastAsia="en-US"/>
    </w:rPr>
  </w:style>
  <w:style w:type="character" w:customStyle="1" w:styleId="19">
    <w:name w:val="正文文本缩进 Char"/>
    <w:link w:val="5"/>
    <w:qFormat/>
    <w:uiPriority w:val="0"/>
    <w:rPr>
      <w:rFonts w:ascii="Verdana" w:hAnsi="Verdana" w:eastAsia="仿宋_GB2312"/>
      <w:kern w:val="2"/>
      <w:sz w:val="32"/>
      <w:szCs w:val="32"/>
      <w:lang w:eastAsia="en-US"/>
    </w:rPr>
  </w:style>
  <w:style w:type="character" w:customStyle="1" w:styleId="20">
    <w:name w:val="正文文本缩进 2 Char"/>
    <w:link w:val="8"/>
    <w:qFormat/>
    <w:uiPriority w:val="0"/>
    <w:rPr>
      <w:rFonts w:ascii="Verdana" w:hAnsi="Verdana" w:eastAsia="仿宋_GB2312"/>
      <w:kern w:val="2"/>
      <w:sz w:val="32"/>
      <w:szCs w:val="32"/>
      <w:lang w:eastAsia="en-US"/>
    </w:rPr>
  </w:style>
  <w:style w:type="character" w:customStyle="1" w:styleId="21">
    <w:name w:val="页脚 Char1"/>
    <w:link w:val="10"/>
    <w:qFormat/>
    <w:uiPriority w:val="99"/>
    <w:rPr>
      <w:kern w:val="2"/>
      <w:sz w:val="18"/>
      <w:szCs w:val="18"/>
    </w:rPr>
  </w:style>
  <w:style w:type="character" w:customStyle="1" w:styleId="22">
    <w:name w:val="页眉 Char"/>
    <w:link w:val="11"/>
    <w:qFormat/>
    <w:uiPriority w:val="0"/>
    <w:rPr>
      <w:kern w:val="2"/>
      <w:sz w:val="18"/>
      <w:szCs w:val="18"/>
    </w:rPr>
  </w:style>
  <w:style w:type="character" w:customStyle="1" w:styleId="23">
    <w:name w:val="font21"/>
    <w:qFormat/>
    <w:uiPriority w:val="0"/>
    <w:rPr>
      <w:rFonts w:hint="eastAsia" w:ascii="仿宋_GB2312" w:eastAsia="仿宋_GB2312" w:cs="仿宋_GB2312"/>
      <w:color w:val="000000"/>
      <w:sz w:val="24"/>
      <w:szCs w:val="24"/>
      <w:u w:val="none"/>
      <w:lang w:eastAsia="en-US"/>
    </w:rPr>
  </w:style>
  <w:style w:type="character" w:customStyle="1" w:styleId="24">
    <w:name w:val="页脚 Char"/>
    <w:qFormat/>
    <w:uiPriority w:val="99"/>
    <w:rPr>
      <w:kern w:val="2"/>
      <w:sz w:val="18"/>
      <w:szCs w:val="18"/>
    </w:rPr>
  </w:style>
  <w:style w:type="paragraph" w:customStyle="1" w:styleId="25">
    <w:name w:val="_Style 24"/>
    <w:unhideWhenUsed/>
    <w:qFormat/>
    <w:uiPriority w:val="99"/>
    <w:rPr>
      <w:rFonts w:ascii="Times New Roman" w:hAnsi="Times New Roman" w:eastAsia="仿宋_GB2312" w:cs="Times New Roman"/>
      <w:kern w:val="2"/>
      <w:sz w:val="32"/>
      <w:szCs w:val="32"/>
      <w:lang w:val="en-US" w:eastAsia="zh-CN" w:bidi="ar-SA"/>
    </w:rPr>
  </w:style>
  <w:style w:type="paragraph" w:customStyle="1" w:styleId="26">
    <w:name w:val=" Char Char Char Char Char Char Char Char Char Char Char Char Char Char Char Char"/>
    <w:basedOn w:val="1"/>
    <w:qFormat/>
    <w:uiPriority w:val="0"/>
    <w:rPr>
      <w:rFonts w:ascii="仿宋_GB2312"/>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7</Pages>
  <Words>468</Words>
  <Characters>2672</Characters>
  <Lines>22</Lines>
  <Paragraphs>6</Paragraphs>
  <TotalTime>0</TotalTime>
  <ScaleCrop>false</ScaleCrop>
  <LinksUpToDate>false</LinksUpToDate>
  <CharactersWithSpaces>3134</CharactersWithSpaces>
  <Application>WPS Office_11.8.2.9958_F1E327BC-269C-435d-A152-05C5408002CA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2013-01-25T00:47:00Z</dcterms:created>
  <dc:creator>User</dc:creator>
  <cp:lastModifiedBy>uos</cp:lastModifiedBy>
  <cp:lastPrinted>2026-08-10T22:28:00Z</cp:lastPrinted>
  <dcterms:modified xsi:type="dcterms:W3CDTF">2026-08-18T15:20:53Z</dcterms:modified>
  <dc:title>关于召开城投集团污水处理企业交接会议的通知</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2052-11.8.2.9958</vt:lpwstr>
  </property>
  <property fmtid="{D5CDD505-2E9C-101B-9397-08002B2CF9AE}" pid="3" name="ICV">
    <vt:lpwstr>13696AA7BC994611A75AEA88FB070F42_13</vt:lpwstr>
  </property>
  <property fmtid="{D5CDD505-2E9C-101B-9397-08002B2CF9AE}" pid="4" name="KSOTemplateDocerSaveRecord">
    <vt:lpwstr>eyJoZGlkIjoiYmJhYzI4NTdiY2U5ODZiNmM4ZjlkZWI0MGZmYTg5N2YiLCJ1c2VySWQiOiIzMzk1NDQxNTcifQ==</vt:lpwstr>
  </property>
</Properties>
</file>