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89" w:rsidRDefault="00966F89" w:rsidP="00BC0105">
      <w:pPr>
        <w:spacing w:line="590" w:lineRule="exact"/>
        <w:rPr>
          <w:rFonts w:ascii="黑体" w:eastAsia="黑体"/>
          <w:spacing w:val="-4"/>
          <w:sz w:val="32"/>
          <w:szCs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71.15pt;width:441pt;height:54.35pt;z-index:251658240;mso-position-vertical-relative:page" stroked="f">
            <v:textbox style="mso-next-textbox:#_x0000_s1027" inset=".5mm,.1mm,.5mm,.1mm">
              <w:txbxContent>
                <w:p w:rsidR="00966F89" w:rsidRPr="00332A4A" w:rsidRDefault="00966F89" w:rsidP="00BC0105">
                  <w:pPr>
                    <w:jc w:val="distribute"/>
                    <w:rPr>
                      <w:rFonts w:ascii="方正小标宋_GBK" w:eastAsia="方正小标宋_GBK"/>
                      <w:color w:val="FF0000"/>
                      <w:w w:val="80"/>
                      <w:sz w:val="72"/>
                      <w:szCs w:val="72"/>
                    </w:rPr>
                  </w:pPr>
                  <w:r w:rsidRPr="00332A4A">
                    <w:rPr>
                      <w:rFonts w:ascii="方正小标宋_GBK" w:eastAsia="方正小标宋_GBK" w:hint="eastAsia"/>
                      <w:color w:val="FF0000"/>
                      <w:w w:val="80"/>
                      <w:sz w:val="72"/>
                      <w:szCs w:val="72"/>
                    </w:rPr>
                    <w:t>青岛</w:t>
                  </w:r>
                  <w:r>
                    <w:rPr>
                      <w:rFonts w:ascii="方正小标宋_GBK" w:eastAsia="方正小标宋_GBK" w:hint="eastAsia"/>
                      <w:color w:val="FF0000"/>
                      <w:w w:val="80"/>
                      <w:sz w:val="72"/>
                      <w:szCs w:val="72"/>
                    </w:rPr>
                    <w:t>西海岸新</w:t>
                  </w:r>
                  <w:r w:rsidRPr="00332A4A">
                    <w:rPr>
                      <w:rFonts w:ascii="方正小标宋_GBK" w:eastAsia="方正小标宋_GBK" w:hint="eastAsia"/>
                      <w:color w:val="FF0000"/>
                      <w:w w:val="80"/>
                      <w:sz w:val="72"/>
                      <w:szCs w:val="72"/>
                    </w:rPr>
                    <w:t>区</w:t>
                  </w:r>
                  <w:r>
                    <w:rPr>
                      <w:rFonts w:ascii="方正小标宋_GBK" w:eastAsia="方正小标宋_GBK" w:hint="eastAsia"/>
                      <w:color w:val="FF0000"/>
                      <w:w w:val="80"/>
                      <w:sz w:val="72"/>
                      <w:szCs w:val="72"/>
                    </w:rPr>
                    <w:t>审计</w:t>
                  </w:r>
                  <w:r w:rsidRPr="00332A4A">
                    <w:rPr>
                      <w:rFonts w:ascii="方正小标宋_GBK" w:eastAsia="方正小标宋_GBK" w:hint="eastAsia"/>
                      <w:color w:val="FF0000"/>
                      <w:w w:val="80"/>
                      <w:sz w:val="72"/>
                      <w:szCs w:val="72"/>
                    </w:rPr>
                    <w:t>局</w:t>
                  </w:r>
                </w:p>
              </w:txbxContent>
            </v:textbox>
            <w10:wrap anchory="page"/>
          </v:shape>
        </w:pict>
      </w:r>
    </w:p>
    <w:p w:rsidR="00966F89" w:rsidRPr="009F51F2" w:rsidRDefault="00966F89" w:rsidP="00BC0105">
      <w:pPr>
        <w:spacing w:line="320" w:lineRule="exact"/>
        <w:rPr>
          <w:rFonts w:ascii="黑体" w:eastAsia="黑体"/>
          <w:spacing w:val="-4"/>
          <w:sz w:val="32"/>
          <w:szCs w:val="32"/>
        </w:rPr>
      </w:pPr>
      <w:r>
        <w:rPr>
          <w:noProof/>
        </w:rPr>
        <w:pict>
          <v:line id="_x0000_s1028" style="position:absolute;left:0;text-align:left;z-index:251659264;mso-position-vertical-relative:page" from="-18.75pt,132.4pt" to="463.15pt,132.4pt" strokecolor="red" strokeweight="4.5pt">
            <v:stroke linestyle="thickThin"/>
            <w10:wrap anchorx="page" anchory="page"/>
          </v:line>
        </w:pict>
      </w:r>
    </w:p>
    <w:p w:rsidR="00966F89" w:rsidRDefault="00966F89" w:rsidP="00BC010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6F89" w:rsidRPr="00795585" w:rsidRDefault="00966F89" w:rsidP="00795585">
      <w:pPr>
        <w:spacing w:line="5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795585">
        <w:rPr>
          <w:rFonts w:ascii="方正小标宋_GBK" w:eastAsia="方正小标宋_GBK" w:hAnsi="宋体" w:hint="eastAsia"/>
          <w:sz w:val="44"/>
          <w:szCs w:val="44"/>
        </w:rPr>
        <w:t>青岛西海岸新区审计局</w:t>
      </w:r>
    </w:p>
    <w:p w:rsidR="00966F89" w:rsidRPr="00795585" w:rsidRDefault="00966F89" w:rsidP="00795585">
      <w:pPr>
        <w:spacing w:line="5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795585">
        <w:rPr>
          <w:rFonts w:ascii="方正小标宋_GBK" w:eastAsia="方正小标宋_GBK" w:hAnsi="宋体" w:hint="eastAsia"/>
          <w:sz w:val="44"/>
          <w:szCs w:val="44"/>
        </w:rPr>
        <w:t>关于公布《</w:t>
      </w:r>
      <w:r>
        <w:rPr>
          <w:rFonts w:ascii="方正小标宋_GBK" w:eastAsia="方正小标宋_GBK" w:hAnsi="宋体" w:hint="eastAsia"/>
          <w:sz w:val="44"/>
          <w:szCs w:val="44"/>
        </w:rPr>
        <w:t>审计管理领域</w:t>
      </w:r>
      <w:r w:rsidRPr="00795585">
        <w:rPr>
          <w:rFonts w:ascii="方正小标宋_GBK" w:eastAsia="方正小标宋_GBK" w:hAnsi="宋体" w:hint="eastAsia"/>
          <w:sz w:val="44"/>
          <w:szCs w:val="44"/>
        </w:rPr>
        <w:t>轻微违法行为不予行政处罚事项清单（</w:t>
      </w:r>
      <w:r w:rsidRPr="00795585">
        <w:rPr>
          <w:rFonts w:ascii="方正小标宋_GBK" w:eastAsia="方正小标宋_GBK" w:hAnsi="宋体"/>
          <w:sz w:val="44"/>
          <w:szCs w:val="44"/>
        </w:rPr>
        <w:t>2020</w:t>
      </w:r>
      <w:r w:rsidRPr="00795585">
        <w:rPr>
          <w:rFonts w:ascii="方正小标宋_GBK" w:eastAsia="方正小标宋_GBK" w:hAnsi="宋体" w:hint="eastAsia"/>
          <w:sz w:val="44"/>
          <w:szCs w:val="44"/>
        </w:rPr>
        <w:t>）》的通知</w:t>
      </w:r>
    </w:p>
    <w:p w:rsidR="00966F89" w:rsidRDefault="00966F89" w:rsidP="00BC010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6F89" w:rsidRDefault="00966F89" w:rsidP="00BC0105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各科室：</w:t>
      </w:r>
    </w:p>
    <w:p w:rsidR="00966F89" w:rsidRDefault="00966F89" w:rsidP="00046518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为推行包容审慎监管，引导和促进被审计单位自觉守法，改善营商环境，激发市场主体活力，特编制</w:t>
      </w:r>
      <w:r w:rsidRPr="00795585">
        <w:rPr>
          <w:rFonts w:ascii="仿宋_GB2312" w:eastAsia="仿宋_GB2312" w:hint="eastAsia"/>
          <w:sz w:val="32"/>
          <w:szCs w:val="32"/>
        </w:rPr>
        <w:t>《青岛西海岸新区</w:t>
      </w:r>
      <w:r w:rsidRPr="003C67A3">
        <w:rPr>
          <w:rFonts w:ascii="仿宋_GB2312" w:eastAsia="仿宋_GB2312" w:hint="eastAsia"/>
          <w:sz w:val="32"/>
          <w:szCs w:val="32"/>
        </w:rPr>
        <w:t>审计管理领域</w:t>
      </w:r>
      <w:r w:rsidRPr="00795585">
        <w:rPr>
          <w:rFonts w:ascii="仿宋_GB2312" w:eastAsia="仿宋_GB2312" w:hint="eastAsia"/>
          <w:sz w:val="32"/>
          <w:szCs w:val="32"/>
        </w:rPr>
        <w:t>轻微违法行为不予行政处罚事项清单（</w:t>
      </w:r>
      <w:r w:rsidRPr="00795585">
        <w:rPr>
          <w:rFonts w:ascii="仿宋_GB2312" w:eastAsia="仿宋_GB2312"/>
          <w:sz w:val="32"/>
          <w:szCs w:val="32"/>
        </w:rPr>
        <w:t>2020</w:t>
      </w:r>
      <w:r w:rsidRPr="00795585">
        <w:rPr>
          <w:rFonts w:ascii="仿宋_GB2312" w:eastAsia="仿宋_GB2312" w:hint="eastAsia"/>
          <w:sz w:val="32"/>
          <w:szCs w:val="32"/>
        </w:rPr>
        <w:t>）》</w:t>
      </w:r>
      <w:r>
        <w:rPr>
          <w:rFonts w:ascii="仿宋_GB2312" w:eastAsia="仿宋_GB2312" w:hint="eastAsia"/>
          <w:sz w:val="32"/>
          <w:szCs w:val="32"/>
        </w:rPr>
        <w:t>，经研究通过并予以公布。清单事项动态化管理，免罚、轻罚事项增加或减少时，及时进行更新发布。各科室要严格按照清单内容，结合实际，抓好贯彻落实。</w:t>
      </w:r>
    </w:p>
    <w:p w:rsidR="00966F89" w:rsidRDefault="00966F89" w:rsidP="00046518">
      <w:pPr>
        <w:spacing w:line="52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966F89" w:rsidRDefault="00966F89" w:rsidP="00046518">
      <w:pPr>
        <w:spacing w:line="520" w:lineRule="exact"/>
        <w:ind w:leftChars="228" w:left="31680" w:hangingChars="3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795585">
        <w:rPr>
          <w:rFonts w:ascii="仿宋_GB2312" w:eastAsia="仿宋_GB2312" w:hint="eastAsia"/>
          <w:sz w:val="32"/>
          <w:szCs w:val="32"/>
        </w:rPr>
        <w:t>青岛西海岸新区</w:t>
      </w:r>
      <w:r w:rsidRPr="003C67A3">
        <w:rPr>
          <w:rFonts w:ascii="仿宋_GB2312" w:eastAsia="仿宋_GB2312" w:hint="eastAsia"/>
          <w:sz w:val="32"/>
          <w:szCs w:val="32"/>
        </w:rPr>
        <w:t>审计管理领域</w:t>
      </w:r>
      <w:r w:rsidRPr="00795585">
        <w:rPr>
          <w:rFonts w:ascii="仿宋_GB2312" w:eastAsia="仿宋_GB2312" w:hint="eastAsia"/>
          <w:sz w:val="32"/>
          <w:szCs w:val="32"/>
        </w:rPr>
        <w:t>轻微违法行为不予行政处罚事项清单（</w:t>
      </w:r>
      <w:r w:rsidRPr="00795585">
        <w:rPr>
          <w:rFonts w:ascii="仿宋_GB2312" w:eastAsia="仿宋_GB2312"/>
          <w:sz w:val="32"/>
          <w:szCs w:val="32"/>
        </w:rPr>
        <w:t>2020</w:t>
      </w:r>
      <w:r w:rsidRPr="00795585">
        <w:rPr>
          <w:rFonts w:ascii="仿宋_GB2312" w:eastAsia="仿宋_GB2312" w:hint="eastAsia"/>
          <w:sz w:val="32"/>
          <w:szCs w:val="32"/>
        </w:rPr>
        <w:t>）</w:t>
      </w:r>
    </w:p>
    <w:p w:rsidR="00966F89" w:rsidRDefault="00966F89" w:rsidP="00BC010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6F89" w:rsidRDefault="00966F89" w:rsidP="00BC0105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6F89" w:rsidRDefault="00966F89" w:rsidP="00046518">
      <w:pPr>
        <w:spacing w:line="520" w:lineRule="exact"/>
        <w:ind w:firstLineChars="1450" w:firstLine="31680"/>
        <w:rPr>
          <w:rFonts w:ascii="仿宋_GB2312" w:eastAsia="仿宋_GB2312"/>
          <w:sz w:val="32"/>
          <w:szCs w:val="32"/>
        </w:rPr>
      </w:pPr>
      <w:r w:rsidRPr="00795585">
        <w:rPr>
          <w:rFonts w:ascii="仿宋_GB2312" w:eastAsia="仿宋_GB2312" w:hint="eastAsia"/>
          <w:sz w:val="32"/>
          <w:szCs w:val="32"/>
        </w:rPr>
        <w:t>青岛西海岸新区审计局</w:t>
      </w:r>
    </w:p>
    <w:p w:rsidR="00966F89" w:rsidRDefault="00966F89" w:rsidP="00854480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1"/>
          <w:attr w:name="Year" w:val="2020"/>
        </w:smartTagPr>
        <w:r>
          <w:rPr>
            <w:rFonts w:ascii="仿宋_GB2312" w:eastAsia="仿宋_GB2312"/>
            <w:sz w:val="32"/>
            <w:szCs w:val="32"/>
          </w:rPr>
          <w:t>2020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11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11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966F89" w:rsidRDefault="00966F89" w:rsidP="00854480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</w:p>
    <w:p w:rsidR="00966F89" w:rsidRDefault="00966F89" w:rsidP="00854480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</w:p>
    <w:p w:rsidR="00966F89" w:rsidRDefault="00966F89" w:rsidP="00854480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</w:p>
    <w:p w:rsidR="00966F89" w:rsidRDefault="00966F89" w:rsidP="00854480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</w:p>
    <w:p w:rsidR="00966F89" w:rsidRDefault="00966F89" w:rsidP="00854480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</w:p>
    <w:p w:rsidR="00966F89" w:rsidRPr="00E16D93" w:rsidRDefault="00966F89" w:rsidP="00E16D93">
      <w:pPr>
        <w:spacing w:line="520" w:lineRule="exact"/>
        <w:rPr>
          <w:rFonts w:ascii="黑体" w:eastAsia="黑体" w:hAnsi="黑体"/>
          <w:sz w:val="32"/>
          <w:szCs w:val="32"/>
        </w:rPr>
      </w:pPr>
      <w:r w:rsidRPr="00E16D93">
        <w:rPr>
          <w:rFonts w:ascii="黑体" w:eastAsia="黑体" w:hAnsi="黑体" w:hint="eastAsia"/>
          <w:sz w:val="32"/>
          <w:szCs w:val="32"/>
        </w:rPr>
        <w:t>附件</w:t>
      </w:r>
    </w:p>
    <w:p w:rsidR="00966F89" w:rsidRDefault="00966F89" w:rsidP="00E16D93">
      <w:pPr>
        <w:spacing w:line="520" w:lineRule="exact"/>
        <w:rPr>
          <w:rFonts w:ascii="仿宋_GB2312" w:eastAsia="仿宋_GB2312"/>
          <w:sz w:val="32"/>
          <w:szCs w:val="32"/>
        </w:rPr>
      </w:pPr>
    </w:p>
    <w:p w:rsidR="00966F89" w:rsidRDefault="00966F89" w:rsidP="00E16D93">
      <w:pPr>
        <w:spacing w:line="5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E16D93">
        <w:rPr>
          <w:rFonts w:ascii="方正小标宋_GBK" w:eastAsia="方正小标宋_GBK" w:hAnsi="宋体" w:hint="eastAsia"/>
          <w:sz w:val="44"/>
          <w:szCs w:val="44"/>
        </w:rPr>
        <w:t>青岛西海岸新区审计管理领域</w:t>
      </w:r>
    </w:p>
    <w:p w:rsidR="00966F89" w:rsidRPr="00E16D93" w:rsidRDefault="00966F89" w:rsidP="00E16D93">
      <w:pPr>
        <w:spacing w:line="54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E16D93">
        <w:rPr>
          <w:rFonts w:ascii="方正小标宋_GBK" w:eastAsia="方正小标宋_GBK" w:hAnsi="宋体" w:hint="eastAsia"/>
          <w:sz w:val="44"/>
          <w:szCs w:val="44"/>
        </w:rPr>
        <w:t>轻微违法行为不予行政处罚事项清单（</w:t>
      </w:r>
      <w:r w:rsidRPr="00E16D93">
        <w:rPr>
          <w:rFonts w:ascii="方正小标宋_GBK" w:eastAsia="方正小标宋_GBK" w:hAnsi="宋体"/>
          <w:sz w:val="44"/>
          <w:szCs w:val="44"/>
        </w:rPr>
        <w:t>2020</w:t>
      </w:r>
      <w:r w:rsidRPr="00E16D93">
        <w:rPr>
          <w:rFonts w:ascii="方正小标宋_GBK" w:eastAsia="方正小标宋_GBK" w:hAnsi="宋体" w:hint="eastAsia"/>
          <w:sz w:val="44"/>
          <w:szCs w:val="44"/>
        </w:rPr>
        <w:t>）</w:t>
      </w:r>
    </w:p>
    <w:p w:rsidR="00966F89" w:rsidRDefault="00966F89" w:rsidP="00854480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</w:p>
    <w:tbl>
      <w:tblPr>
        <w:tblStyle w:val="TableGrid"/>
        <w:tblW w:w="9468" w:type="dxa"/>
        <w:tblLook w:val="01E0"/>
      </w:tblPr>
      <w:tblGrid>
        <w:gridCol w:w="1008"/>
        <w:gridCol w:w="1620"/>
        <w:gridCol w:w="1800"/>
        <w:gridCol w:w="5040"/>
      </w:tblGrid>
      <w:tr w:rsidR="00966F89" w:rsidTr="00E16D93">
        <w:tc>
          <w:tcPr>
            <w:tcW w:w="9468" w:type="dxa"/>
            <w:gridSpan w:val="4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E16D93">
              <w:rPr>
                <w:rFonts w:ascii="黑体" w:eastAsia="黑体" w:hAnsi="黑体" w:hint="eastAsia"/>
                <w:kern w:val="2"/>
                <w:sz w:val="32"/>
                <w:szCs w:val="32"/>
              </w:rPr>
              <w:t>下列轻微违法行为，及时纠正，未造成危害后果的，不予行政处罚</w:t>
            </w:r>
          </w:p>
        </w:tc>
      </w:tr>
      <w:tr w:rsidR="00966F89" w:rsidTr="00E16D93">
        <w:tc>
          <w:tcPr>
            <w:tcW w:w="9468" w:type="dxa"/>
            <w:gridSpan w:val="4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E16D93">
              <w:rPr>
                <w:rFonts w:ascii="黑体" w:eastAsia="黑体" w:hAnsi="黑体" w:hint="eastAsia"/>
                <w:kern w:val="2"/>
                <w:sz w:val="32"/>
                <w:szCs w:val="32"/>
              </w:rPr>
              <w:t>审计管理领域</w:t>
            </w:r>
          </w:p>
        </w:tc>
      </w:tr>
      <w:tr w:rsidR="00966F89" w:rsidTr="00E16D93">
        <w:tc>
          <w:tcPr>
            <w:tcW w:w="1008" w:type="dxa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E16D93">
              <w:rPr>
                <w:rFonts w:ascii="黑体" w:eastAsia="黑体" w:hAnsi="黑体" w:hint="eastAsia"/>
                <w:kern w:val="2"/>
                <w:sz w:val="32"/>
                <w:szCs w:val="32"/>
              </w:rPr>
              <w:t>序号</w:t>
            </w:r>
          </w:p>
        </w:tc>
        <w:tc>
          <w:tcPr>
            <w:tcW w:w="1620" w:type="dxa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E16D93">
              <w:rPr>
                <w:rFonts w:ascii="黑体" w:eastAsia="黑体" w:hAnsi="黑体" w:hint="eastAsia"/>
                <w:kern w:val="2"/>
                <w:sz w:val="32"/>
                <w:szCs w:val="32"/>
              </w:rPr>
              <w:t>违法行为</w:t>
            </w:r>
          </w:p>
        </w:tc>
        <w:tc>
          <w:tcPr>
            <w:tcW w:w="1800" w:type="dxa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E16D93">
              <w:rPr>
                <w:rFonts w:ascii="黑体" w:eastAsia="黑体" w:hAnsi="黑体" w:hint="eastAsia"/>
                <w:kern w:val="2"/>
                <w:sz w:val="32"/>
                <w:szCs w:val="32"/>
              </w:rPr>
              <w:t>适应条件</w:t>
            </w:r>
          </w:p>
        </w:tc>
        <w:tc>
          <w:tcPr>
            <w:tcW w:w="5040" w:type="dxa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 w:rsidRPr="00E16D93">
              <w:rPr>
                <w:rFonts w:ascii="黑体" w:eastAsia="黑体" w:hAnsi="黑体" w:hint="eastAsia"/>
                <w:kern w:val="2"/>
                <w:sz w:val="32"/>
                <w:szCs w:val="32"/>
              </w:rPr>
              <w:t>法定依据</w:t>
            </w:r>
          </w:p>
        </w:tc>
      </w:tr>
      <w:tr w:rsidR="00966F89" w:rsidTr="00E16D93">
        <w:tc>
          <w:tcPr>
            <w:tcW w:w="1008" w:type="dxa"/>
            <w:vAlign w:val="center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E16D93">
              <w:rPr>
                <w:rFonts w:ascii="仿宋_GB2312" w:eastAsia="仿宋_GB2312"/>
                <w:kern w:val="2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 w:rsidR="00966F89" w:rsidRPr="00E16D93" w:rsidRDefault="00966F89" w:rsidP="00E16D93">
            <w:pPr>
              <w:spacing w:line="5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被审计单位拖延提供与审计事项有关的资料</w:t>
            </w:r>
          </w:p>
        </w:tc>
        <w:tc>
          <w:tcPr>
            <w:tcW w:w="1800" w:type="dxa"/>
            <w:vAlign w:val="center"/>
          </w:tcPr>
          <w:p w:rsidR="00966F89" w:rsidRPr="00E16D93" w:rsidRDefault="00966F89" w:rsidP="00E16D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1.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自行改正；</w:t>
            </w:r>
          </w:p>
          <w:p w:rsidR="00966F89" w:rsidRPr="00E16D93" w:rsidRDefault="00966F89" w:rsidP="00E16D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2.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没有造成危害后果</w:t>
            </w:r>
          </w:p>
        </w:tc>
        <w:tc>
          <w:tcPr>
            <w:tcW w:w="5040" w:type="dxa"/>
            <w:vAlign w:val="center"/>
          </w:tcPr>
          <w:p w:rsidR="00966F89" w:rsidRPr="00E16D93" w:rsidRDefault="00966F89" w:rsidP="00E16D9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1.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《中华人民共和国审计法实施条例》（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1997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年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10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月通过，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2010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年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2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月国务院令第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571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号修订）第四十七条；</w:t>
            </w:r>
          </w:p>
          <w:p w:rsidR="00966F89" w:rsidRPr="00E16D93" w:rsidRDefault="00966F89" w:rsidP="00E16D93">
            <w:pPr>
              <w:spacing w:line="52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2.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《中华人民共和国行政处罚法》（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1996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年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3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月通过，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2017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年</w:t>
            </w:r>
            <w:r w:rsidRPr="00E16D93">
              <w:rPr>
                <w:rFonts w:ascii="SimSun" w:hAnsi="SimSun" w:cs="SimSun"/>
                <w:color w:val="000000"/>
                <w:sz w:val="28"/>
                <w:szCs w:val="28"/>
              </w:rPr>
              <w:t>9</w:t>
            </w:r>
            <w:r w:rsidRPr="00E16D93">
              <w:rPr>
                <w:rFonts w:ascii="SimSun" w:hAnsi="SimSun" w:cs="SimSun" w:hint="eastAsia"/>
                <w:color w:val="000000"/>
                <w:sz w:val="28"/>
                <w:szCs w:val="28"/>
              </w:rPr>
              <w:t>月第二次修正）第二十七条</w:t>
            </w:r>
          </w:p>
        </w:tc>
      </w:tr>
    </w:tbl>
    <w:p w:rsidR="00966F89" w:rsidRPr="009966D3" w:rsidRDefault="00966F89" w:rsidP="00966F89">
      <w:pPr>
        <w:spacing w:line="520" w:lineRule="exact"/>
        <w:ind w:firstLineChars="1550" w:firstLine="31680"/>
        <w:rPr>
          <w:rFonts w:ascii="仿宋_GB2312" w:eastAsia="仿宋_GB2312"/>
          <w:sz w:val="32"/>
          <w:szCs w:val="32"/>
        </w:rPr>
      </w:pPr>
    </w:p>
    <w:sectPr w:rsidR="00966F89" w:rsidRPr="009966D3" w:rsidSect="002840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71" w:right="1474" w:bottom="1304" w:left="1588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F89" w:rsidRDefault="00966F89" w:rsidP="00103B64">
      <w:r>
        <w:separator/>
      </w:r>
    </w:p>
  </w:endnote>
  <w:endnote w:type="continuationSeparator" w:id="0">
    <w:p w:rsidR="00966F89" w:rsidRDefault="00966F89" w:rsidP="00103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89" w:rsidRPr="00CA14F6" w:rsidRDefault="00966F89" w:rsidP="00854480">
    <w:pPr>
      <w:pStyle w:val="Footer"/>
      <w:framePr w:wrap="around" w:vAnchor="text" w:hAnchor="margin" w:xAlign="outside" w:y="1"/>
      <w:ind w:leftChars="200" w:left="3168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 w:rsidRPr="00CA14F6">
      <w:rPr>
        <w:rStyle w:val="PageNumber"/>
        <w:rFonts w:ascii="宋体" w:hAnsi="宋体"/>
        <w:sz w:val="28"/>
        <w:szCs w:val="28"/>
      </w:rPr>
      <w:fldChar w:fldCharType="begin"/>
    </w:r>
    <w:r w:rsidRPr="00CA14F6">
      <w:rPr>
        <w:rStyle w:val="PageNumber"/>
        <w:rFonts w:ascii="宋体" w:hAnsi="宋体"/>
        <w:sz w:val="28"/>
        <w:szCs w:val="28"/>
      </w:rPr>
      <w:instrText xml:space="preserve">PAGE  </w:instrText>
    </w:r>
    <w:r w:rsidRPr="00CA14F6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 w:rsidRPr="00CA14F6"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966F89" w:rsidRDefault="00966F89" w:rsidP="00F06723">
    <w:pPr>
      <w:pStyle w:val="Footer"/>
      <w:ind w:right="360" w:firstLine="360"/>
    </w:pPr>
  </w:p>
  <w:p w:rsidR="00966F89" w:rsidRPr="00284048" w:rsidRDefault="00966F89" w:rsidP="00F06723">
    <w:pPr>
      <w:pStyle w:val="Footer"/>
      <w:ind w:right="360" w:firstLine="360"/>
      <w:rPr>
        <w:sz w:val="21"/>
        <w:szCs w:val="21"/>
      </w:rPr>
    </w:pPr>
  </w:p>
  <w:p w:rsidR="00966F89" w:rsidRPr="00284048" w:rsidRDefault="00966F89" w:rsidP="00F06723">
    <w:pPr>
      <w:pStyle w:val="Footer"/>
      <w:ind w:right="360" w:firstLine="360"/>
      <w:rPr>
        <w:sz w:val="21"/>
        <w:szCs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89" w:rsidRPr="00F06723" w:rsidRDefault="00966F89" w:rsidP="00854480">
    <w:pPr>
      <w:pStyle w:val="Footer"/>
      <w:framePr w:wrap="around" w:vAnchor="text" w:hAnchor="margin" w:xAlign="outside" w:y="1"/>
      <w:ind w:rightChars="200" w:right="3168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 w:rsidRPr="00F06723">
      <w:rPr>
        <w:rStyle w:val="PageNumber"/>
        <w:rFonts w:ascii="宋体" w:hAnsi="宋体"/>
        <w:sz w:val="28"/>
        <w:szCs w:val="28"/>
      </w:rPr>
      <w:fldChar w:fldCharType="begin"/>
    </w:r>
    <w:r w:rsidRPr="00F06723">
      <w:rPr>
        <w:rStyle w:val="PageNumber"/>
        <w:rFonts w:ascii="宋体" w:hAnsi="宋体"/>
        <w:sz w:val="28"/>
        <w:szCs w:val="28"/>
      </w:rPr>
      <w:instrText xml:space="preserve">PAGE  </w:instrText>
    </w:r>
    <w:r w:rsidRPr="00F06723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 w:rsidRPr="00F06723"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966F89" w:rsidRDefault="00966F89" w:rsidP="00F06723">
    <w:pPr>
      <w:pStyle w:val="Footer"/>
      <w:ind w:right="360" w:firstLine="360"/>
    </w:pPr>
  </w:p>
  <w:p w:rsidR="00966F89" w:rsidRPr="00284048" w:rsidRDefault="00966F89" w:rsidP="00F06723">
    <w:pPr>
      <w:pStyle w:val="Footer"/>
      <w:ind w:right="360" w:firstLine="360"/>
      <w:rPr>
        <w:sz w:val="21"/>
        <w:szCs w:val="21"/>
      </w:rPr>
    </w:pPr>
  </w:p>
  <w:p w:rsidR="00966F89" w:rsidRPr="00284048" w:rsidRDefault="00966F89" w:rsidP="00F06723">
    <w:pPr>
      <w:pStyle w:val="Footer"/>
      <w:ind w:right="360" w:firstLine="360"/>
      <w:rPr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89" w:rsidRDefault="00966F89">
    <w:pPr>
      <w:pStyle w:val="Footer"/>
    </w:pPr>
    <w:r>
      <w:rPr>
        <w:noProof/>
      </w:rPr>
      <w:pict>
        <v:line id="_x0000_s2049" style="position:absolute;z-index:251660288;mso-position-vertical-relative:page" from="-21pt,780.55pt" to="460.9pt,780.55pt" strokecolor="red" strokeweight="4.5pt">
          <v:stroke linestyle="thinThick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F89" w:rsidRDefault="00966F89" w:rsidP="00103B64">
      <w:r>
        <w:separator/>
      </w:r>
    </w:p>
  </w:footnote>
  <w:footnote w:type="continuationSeparator" w:id="0">
    <w:p w:rsidR="00966F89" w:rsidRDefault="00966F89" w:rsidP="00103B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89" w:rsidRDefault="00966F89" w:rsidP="0027700B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89" w:rsidRDefault="00966F89" w:rsidP="0027700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89" w:rsidRPr="00161708" w:rsidRDefault="00966F89" w:rsidP="00667747">
    <w:pPr>
      <w:pStyle w:val="Header"/>
      <w:pBdr>
        <w:bottom w:val="none" w:sz="0" w:space="0" w:color="auto"/>
      </w:pBdr>
      <w:rPr>
        <w:rFonts w:ascii="宋体"/>
        <w:color w:val="FF0000"/>
        <w:w w:val="80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0359"/>
    <w:rsid w:val="00007713"/>
    <w:rsid w:val="00032792"/>
    <w:rsid w:val="00046518"/>
    <w:rsid w:val="00071196"/>
    <w:rsid w:val="000B15F7"/>
    <w:rsid w:val="000C0359"/>
    <w:rsid w:val="000D0034"/>
    <w:rsid w:val="00103B64"/>
    <w:rsid w:val="001171BA"/>
    <w:rsid w:val="00161708"/>
    <w:rsid w:val="001E22CC"/>
    <w:rsid w:val="0027700B"/>
    <w:rsid w:val="00284048"/>
    <w:rsid w:val="00285710"/>
    <w:rsid w:val="002A2C86"/>
    <w:rsid w:val="0030276D"/>
    <w:rsid w:val="00332A4A"/>
    <w:rsid w:val="003C67A3"/>
    <w:rsid w:val="004961EC"/>
    <w:rsid w:val="004A0920"/>
    <w:rsid w:val="004C312B"/>
    <w:rsid w:val="005217C2"/>
    <w:rsid w:val="00640819"/>
    <w:rsid w:val="00667747"/>
    <w:rsid w:val="006B2B0C"/>
    <w:rsid w:val="007527F9"/>
    <w:rsid w:val="00795585"/>
    <w:rsid w:val="007E22BC"/>
    <w:rsid w:val="00802DA6"/>
    <w:rsid w:val="00854480"/>
    <w:rsid w:val="0086038C"/>
    <w:rsid w:val="008766FD"/>
    <w:rsid w:val="00883EAC"/>
    <w:rsid w:val="009133E1"/>
    <w:rsid w:val="00966F89"/>
    <w:rsid w:val="009966D3"/>
    <w:rsid w:val="00996EDE"/>
    <w:rsid w:val="0099798A"/>
    <w:rsid w:val="009E2535"/>
    <w:rsid w:val="009F51F2"/>
    <w:rsid w:val="00A54C78"/>
    <w:rsid w:val="00A623FD"/>
    <w:rsid w:val="00A86442"/>
    <w:rsid w:val="00A9645B"/>
    <w:rsid w:val="00AE3D6C"/>
    <w:rsid w:val="00B05412"/>
    <w:rsid w:val="00B168EB"/>
    <w:rsid w:val="00B25115"/>
    <w:rsid w:val="00B34E47"/>
    <w:rsid w:val="00B84210"/>
    <w:rsid w:val="00B8510A"/>
    <w:rsid w:val="00B85137"/>
    <w:rsid w:val="00BC0105"/>
    <w:rsid w:val="00CA14F6"/>
    <w:rsid w:val="00D35E3F"/>
    <w:rsid w:val="00D50713"/>
    <w:rsid w:val="00D806C1"/>
    <w:rsid w:val="00D929ED"/>
    <w:rsid w:val="00DB365F"/>
    <w:rsid w:val="00DC0F9D"/>
    <w:rsid w:val="00DD58F1"/>
    <w:rsid w:val="00E149A1"/>
    <w:rsid w:val="00E16D93"/>
    <w:rsid w:val="00E21545"/>
    <w:rsid w:val="00E4737D"/>
    <w:rsid w:val="00F06723"/>
    <w:rsid w:val="00F06BA8"/>
    <w:rsid w:val="00F414F4"/>
    <w:rsid w:val="00F85B86"/>
    <w:rsid w:val="00F8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B6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3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3B6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03B6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3B64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103B64"/>
    <w:rPr>
      <w:rFonts w:cs="Times New Roman"/>
    </w:rPr>
  </w:style>
  <w:style w:type="paragraph" w:styleId="NormalWeb">
    <w:name w:val="Normal (Web)"/>
    <w:basedOn w:val="Normal"/>
    <w:uiPriority w:val="99"/>
    <w:semiHidden/>
    <w:rsid w:val="00DD58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04651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44D"/>
    <w:rPr>
      <w:rFonts w:ascii="Times New Roman" w:hAnsi="Times New Roman"/>
      <w:sz w:val="0"/>
      <w:szCs w:val="0"/>
    </w:rPr>
  </w:style>
  <w:style w:type="paragraph" w:styleId="Date">
    <w:name w:val="Date"/>
    <w:basedOn w:val="Normal"/>
    <w:next w:val="Normal"/>
    <w:link w:val="DateChar"/>
    <w:uiPriority w:val="99"/>
    <w:rsid w:val="00E16D9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1444D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99"/>
    <w:locked/>
    <w:rsid w:val="00E16D9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78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于萍萍</dc:creator>
  <cp:keywords/>
  <dc:description/>
  <cp:lastModifiedBy>李勇</cp:lastModifiedBy>
  <cp:revision>8</cp:revision>
  <cp:lastPrinted>2020-11-11T02:14:00Z</cp:lastPrinted>
  <dcterms:created xsi:type="dcterms:W3CDTF">2019-03-19T02:57:00Z</dcterms:created>
  <dcterms:modified xsi:type="dcterms:W3CDTF">2020-11-11T02:47:00Z</dcterms:modified>
</cp:coreProperties>
</file>