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ascii="楷体_GB2312" w:hAnsi="宋体" w:eastAsia="楷体_GB2312"/>
          <w:spacing w:val="-12"/>
          <w:sz w:val="28"/>
          <w:szCs w:val="28"/>
        </w:rPr>
      </w:pPr>
      <w:r>
        <w:rPr>
          <w:rFonts w:hint="eastAsia" w:ascii="方正小标宋_GBK" w:eastAsia="方正小标宋_GBK"/>
          <w:color w:val="FF0000"/>
          <w:spacing w:val="-10"/>
          <w:w w:val="50"/>
          <w:kern w:val="0"/>
          <w:sz w:val="110"/>
          <w:szCs w:val="110"/>
        </w:rPr>
        <w:t>青岛西海岸新区审计局文件</w:t>
      </w:r>
    </w:p>
    <w:p>
      <w:pPr>
        <w:spacing w:before="240" w:line="500" w:lineRule="exact"/>
        <w:ind w:right="316" w:rightChars="100"/>
        <w:rPr>
          <w:rFonts w:ascii="楷体_GB2312" w:eastAsia="楷体_GB2312"/>
          <w:kern w:val="0"/>
        </w:rPr>
      </w:pPr>
      <w:r>
        <w:rPr>
          <w:rFonts w:hint="eastAsia" w:ascii="仿宋_GB2312"/>
          <w:kern w:val="0"/>
        </w:rPr>
        <w:t>青西新审〔2024〕2号                    签发人：张  勇</w:t>
      </w:r>
    </w:p>
    <w:p>
      <w:pPr>
        <w:adjustRightInd w:val="0"/>
        <w:snapToGrid w:val="0"/>
        <w:spacing w:line="200" w:lineRule="exact"/>
        <w:jc w:val="center"/>
        <w:rPr>
          <w:sz w:val="44"/>
          <w:szCs w:val="44"/>
        </w:rPr>
      </w:pPr>
      <w:r>
        <w:rPr>
          <w:kern w:val="0"/>
          <w:sz w:val="21"/>
          <w:szCs w:val="24"/>
        </w:rPr>
        <w:pict>
          <v:line id="_x0000_s2050" o:spid="_x0000_s2050" o:spt="20" style="position:absolute;left:0pt;margin-left:0pt;margin-top:5.55pt;height:0pt;width:422.25pt;mso-wrap-distance-bottom:0pt;mso-wrap-distance-top:0pt;z-index:251659264;mso-width-relative:page;mso-height-relative:page;" stroked="t" coordsize="21600,21600">
            <v:path arrowok="t"/>
            <v:fill focussize="0,0"/>
            <v:stroke weight="1.75pt" color="#FF0000"/>
            <v:imagedata o:title=""/>
            <o:lock v:ext="edit"/>
            <w10:wrap type="topAndBottom"/>
          </v:line>
        </w:pict>
      </w:r>
    </w:p>
    <w:p>
      <w:pPr>
        <w:pStyle w:val="2"/>
        <w:adjustRightInd w:val="0"/>
        <w:spacing w:line="560" w:lineRule="exact"/>
        <w:jc w:val="center"/>
        <w:rPr>
          <w:rFonts w:ascii="方正小标宋_GBK" w:eastAsia="方正小标宋_GBK" w:cs="方正小标宋简体"/>
          <w:sz w:val="44"/>
          <w:szCs w:val="44"/>
        </w:rPr>
      </w:pPr>
    </w:p>
    <w:p>
      <w:pPr>
        <w:pStyle w:val="2"/>
        <w:adjustRightInd w:val="0"/>
        <w:spacing w:line="560" w:lineRule="exact"/>
        <w:jc w:val="center"/>
        <w:rPr>
          <w:rFonts w:ascii="方正小标宋_GBK" w:eastAsia="方正小标宋_GBK" w:cs="方正小标宋简体"/>
          <w:sz w:val="44"/>
          <w:szCs w:val="44"/>
        </w:rPr>
      </w:pPr>
      <w:r>
        <w:rPr>
          <w:rFonts w:hint="eastAsia" w:ascii="方正小标宋_GBK" w:eastAsia="方正小标宋_GBK" w:cs="方正小标宋简体"/>
          <w:sz w:val="44"/>
          <w:szCs w:val="44"/>
        </w:rPr>
        <w:t>青岛西海岸新区审计局</w:t>
      </w:r>
    </w:p>
    <w:p>
      <w:pPr>
        <w:pStyle w:val="2"/>
        <w:adjustRightInd w:val="0"/>
        <w:spacing w:line="560" w:lineRule="exact"/>
        <w:jc w:val="center"/>
        <w:rPr>
          <w:rFonts w:ascii="方正小标宋_GBK" w:eastAsia="方正小标宋_GBK" w:cs="方正小标宋简体"/>
          <w:sz w:val="44"/>
          <w:szCs w:val="44"/>
        </w:rPr>
      </w:pPr>
      <w:r>
        <w:rPr>
          <w:rFonts w:hint="eastAsia" w:ascii="方正小标宋_GBK" w:eastAsia="方正小标宋_GBK" w:cs="方正小标宋简体"/>
          <w:sz w:val="44"/>
          <w:szCs w:val="44"/>
        </w:rPr>
        <w:t>2023年法治政府建设工作报告</w:t>
      </w:r>
    </w:p>
    <w:p>
      <w:pPr>
        <w:pStyle w:val="2"/>
        <w:adjustRightInd w:val="0"/>
        <w:spacing w:line="560" w:lineRule="exact"/>
        <w:jc w:val="center"/>
        <w:rPr>
          <w:rFonts w:ascii="方正小标宋_GBK" w:eastAsia="方正小标宋_GBK" w:cs="方正小标宋简体"/>
          <w:sz w:val="44"/>
          <w:szCs w:val="44"/>
        </w:rPr>
      </w:pPr>
    </w:p>
    <w:p>
      <w:pPr>
        <w:spacing w:line="560" w:lineRule="exact"/>
        <w:rPr>
          <w:rFonts w:ascii="仿宋_GB2312" w:hAnsi="仿宋_GB2312" w:cs="仿宋_GB2312"/>
        </w:rPr>
      </w:pPr>
      <w:r>
        <w:rPr>
          <w:rFonts w:hint="eastAsia" w:ascii="仿宋_GB2312" w:hAnsi="仿宋_GB2312" w:cs="仿宋_GB2312"/>
        </w:rPr>
        <w:t>青岛西海岸新区管委（黄岛区人民政府）：</w:t>
      </w:r>
    </w:p>
    <w:p>
      <w:pPr>
        <w:pStyle w:val="2"/>
        <w:overflowPunct w:val="0"/>
        <w:spacing w:line="560" w:lineRule="exact"/>
        <w:ind w:firstLine="632" w:firstLineChars="200"/>
        <w:rPr>
          <w:rFonts w:ascii="仿宋_GB2312" w:hAnsi="文星仿宋" w:eastAsia="仿宋_GB2312"/>
          <w:sz w:val="32"/>
        </w:rPr>
      </w:pPr>
      <w:r>
        <w:rPr>
          <w:rFonts w:hint="eastAsia" w:ascii="仿宋_GB2312" w:hAnsi="文星仿宋" w:eastAsia="仿宋_GB2312" w:cs="Times New Roman"/>
          <w:spacing w:val="0"/>
          <w:kern w:val="2"/>
          <w:sz w:val="32"/>
          <w:szCs w:val="32"/>
        </w:rPr>
        <w:t>2023年以来，在上级审计机关和区委区政府的正确领导下，按照区工委全面依法治区委员会办公室的要求，区审计</w:t>
      </w:r>
      <w:r>
        <w:rPr>
          <w:rFonts w:hint="eastAsia" w:ascii="仿宋_GB2312" w:hAnsi="文星仿宋" w:eastAsia="仿宋_GB2312"/>
          <w:sz w:val="32"/>
        </w:rPr>
        <w:t>局以习近平新时代中国特色社会主义思想为指导，认真贯彻落实习近平总书记关于审计工作的重要指示精神和中央审计委员会会议精神，聚焦党中央、国务院赋予青岛西海岸新区的重大使命、重大战略和全局性、长远性、战略性问题，围绕新区工委（区委）“一四四六”总体思路、“创新突破年”等决策部署和工委管委中心工作，坚持目标导向和问题导向、效率和效益相统一，立足经济监督定位，聚焦主责主业，加强审计领域战略谋划与顶层设计，做实研究型审计，做好常态化“经济体检”工作，不断推进法制宣传教育和依法行政工作，取得良好成效。区审计局被工委管委表彰为“东亚海洋合作平台青岛论坛服务保障工作突出贡献单位”“年度模范机关建设工作先进单位”；获评“年度优秀改革创新单位”“年度全区党委信息工作表现突出集体”“区直机关先进基层党组织”“‘学习强国’学习平台推广使用工作先进单位”“参加‘学思想 强党性 共奋斗’知识挑战赛优秀组织单位”；《EPC模式下政府投资建设项目审计创新探索》获评“2023年度全省审计机关优秀改革创新案例”，《数据审计寻真像，诈骗犯罪现原形》获评全市大数据审计案例评比一等奖；省审计厅张晓峰厅长到新区调研，并对新区审计整体工作给予了充分肯定。</w:t>
      </w:r>
    </w:p>
    <w:p>
      <w:pPr>
        <w:pStyle w:val="2"/>
        <w:adjustRightInd w:val="0"/>
        <w:spacing w:line="560" w:lineRule="exact"/>
        <w:ind w:firstLine="608" w:firstLineChars="200"/>
        <w:jc w:val="both"/>
        <w:rPr>
          <w:rFonts w:ascii="黑体" w:hAnsi="黑体" w:eastAsia="黑体" w:cs="仿宋_GB2312"/>
          <w:sz w:val="32"/>
          <w:szCs w:val="32"/>
        </w:rPr>
      </w:pPr>
      <w:r>
        <w:rPr>
          <w:rFonts w:hint="eastAsia" w:ascii="黑体" w:hAnsi="黑体" w:eastAsia="黑体" w:cs="仿宋_GB2312"/>
          <w:sz w:val="32"/>
          <w:szCs w:val="32"/>
        </w:rPr>
        <w:t>一、2023年度推进法治政府建设的主要举措和成效</w:t>
      </w:r>
    </w:p>
    <w:p>
      <w:pPr>
        <w:pStyle w:val="2"/>
        <w:adjustRightInd w:val="0"/>
        <w:spacing w:line="560" w:lineRule="exact"/>
        <w:ind w:firstLine="608" w:firstLineChars="200"/>
        <w:jc w:val="both"/>
        <w:rPr>
          <w:rFonts w:ascii="楷体" w:hAnsi="楷体" w:eastAsia="楷体" w:cs="仿宋_GB2312"/>
          <w:sz w:val="32"/>
          <w:szCs w:val="32"/>
        </w:rPr>
      </w:pPr>
      <w:r>
        <w:rPr>
          <w:rFonts w:hint="eastAsia" w:ascii="楷体" w:hAnsi="楷体" w:eastAsia="楷体" w:cs="仿宋_GB2312"/>
          <w:sz w:val="32"/>
          <w:szCs w:val="32"/>
        </w:rPr>
        <w:t>（一）深入学习贯彻习近平法治思想，坚定不移的加强党对审计工作的领导</w:t>
      </w:r>
    </w:p>
    <w:p>
      <w:pPr>
        <w:pBdr>
          <w:bottom w:val="single" w:color="FFFFFF" w:sz="4" w:space="31"/>
        </w:pBdr>
        <w:tabs>
          <w:tab w:val="left" w:pos="426"/>
          <w:tab w:val="left" w:pos="1440"/>
        </w:tabs>
        <w:adjustRightInd w:val="0"/>
        <w:snapToGrid w:val="0"/>
        <w:spacing w:line="560" w:lineRule="exact"/>
        <w:ind w:firstLine="632" w:firstLineChars="200"/>
        <w:rPr>
          <w:rFonts w:ascii="仿宋_GB2312" w:hAnsi="仿宋_GB2312" w:cs="仿宋_GB2312"/>
        </w:rPr>
      </w:pPr>
      <w:r>
        <w:rPr>
          <w:rFonts w:hint="eastAsia" w:ascii="仿宋_GB2312" w:hAnsi="Calibri"/>
          <w:bCs/>
        </w:rPr>
        <w:t>深入学习贯彻党的二十大精神和习近平总书记重要讲话、重要指示批示精神，</w:t>
      </w:r>
      <w:r>
        <w:rPr>
          <w:rFonts w:hint="eastAsia" w:ascii="仿宋_GB2312" w:cs="宋体"/>
          <w:kern w:val="0"/>
          <w:lang w:val="zh-CN"/>
        </w:rPr>
        <w:t>坚持以党建为统领，</w:t>
      </w:r>
      <w:r>
        <w:rPr>
          <w:rFonts w:hint="eastAsia" w:ascii="仿宋_GB2312" w:hAnsi="仿宋_GB2312" w:cs="仿宋_GB2312"/>
          <w:bCs/>
        </w:rPr>
        <w:t>牢牢把握“审计机关首先是政治机关”的职责定位，</w:t>
      </w:r>
      <w:r>
        <w:rPr>
          <w:rFonts w:hint="eastAsia" w:ascii="仿宋_GB2312" w:hAnsi="Calibri"/>
          <w:bCs/>
        </w:rPr>
        <w:t>不断加强党对审计工作的全面领导。</w:t>
      </w:r>
      <w:r>
        <w:rPr>
          <w:rFonts w:hint="eastAsia" w:ascii="仿宋_GB2312" w:hAnsi="仿宋_GB2312" w:cs="仿宋_GB2312"/>
          <w:bCs/>
        </w:rPr>
        <w:t>深入落实“第一议题”制度，不断用党的创新理论武装头脑、指导实践。紧紧围绕主题主线，结合“空中大课堂”和“三会一课”等形式，深入开展</w:t>
      </w:r>
      <w:r>
        <w:rPr>
          <w:rFonts w:hint="eastAsia" w:ascii="仿宋_GB2312" w:hAnsi="仿宋_GB2312" w:cs="仿宋_GB2312"/>
          <w:bCs/>
          <w:lang w:val="en-US" w:eastAsia="zh-CN"/>
        </w:rPr>
        <w:t>学习贯彻</w:t>
      </w:r>
      <w:bookmarkStart w:id="0" w:name="_GoBack"/>
      <w:bookmarkEnd w:id="0"/>
      <w:r>
        <w:rPr>
          <w:rFonts w:hint="eastAsia" w:ascii="仿宋_GB2312" w:hAnsi="仿宋_GB2312" w:cs="仿宋_GB2312"/>
          <w:bCs/>
        </w:rPr>
        <w:t>习近平新时代中国特色社会主义思想主题教育，制定主题教育实施方案和学习、调研、检视问题“三张清单”，举办专题读书班，不折不扣做好各项“规定动作”，切实把思想和行动统一到党的二十大精神上来，把力量凝聚到党的二十大确定的各项任务上来。</w:t>
      </w:r>
      <w:r>
        <w:rPr>
          <w:rFonts w:hint="eastAsia" w:ascii="仿宋_GB2312" w:hAnsi="仿宋_GB2312" w:cs="仿宋_GB2312"/>
          <w:color w:val="000000"/>
        </w:rPr>
        <w:t>落实党建和法治建设工作要点、干部学习培训暨“每月一讲”工作计划，</w:t>
      </w:r>
      <w:r>
        <w:rPr>
          <w:rFonts w:hint="eastAsia" w:ascii="仿宋_GB2312" w:cs="宋体"/>
          <w:kern w:val="0"/>
          <w:lang w:val="zh-CN"/>
        </w:rPr>
        <w:t>推动形成警示教育常态化。</w:t>
      </w:r>
      <w:r>
        <w:rPr>
          <w:rFonts w:hint="eastAsia" w:ascii="仿宋_GB2312" w:cs="仿宋_GB2312"/>
        </w:rPr>
        <w:t>围绕创建强化依法审计、建设法治型等“三化三型”机关建设，深入开展“宪法进机关”主题活动</w:t>
      </w:r>
      <w:r>
        <w:rPr>
          <w:rFonts w:hint="eastAsia" w:ascii="仿宋_GB2312" w:hAnsi="Helvetica" w:cs="Helvetica"/>
          <w:color w:val="333333"/>
        </w:rPr>
        <w:t>。</w:t>
      </w:r>
      <w:r>
        <w:rPr>
          <w:rFonts w:hint="eastAsia" w:ascii="仿宋_GB2312" w:hAnsi="宋体" w:cs="仿宋_GB2312"/>
        </w:rPr>
        <w:t>以三个党支部为载体，加强习近平法治思想的学习宣传，引导党员干部争做依法依规的表率。</w:t>
      </w:r>
      <w:r>
        <w:rPr>
          <w:rFonts w:hint="eastAsia" w:ascii="仿宋_GB2312" w:hAnsi="仿宋_GB2312" w:cs="仿宋_GB2312"/>
        </w:rPr>
        <w:t>分批次组织全体党员赴临沂红色教育基地开展教育培训活动，利用红色文化加强党员教育。</w:t>
      </w:r>
    </w:p>
    <w:p>
      <w:pPr>
        <w:pBdr>
          <w:bottom w:val="single" w:color="FFFFFF" w:sz="4" w:space="31"/>
        </w:pBdr>
        <w:tabs>
          <w:tab w:val="left" w:pos="426"/>
          <w:tab w:val="left" w:pos="1440"/>
        </w:tabs>
        <w:adjustRightInd w:val="0"/>
        <w:snapToGrid w:val="0"/>
        <w:spacing w:line="560" w:lineRule="exact"/>
        <w:ind w:firstLine="632" w:firstLineChars="200"/>
        <w:rPr>
          <w:rFonts w:ascii="楷体" w:hAnsi="楷体" w:eastAsia="楷体" w:cs="楷体"/>
        </w:rPr>
      </w:pPr>
      <w:r>
        <w:rPr>
          <w:rFonts w:hint="eastAsia" w:ascii="楷体" w:hAnsi="楷体" w:eastAsia="楷体" w:cs="楷体"/>
        </w:rPr>
        <w:t>（二）贯彻落实决策部署及有关党内法规，促进高效落实</w:t>
      </w:r>
    </w:p>
    <w:p>
      <w:pPr>
        <w:pBdr>
          <w:bottom w:val="single" w:color="FFFFFF" w:sz="4" w:space="31"/>
        </w:pBdr>
        <w:tabs>
          <w:tab w:val="left" w:pos="426"/>
          <w:tab w:val="left" w:pos="1440"/>
        </w:tabs>
        <w:adjustRightInd w:val="0"/>
        <w:snapToGrid w:val="0"/>
        <w:spacing w:line="560" w:lineRule="exact"/>
        <w:ind w:firstLine="632" w:firstLineChars="200"/>
        <w:rPr>
          <w:rFonts w:ascii="仿宋_GB2312"/>
          <w:color w:val="000000"/>
        </w:rPr>
      </w:pPr>
      <w:r>
        <w:rPr>
          <w:rFonts w:hint="eastAsia" w:ascii="仿宋_GB2312"/>
          <w:color w:val="000000"/>
        </w:rPr>
        <w:t>发挥领导干部带头示范作用，带头尊规学规守规用规，推动党员干部学用党内法规制度常态化，及时宣传学习党内法规制度。</w:t>
      </w:r>
      <w:r>
        <w:rPr>
          <w:rFonts w:hint="eastAsia" w:ascii="仿宋_GB2312"/>
        </w:rPr>
        <w:t>认真履行工委区委审计委员会办公室职责，</w:t>
      </w:r>
      <w:r>
        <w:rPr>
          <w:rFonts w:hint="eastAsia" w:ascii="仿宋_GB2312" w:cs="仿宋_GB2312"/>
        </w:rPr>
        <w:t>坚持和落实请示报告制度，</w:t>
      </w:r>
      <w:r>
        <w:rPr>
          <w:rFonts w:hint="eastAsia" w:ascii="仿宋_GB2312"/>
        </w:rPr>
        <w:t>先后组织召开了2次工委（区委）审计委员会会议，</w:t>
      </w:r>
      <w:r>
        <w:rPr>
          <w:rFonts w:hint="eastAsia" w:ascii="仿宋_GB2312" w:hAnsi="仿宋_GB2312" w:cs="仿宋_GB2312"/>
          <w:color w:val="000000" w:themeColor="text1"/>
        </w:rPr>
        <w:t>向工委管委报送审计工作专报及其他各类审计工作情况报告7篇，全部被区主要领导批示，</w:t>
      </w:r>
      <w:r>
        <w:rPr>
          <w:rFonts w:hint="eastAsia" w:ascii="仿宋_GB2312"/>
          <w:kern w:val="0"/>
        </w:rPr>
        <w:t>推动工委区委决策部署落到实处，</w:t>
      </w:r>
      <w:r>
        <w:rPr>
          <w:rFonts w:hint="eastAsia" w:ascii="仿宋_GB2312" w:cs="仿宋_GB2312"/>
        </w:rPr>
        <w:t>为工委管委科学决策提供精准服务，</w:t>
      </w:r>
      <w:r>
        <w:rPr>
          <w:rFonts w:hint="eastAsia" w:ascii="仿宋_GB2312"/>
          <w:kern w:val="0"/>
        </w:rPr>
        <w:t>充分发挥审计在推进党的自我革命中的独特作用。</w:t>
      </w:r>
      <w:r>
        <w:rPr>
          <w:rFonts w:hint="eastAsia" w:ascii="仿宋_GB2312"/>
          <w:color w:val="000000"/>
        </w:rPr>
        <w:t>自觉接受党内监督、人大监督、民主监督等监督，推动完善内部监督和专门监督，督促领导班子其他成员依法行政。</w:t>
      </w:r>
    </w:p>
    <w:p>
      <w:pPr>
        <w:pBdr>
          <w:bottom w:val="single" w:color="FFFFFF" w:sz="4" w:space="31"/>
        </w:pBdr>
        <w:tabs>
          <w:tab w:val="left" w:pos="426"/>
          <w:tab w:val="left" w:pos="1440"/>
        </w:tabs>
        <w:adjustRightInd w:val="0"/>
        <w:snapToGrid w:val="0"/>
        <w:spacing w:line="560" w:lineRule="exact"/>
        <w:ind w:firstLine="632" w:firstLineChars="200"/>
        <w:rPr>
          <w:rFonts w:ascii="楷体" w:hAnsi="楷体" w:eastAsia="楷体" w:cs="仿宋_GB2312"/>
          <w:color w:val="000000" w:themeColor="text1"/>
        </w:rPr>
      </w:pPr>
      <w:r>
        <w:rPr>
          <w:rFonts w:hint="eastAsia" w:ascii="楷体" w:hAnsi="楷体" w:eastAsia="楷体" w:cs="仿宋_GB2312"/>
          <w:color w:val="000000" w:themeColor="text1"/>
        </w:rPr>
        <w:t>（三）高度重视法治建设工作，重点工作任务重点部署</w:t>
      </w:r>
    </w:p>
    <w:p>
      <w:pPr>
        <w:pBdr>
          <w:bottom w:val="single" w:color="FFFFFF" w:sz="4" w:space="31"/>
        </w:pBdr>
        <w:tabs>
          <w:tab w:val="left" w:pos="426"/>
          <w:tab w:val="left" w:pos="1440"/>
        </w:tabs>
        <w:adjustRightInd w:val="0"/>
        <w:snapToGrid w:val="0"/>
        <w:spacing w:line="560" w:lineRule="exact"/>
        <w:ind w:firstLine="632" w:firstLineChars="200"/>
        <w:rPr>
          <w:rFonts w:ascii="仿宋_GB2312"/>
          <w:color w:val="000000"/>
        </w:rPr>
      </w:pPr>
      <w:r>
        <w:rPr>
          <w:rFonts w:hint="eastAsia" w:ascii="仿宋_GB2312"/>
          <w:color w:val="000000"/>
        </w:rPr>
        <w:t>将法治建设纳入年度工作要点，对法治建设作出规划部署， 明确工作目标、主要任务和具体举措，作为重大事项督促落实。</w:t>
      </w:r>
      <w:r>
        <w:rPr>
          <w:rFonts w:hint="eastAsia" w:ascii="仿宋_GB2312" w:cs="仿宋_GB2312"/>
          <w:color w:val="000000" w:themeColor="text1"/>
        </w:rPr>
        <w:t>落</w:t>
      </w:r>
      <w:r>
        <w:rPr>
          <w:rFonts w:hint="eastAsia" w:ascii="仿宋_GB2312" w:cs="仿宋_GB2312"/>
        </w:rPr>
        <w:t>实重大事项报告制度，对发现的重大问题、重要事项和重要情况，及时向工委管委和上级审计机关汇报。筹备召开工委审计委员会会议，就审计重点工作进行部署安排。</w:t>
      </w:r>
      <w:r>
        <w:rPr>
          <w:rFonts w:hint="eastAsia" w:ascii="仿宋_GB2312"/>
          <w:color w:val="000000"/>
        </w:rPr>
        <w:t>完善和落实领导干部及工作人员学法用法制度，组织实施普法规划，推动落实“谁执法谁普法” 责任制。全面落实权力清单、责任清单等制度，全面推行行政执法公示、执法全过程记录等制度，</w:t>
      </w:r>
      <w:r>
        <w:rPr>
          <w:rFonts w:hint="eastAsia" w:ascii="仿宋_GB2312" w:hAnsi="仿宋_GB2312" w:cs="仿宋_GB2312"/>
        </w:rPr>
        <w:t>办理了法律顾问制度程序备案设置工作，</w:t>
      </w:r>
      <w:r>
        <w:rPr>
          <w:rFonts w:hint="eastAsia" w:ascii="仿宋_GB2312"/>
          <w:color w:val="000000"/>
        </w:rPr>
        <w:t>推动严格规范公正文明执法，</w:t>
      </w:r>
      <w:r>
        <w:rPr>
          <w:rFonts w:hint="eastAsia" w:ascii="仿宋_GB2312" w:hAnsi="仿宋_GB2312" w:cs="仿宋_GB2312"/>
        </w:rPr>
        <w:t>组织做好习近平法治思想学习培训和有关法律法规的学习宣传、专题学法考法等法律知识学习考试</w:t>
      </w:r>
      <w:r>
        <w:rPr>
          <w:rFonts w:hint="eastAsia" w:ascii="仿宋_GB2312"/>
          <w:color w:val="000000"/>
        </w:rPr>
        <w:t>。</w:t>
      </w:r>
    </w:p>
    <w:p>
      <w:pPr>
        <w:pBdr>
          <w:bottom w:val="single" w:color="FFFFFF" w:sz="4" w:space="31"/>
        </w:pBdr>
        <w:tabs>
          <w:tab w:val="left" w:pos="426"/>
          <w:tab w:val="left" w:pos="1440"/>
        </w:tabs>
        <w:adjustRightInd w:val="0"/>
        <w:snapToGrid w:val="0"/>
        <w:spacing w:line="560" w:lineRule="exact"/>
        <w:ind w:firstLine="632" w:firstLineChars="200"/>
        <w:rPr>
          <w:rFonts w:ascii="黑体" w:hAnsi="黑体" w:eastAsia="黑体" w:cs="仿宋_GB2312"/>
          <w:w w:val="98"/>
        </w:rPr>
      </w:pPr>
      <w:r>
        <w:rPr>
          <w:rFonts w:hint="eastAsia" w:ascii="黑体" w:hAnsi="黑体" w:eastAsia="黑体" w:cs="黑体"/>
        </w:rPr>
        <w:t>二、</w:t>
      </w:r>
      <w:r>
        <w:rPr>
          <w:rFonts w:hint="eastAsia" w:ascii="黑体" w:hAnsi="黑体" w:eastAsia="黑体" w:cs="仿宋_GB2312"/>
        </w:rPr>
        <w:t>2023年度</w:t>
      </w:r>
      <w:r>
        <w:rPr>
          <w:rFonts w:hint="eastAsia" w:ascii="黑体" w:hAnsi="黑体" w:eastAsia="黑体" w:cs="仿宋_GB2312"/>
          <w:w w:val="98"/>
        </w:rPr>
        <w:t>党政主要负责人履行推进法治建设第一责任人职责，加强法治政府建设的有关情况</w:t>
      </w:r>
    </w:p>
    <w:p>
      <w:pPr>
        <w:numPr>
          <w:ilvl w:val="0"/>
          <w:numId w:val="1"/>
        </w:numPr>
        <w:pBdr>
          <w:bottom w:val="single" w:color="FFFFFF" w:sz="4" w:space="31"/>
        </w:pBdr>
        <w:tabs>
          <w:tab w:val="left" w:pos="426"/>
          <w:tab w:val="left" w:pos="1440"/>
        </w:tabs>
        <w:adjustRightInd w:val="0"/>
        <w:snapToGrid w:val="0"/>
        <w:spacing w:line="560" w:lineRule="exact"/>
        <w:ind w:firstLine="632" w:firstLineChars="200"/>
        <w:rPr>
          <w:rFonts w:ascii="楷体" w:hAnsi="楷体" w:eastAsia="楷体"/>
        </w:rPr>
      </w:pPr>
      <w:r>
        <w:rPr>
          <w:rFonts w:hint="eastAsia" w:ascii="楷体" w:hAnsi="楷体" w:eastAsia="楷体" w:cs="仿宋_GB2312"/>
        </w:rPr>
        <w:t>认真</w:t>
      </w:r>
      <w:r>
        <w:rPr>
          <w:rFonts w:hint="eastAsia" w:ascii="楷体" w:hAnsi="楷体" w:eastAsia="楷体"/>
        </w:rPr>
        <w:t>履行推进法治建设第一责任人职责，强化依法审计全面落实</w:t>
      </w:r>
    </w:p>
    <w:p>
      <w:pPr>
        <w:pBdr>
          <w:bottom w:val="single" w:color="FFFFFF" w:sz="4" w:space="31"/>
        </w:pBdr>
        <w:tabs>
          <w:tab w:val="left" w:pos="426"/>
          <w:tab w:val="left" w:pos="1440"/>
        </w:tabs>
        <w:adjustRightInd w:val="0"/>
        <w:snapToGrid w:val="0"/>
        <w:spacing w:line="560" w:lineRule="exact"/>
        <w:ind w:firstLine="632" w:firstLineChars="200"/>
        <w:rPr>
          <w:rFonts w:ascii="仿宋_GB2312" w:hAnsi="仿宋"/>
          <w:lang w:val="zh-CN"/>
        </w:rPr>
      </w:pPr>
      <w:r>
        <w:rPr>
          <w:rFonts w:hint="eastAsia" w:ascii="仿宋_GB2312" w:hAnsi="仿宋"/>
        </w:rPr>
        <w:t>坚持以习近平新时代中国特色社会主义思想为指导，坚持宪法法律至上，认真履行推进法治建设第一责任人职责，强化责任担当，坚持依法审计，一级抓一级，层层抓落实，全年共完成审计计划项目33个，审计广度和深度不断拓展，彰显审计监督成效，推动新区治理效能提升。</w:t>
      </w:r>
      <w:r>
        <w:rPr>
          <w:rFonts w:hint="eastAsia" w:ascii="仿宋_GB2312" w:hAnsi="仿宋"/>
          <w:lang w:val="zh-CN"/>
        </w:rPr>
        <w:t>一是围绕推动重大决策部署有效落实，深入开展重大政策措施落实跟踪审计。二是围绕推动积极财政政策加力提效，扎实开展财政预算执行审计。三是围绕促进权力规范运行和责任落实，深入开展经济责任审计和自然资源资产离任审计。四是围绕增进民生福祉，深入开展民生审计。五是围绕推动防范化解重大经济风险，深入开展国有企业审计。六是围绕服务保障重大项目建设，扎实推进投资审计转型升级扩面增效。七是围绕提升内审工作质效，加强对内部审计的指导监督。八是围绕做好审计“下半篇文章”，加强对审计整改的督促力度。</w:t>
      </w:r>
    </w:p>
    <w:p>
      <w:pPr>
        <w:pBdr>
          <w:bottom w:val="single" w:color="FFFFFF" w:sz="4" w:space="31"/>
        </w:pBdr>
        <w:tabs>
          <w:tab w:val="left" w:pos="426"/>
          <w:tab w:val="left" w:pos="1440"/>
        </w:tabs>
        <w:adjustRightInd w:val="0"/>
        <w:snapToGrid w:val="0"/>
        <w:spacing w:line="560" w:lineRule="exact"/>
        <w:ind w:firstLine="632" w:firstLineChars="200"/>
        <w:rPr>
          <w:rFonts w:ascii="楷体" w:hAnsi="楷体" w:eastAsia="楷体" w:cs="黑体"/>
        </w:rPr>
      </w:pPr>
      <w:r>
        <w:rPr>
          <w:rFonts w:hint="eastAsia" w:ascii="楷体" w:hAnsi="楷体" w:eastAsia="楷体"/>
        </w:rPr>
        <w:t>（二）坚持全面从严治党，</w:t>
      </w:r>
      <w:r>
        <w:rPr>
          <w:rFonts w:hint="eastAsia" w:ascii="楷体" w:hAnsi="楷体" w:eastAsia="楷体" w:cs="黑体"/>
        </w:rPr>
        <w:t>全面加强审计机关自身建设</w:t>
      </w:r>
    </w:p>
    <w:p>
      <w:pPr>
        <w:pBdr>
          <w:bottom w:val="single" w:color="FFFFFF" w:sz="4" w:space="31"/>
        </w:pBdr>
        <w:tabs>
          <w:tab w:val="left" w:pos="426"/>
          <w:tab w:val="left" w:pos="1440"/>
        </w:tabs>
        <w:adjustRightInd w:val="0"/>
        <w:snapToGrid w:val="0"/>
        <w:spacing w:line="560" w:lineRule="exact"/>
        <w:ind w:firstLine="632" w:firstLineChars="200"/>
        <w:rPr>
          <w:rFonts w:ascii="仿宋" w:hAnsi="仿宋" w:eastAsia="仿宋"/>
        </w:rPr>
      </w:pPr>
      <w:r>
        <w:rPr>
          <w:rFonts w:hint="eastAsia" w:ascii="仿宋_GB2312" w:hAnsi="Calibri" w:cs="仿宋_GB2312"/>
          <w:bCs/>
        </w:rPr>
        <w:t>强化制度保障，深化做实研究型审计。</w:t>
      </w:r>
      <w:r>
        <w:rPr>
          <w:rFonts w:hint="eastAsia" w:ascii="仿宋_GB2312" w:hAnsi="Calibri" w:cs="仿宋_GB2312"/>
        </w:rPr>
        <w:t>制定《关于深入开展研究型审计 推进审计高质量发展的实施意见》，</w:t>
      </w:r>
      <w:r>
        <w:rPr>
          <w:rFonts w:hint="eastAsia" w:ascii="仿宋_GB2312" w:hAnsi="仿宋_GB2312" w:cs="仿宋_GB2312"/>
          <w:kern w:val="0"/>
        </w:rPr>
        <w:t>把研究贯穿审计工作全过程各环节，</w:t>
      </w:r>
      <w:r>
        <w:rPr>
          <w:rFonts w:hint="eastAsia" w:ascii="仿宋_GB2312" w:hAnsi="Calibri" w:cs="仿宋_GB2312"/>
        </w:rPr>
        <w:t>为深化做实研究型审计提供有力制度保障。</w:t>
      </w:r>
      <w:r>
        <w:rPr>
          <w:rFonts w:hint="eastAsia" w:ascii="仿宋_GB2312" w:hAnsi="Calibri" w:cs="仿宋_GB2312"/>
          <w:bCs/>
        </w:rPr>
        <w:t>强化体系支撑，进一步深化大数据审计技术应用</w:t>
      </w:r>
      <w:r>
        <w:rPr>
          <w:rFonts w:hint="eastAsia" w:ascii="仿宋_GB2312" w:hAnsi="仿宋_GB2312" w:cs="仿宋_GB2312"/>
          <w:color w:val="000000"/>
        </w:rPr>
        <w:t>，</w:t>
      </w:r>
      <w:r>
        <w:rPr>
          <w:rFonts w:hint="eastAsia" w:ascii="仿宋_GB2312" w:hAnsi="楷体"/>
          <w:lang w:val="zh-CN"/>
        </w:rPr>
        <w:t>把大数据创新应用作为推进审计转型升级的有</w:t>
      </w:r>
      <w:r>
        <w:rPr>
          <w:rFonts w:hint="eastAsia" w:ascii="仿宋_GB2312" w:hAnsi="仿宋_GB2312" w:cs="仿宋_GB2312"/>
          <w:color w:val="000000"/>
          <w:lang w:val="zh-CN"/>
        </w:rPr>
        <w:t>效途径，将大数据思维及技术方法融入审计工作的各个领域、各个环节</w:t>
      </w:r>
      <w:r>
        <w:rPr>
          <w:rFonts w:hint="eastAsia" w:ascii="仿宋_GB2312" w:hAnsi="仿宋_GB2312" w:cs="仿宋_GB2312"/>
          <w:color w:val="000000"/>
        </w:rPr>
        <w:t>。</w:t>
      </w:r>
      <w:r>
        <w:rPr>
          <w:rFonts w:hint="eastAsia" w:ascii="仿宋_GB2312" w:hAnsi="仿宋"/>
        </w:rPr>
        <w:t>认真履行全面从严治党主体责任，切实保障审计机关和审计人员依法独立行使审计监督权，避免外部干扰，不插手、不干预有关司法活动。认真落实审计“四严禁”工作要求和审计“八不准”工作纪律，打造“清廉铸审”廉政文化品牌。</w:t>
      </w:r>
      <w:r>
        <w:rPr>
          <w:rFonts w:hint="eastAsia" w:ascii="仿宋_GB2312" w:hAnsi="微软雅黑" w:cs="仿宋_GB2312"/>
          <w:kern w:val="0"/>
        </w:rPr>
        <w:t>加强审计质量控制，严格复核、审理等环节质量控制，形成全员全程审计质量控制体系</w:t>
      </w:r>
      <w:r>
        <w:rPr>
          <w:rFonts w:hint="eastAsia" w:ascii="仿宋_GB2312" w:hAnsi="微软雅黑" w:cs="仿宋_GB2312"/>
          <w:b/>
          <w:bCs/>
          <w:kern w:val="0"/>
        </w:rPr>
        <w:t>。</w:t>
      </w:r>
      <w:r>
        <w:rPr>
          <w:rFonts w:hint="eastAsia" w:ascii="仿宋_GB2312" w:hAnsi="仿宋"/>
        </w:rPr>
        <w:t>审计项目结束后，安排专人进行审计回访，对审计组和审计人员执行工作纪律及廉政规定情况进行检查，提高了审计执法的透明度。</w:t>
      </w:r>
    </w:p>
    <w:p>
      <w:pPr>
        <w:pBdr>
          <w:bottom w:val="single" w:color="FFFFFF" w:sz="4" w:space="31"/>
        </w:pBdr>
        <w:tabs>
          <w:tab w:val="left" w:pos="426"/>
          <w:tab w:val="left" w:pos="1440"/>
        </w:tabs>
        <w:adjustRightInd w:val="0"/>
        <w:snapToGrid w:val="0"/>
        <w:spacing w:line="560" w:lineRule="exact"/>
        <w:ind w:firstLine="632" w:firstLineChars="200"/>
        <w:rPr>
          <w:rFonts w:ascii="黑体" w:hAnsi="黑体" w:eastAsia="黑体" w:cs="黑体"/>
        </w:rPr>
      </w:pPr>
      <w:r>
        <w:rPr>
          <w:rFonts w:hint="eastAsia" w:ascii="黑体" w:hAnsi="黑体" w:eastAsia="黑体" w:cs="黑体"/>
        </w:rPr>
        <w:t>三、</w:t>
      </w:r>
      <w:r>
        <w:rPr>
          <w:rFonts w:hint="eastAsia" w:ascii="黑体" w:hAnsi="黑体" w:eastAsia="黑体" w:cs="仿宋_GB2312"/>
        </w:rPr>
        <w:t>2023年度推进法治政府建设存在的不足和原因</w:t>
      </w:r>
    </w:p>
    <w:p>
      <w:pPr>
        <w:pBdr>
          <w:bottom w:val="single" w:color="FFFFFF" w:sz="4" w:space="31"/>
        </w:pBdr>
        <w:tabs>
          <w:tab w:val="left" w:pos="426"/>
          <w:tab w:val="left" w:pos="1440"/>
        </w:tabs>
        <w:adjustRightInd w:val="0"/>
        <w:snapToGrid w:val="0"/>
        <w:spacing w:line="560" w:lineRule="exact"/>
        <w:ind w:firstLine="632" w:firstLineChars="200"/>
        <w:rPr>
          <w:rFonts w:ascii="仿宋_GB2312" w:hAnsi="楷体"/>
        </w:rPr>
      </w:pPr>
      <w:r>
        <w:rPr>
          <w:rFonts w:hint="eastAsia" w:ascii="仿宋_GB2312" w:hAnsi="文星仿宋"/>
        </w:rPr>
        <w:t>法治宣传学习与教育开展活动还不够多，</w:t>
      </w:r>
      <w:r>
        <w:rPr>
          <w:rFonts w:hint="eastAsia" w:ascii="仿宋_GB2312" w:hAnsi="仿宋_GB2312"/>
        </w:rPr>
        <w:t>结合审计工作实际形成的合力还不够强，审计任务繁重造成</w:t>
      </w:r>
      <w:r>
        <w:rPr>
          <w:rFonts w:hint="eastAsia" w:ascii="仿宋_GB2312" w:hAnsi="楷体"/>
        </w:rPr>
        <w:t>审计人员和专业知识结构矛盾突出，依法行政和依法审计能力还有待加强。</w:t>
      </w:r>
      <w:r>
        <w:rPr>
          <w:rFonts w:hint="eastAsia" w:ascii="仿宋_GB2312"/>
        </w:rPr>
        <w:t>作为基层审计机关，既要完成年度审计计划和临时性追加审计任务，还要面临上级机关及当地政府对人员的抽调借用，造成人员少和任务重的矛盾突出。同时，随着大数据审计深度应用，对审计人员的专业知识提出了较大的挑战，对审计监督的效果形成了一定制约。</w:t>
      </w:r>
    </w:p>
    <w:p>
      <w:pPr>
        <w:pBdr>
          <w:bottom w:val="single" w:color="FFFFFF" w:sz="4" w:space="31"/>
        </w:pBdr>
        <w:tabs>
          <w:tab w:val="left" w:pos="426"/>
          <w:tab w:val="left" w:pos="1440"/>
        </w:tabs>
        <w:adjustRightInd w:val="0"/>
        <w:snapToGrid w:val="0"/>
        <w:spacing w:line="560" w:lineRule="exact"/>
        <w:ind w:firstLine="632" w:firstLineChars="200"/>
        <w:rPr>
          <w:rFonts w:ascii="黑体" w:hAnsi="黑体" w:eastAsia="黑体" w:cs="仿宋_GB2312"/>
        </w:rPr>
      </w:pPr>
      <w:r>
        <w:rPr>
          <w:rFonts w:hint="eastAsia" w:ascii="黑体" w:hAnsi="黑体" w:eastAsia="黑体" w:cs="仿宋_GB2312"/>
        </w:rPr>
        <w:t>四、2024年度推进法治政府建设的主要措施</w:t>
      </w:r>
    </w:p>
    <w:p>
      <w:pPr>
        <w:pBdr>
          <w:bottom w:val="single" w:color="FFFFFF" w:sz="4" w:space="31"/>
        </w:pBdr>
        <w:tabs>
          <w:tab w:val="left" w:pos="426"/>
          <w:tab w:val="left" w:pos="1440"/>
        </w:tabs>
        <w:adjustRightInd w:val="0"/>
        <w:snapToGrid w:val="0"/>
        <w:spacing w:line="560" w:lineRule="exact"/>
        <w:ind w:firstLine="632" w:firstLineChars="200"/>
        <w:rPr>
          <w:rFonts w:ascii="仿宋_GB2312" w:hAnsi="仿宋_GB2312" w:cs="仿宋_GB2312"/>
        </w:rPr>
      </w:pPr>
      <w:r>
        <w:rPr>
          <w:rFonts w:hint="eastAsia" w:ascii="楷体" w:hAnsi="楷体" w:eastAsia="楷体" w:cs="楷体"/>
        </w:rPr>
        <w:t>一是</w:t>
      </w:r>
      <w:r>
        <w:rPr>
          <w:rFonts w:hint="eastAsia" w:ascii="楷体" w:hAnsi="楷体" w:eastAsia="楷体" w:cs="楷体"/>
          <w:kern w:val="0"/>
        </w:rPr>
        <w:t>扛牢政治责任，加强党对审计工作的集中统一领导。</w:t>
      </w:r>
      <w:r>
        <w:rPr>
          <w:rFonts w:hint="eastAsia" w:ascii="仿宋_GB2312" w:hAnsi="仿宋_GB2312" w:cs="仿宋_GB2312"/>
        </w:rPr>
        <w:t>深入学习贯彻党的二十大精神，完整、准确、全面贯彻新发展理念，全面落实党中央对审计工作的部署要求，把准审计在党和国家事业发展中的职责定位，在构建集中统一、全面覆盖、权威高效的审计监督体系，更好发挥审计监督作用上聚焦发力，增强审计的政治属性和政治功能。</w:t>
      </w:r>
    </w:p>
    <w:p>
      <w:pPr>
        <w:pBdr>
          <w:bottom w:val="single" w:color="FFFFFF" w:sz="4" w:space="31"/>
        </w:pBdr>
        <w:tabs>
          <w:tab w:val="left" w:pos="426"/>
          <w:tab w:val="left" w:pos="1440"/>
        </w:tabs>
        <w:adjustRightInd w:val="0"/>
        <w:snapToGrid w:val="0"/>
        <w:spacing w:line="560" w:lineRule="exact"/>
        <w:ind w:firstLine="632" w:firstLineChars="200"/>
        <w:rPr>
          <w:rFonts w:ascii="仿宋_GB2312" w:hAnsi="微软雅黑" w:cs="仿宋_GB2312"/>
          <w:kern w:val="0"/>
        </w:rPr>
      </w:pPr>
      <w:r>
        <w:rPr>
          <w:rFonts w:hint="eastAsia" w:ascii="楷体" w:hAnsi="楷体" w:eastAsia="楷体" w:cs="楷体"/>
          <w:color w:val="000000"/>
        </w:rPr>
        <w:t>二是增强法治宣传针对性和实效性，</w:t>
      </w:r>
      <w:r>
        <w:rPr>
          <w:rFonts w:hint="eastAsia" w:ascii="楷体" w:hAnsi="楷体" w:eastAsia="楷体" w:cs="楷体"/>
        </w:rPr>
        <w:t>促进法治和业务工作有机结合。</w:t>
      </w:r>
      <w:r>
        <w:rPr>
          <w:rFonts w:hint="eastAsia" w:ascii="仿宋_GB2312"/>
          <w:color w:val="000000"/>
        </w:rPr>
        <w:t>全面贯彻习近平法治思想，牢固树立宪法法律至上、法律面前人人平等的法治理念，培育法治信仰，引导全体审计人员人民做社会主义法治的忠实崇尚者、自觉遵守者、坚定捍卫者，使法治成为社会共识和基本原则。</w:t>
      </w:r>
      <w:r>
        <w:rPr>
          <w:rFonts w:hint="eastAsia" w:ascii="仿宋_GB2312" w:hAnsi="黑体"/>
        </w:rPr>
        <w:t>进一步加强法治学习宣传与审计业务工作的融合结合，</w:t>
      </w:r>
      <w:r>
        <w:rPr>
          <w:rFonts w:hint="eastAsia" w:ascii="仿宋_GB2312" w:hAnsi="微软雅黑" w:cs="仿宋_GB2312"/>
          <w:kern w:val="0"/>
        </w:rPr>
        <w:t>突出抓好审计监督重点，科学</w:t>
      </w:r>
      <w:r>
        <w:rPr>
          <w:rFonts w:ascii="仿宋_GB2312" w:hAnsi="微软雅黑" w:cs="仿宋_GB2312"/>
          <w:kern w:val="0"/>
        </w:rPr>
        <w:t>谋划</w:t>
      </w:r>
      <w:r>
        <w:rPr>
          <w:rFonts w:hint="eastAsia" w:ascii="仿宋_GB2312"/>
        </w:rPr>
        <w:t>审计项目计划</w:t>
      </w:r>
      <w:r>
        <w:rPr>
          <w:rFonts w:hint="eastAsia" w:ascii="仿宋_GB2312" w:hAnsi="微软雅黑" w:cs="仿宋_GB2312"/>
          <w:kern w:val="0"/>
        </w:rPr>
        <w:t>，</w:t>
      </w:r>
      <w:r>
        <w:rPr>
          <w:rFonts w:hint="eastAsia" w:ascii="仿宋_GB2312"/>
        </w:rPr>
        <w:t>统筹安排</w:t>
      </w:r>
      <w:r>
        <w:rPr>
          <w:rFonts w:ascii="仿宋_GB2312" w:hAnsi="微软雅黑" w:cs="仿宋_GB2312"/>
          <w:kern w:val="0"/>
        </w:rPr>
        <w:t>审计监督工作</w:t>
      </w:r>
      <w:r>
        <w:rPr>
          <w:rFonts w:hint="eastAsia" w:ascii="仿宋_GB2312" w:hAnsi="微软雅黑" w:cs="仿宋_GB2312"/>
          <w:kern w:val="0"/>
        </w:rPr>
        <w:t>。</w:t>
      </w:r>
    </w:p>
    <w:p>
      <w:pPr>
        <w:pBdr>
          <w:bottom w:val="single" w:color="FFFFFF" w:sz="4" w:space="31"/>
        </w:pBdr>
        <w:tabs>
          <w:tab w:val="left" w:pos="426"/>
          <w:tab w:val="left" w:pos="1440"/>
        </w:tabs>
        <w:adjustRightInd w:val="0"/>
        <w:snapToGrid w:val="0"/>
        <w:spacing w:line="560" w:lineRule="exact"/>
        <w:ind w:firstLine="632" w:firstLineChars="200"/>
        <w:rPr>
          <w:rFonts w:ascii="仿宋_GB2312" w:hAnsi="微软雅黑" w:cs="仿宋_GB2312"/>
          <w:kern w:val="0"/>
        </w:rPr>
      </w:pPr>
      <w:r>
        <w:rPr>
          <w:rFonts w:hint="eastAsia" w:ascii="楷体" w:hAnsi="楷体" w:eastAsia="楷体" w:cs="楷体"/>
        </w:rPr>
        <w:t>三</w:t>
      </w:r>
      <w:r>
        <w:rPr>
          <w:rFonts w:hint="eastAsia" w:ascii="楷体" w:hAnsi="楷体" w:eastAsia="楷体" w:cs="楷体"/>
          <w:kern w:val="0"/>
        </w:rPr>
        <w:t>是聚焦问题导向和目标绩效导向，坚定审计正确前进方向。</w:t>
      </w:r>
      <w:r>
        <w:rPr>
          <w:rFonts w:hint="eastAsia" w:ascii="仿宋_GB2312" w:hAnsi="微软雅黑" w:cs="仿宋_GB2312"/>
          <w:kern w:val="0"/>
        </w:rPr>
        <w:t>聚焦高质量发展首要任务，聚焦工委管委重点部署，对所有管理使用公共资金、国有资产、国有资源的单位和部门审计监督权无一遗漏、无一例外，聚焦财政资金使用、重大政策落实、重点产业发展、国企资产监管、民生保障改善等重点领域，形成常态化、动态化震慑。</w:t>
      </w:r>
    </w:p>
    <w:p>
      <w:pPr>
        <w:pBdr>
          <w:bottom w:val="single" w:color="FFFFFF" w:sz="4" w:space="31"/>
        </w:pBdr>
        <w:tabs>
          <w:tab w:val="left" w:pos="426"/>
          <w:tab w:val="left" w:pos="1440"/>
        </w:tabs>
        <w:adjustRightInd w:val="0"/>
        <w:snapToGrid w:val="0"/>
        <w:spacing w:line="560" w:lineRule="exact"/>
        <w:ind w:firstLine="632" w:firstLineChars="200"/>
        <w:rPr>
          <w:rFonts w:ascii="仿宋_GB2312"/>
        </w:rPr>
      </w:pPr>
      <w:r>
        <w:rPr>
          <w:rFonts w:hint="eastAsia" w:ascii="楷体" w:hAnsi="楷体" w:eastAsia="楷体" w:cs="楷体"/>
          <w:kern w:val="0"/>
        </w:rPr>
        <w:t>四是深化改革创新，提升审计工作生机与活力。</w:t>
      </w:r>
      <w:r>
        <w:rPr>
          <w:rFonts w:hint="eastAsia" w:ascii="仿宋_GB2312"/>
        </w:rPr>
        <w:t>进一步完善制度机制，在审计理念、方法、管理上不断改革创新。巩固和拓展审计管理体制改革成果，准确理解和把握审计全覆盖要求，把研究思维和系统观念贯穿审计全过程，建立健全研究型审计落实机制。加大数据资源分析利用力度，全面推进智慧审计，提高审计工作效率和质量。进一步推动投资审计转型，突出对工程建设过程管理、投资绩效审计力度，促进我区公共投资项目建设及资金规范管理。</w:t>
      </w:r>
    </w:p>
    <w:p>
      <w:pPr>
        <w:pBdr>
          <w:bottom w:val="single" w:color="FFFFFF" w:sz="4" w:space="31"/>
        </w:pBdr>
        <w:tabs>
          <w:tab w:val="left" w:pos="426"/>
          <w:tab w:val="left" w:pos="1440"/>
        </w:tabs>
        <w:adjustRightInd w:val="0"/>
        <w:snapToGrid w:val="0"/>
        <w:spacing w:line="560" w:lineRule="exact"/>
        <w:ind w:firstLine="632" w:firstLineChars="200"/>
        <w:rPr>
          <w:rFonts w:ascii="仿宋_GB2312"/>
          <w:bCs/>
        </w:rPr>
      </w:pPr>
      <w:r>
        <w:rPr>
          <w:rFonts w:hint="eastAsia" w:ascii="楷体" w:hAnsi="楷体" w:eastAsia="楷体" w:cs="楷体"/>
          <w:kern w:val="0"/>
        </w:rPr>
        <w:t>五是强化审计整改，认真做好审计“下半篇文章”。</w:t>
      </w:r>
      <w:r>
        <w:rPr>
          <w:rFonts w:hint="eastAsia" w:ascii="仿宋_GB2312"/>
        </w:rPr>
        <w:t>坚持审计整改“下半篇文章”与审计揭示问题“上半篇文章”一体推进，</w:t>
      </w:r>
      <w:r>
        <w:rPr>
          <w:rFonts w:hint="eastAsia" w:ascii="仿宋_GB2312"/>
          <w:bCs/>
        </w:rPr>
        <w:t>把审计整改当作政治任务，</w:t>
      </w:r>
      <w:r>
        <w:rPr>
          <w:rFonts w:hint="eastAsia" w:ascii="仿宋_GB2312"/>
        </w:rPr>
        <w:t>把督促审计整改作为日常监督的重要抓手，将审计结果作为干部考核、任免、奖惩的重要参考。</w:t>
      </w:r>
      <w:r>
        <w:rPr>
          <w:rFonts w:hint="eastAsia" w:ascii="仿宋_GB2312"/>
          <w:bCs/>
        </w:rPr>
        <w:t>扛牢整改责任，落实审计整改约谈机制、责任追究机制和全省审计整改结果认定办法，推进审计整改“清单化”，加强整改工作协调，强化跟踪督促，压实整改责任。</w:t>
      </w:r>
    </w:p>
    <w:p>
      <w:pPr>
        <w:pStyle w:val="2"/>
      </w:pPr>
    </w:p>
    <w:p>
      <w:pPr>
        <w:pStyle w:val="2"/>
      </w:pPr>
    </w:p>
    <w:p>
      <w:pPr>
        <w:pBdr>
          <w:bottom w:val="single" w:color="FFFFFF" w:sz="4" w:space="31"/>
        </w:pBdr>
        <w:tabs>
          <w:tab w:val="left" w:pos="426"/>
          <w:tab w:val="left" w:pos="1440"/>
        </w:tabs>
        <w:adjustRightInd w:val="0"/>
        <w:snapToGrid w:val="0"/>
        <w:spacing w:line="560" w:lineRule="exact"/>
        <w:ind w:firstLine="5597" w:firstLineChars="1771"/>
        <w:jc w:val="right"/>
        <w:rPr>
          <w:rFonts w:hint="eastAsia" w:ascii="仿宋_GB2312" w:hAnsi="微软雅黑" w:cs="仿宋_GB2312"/>
          <w:kern w:val="0"/>
        </w:rPr>
      </w:pPr>
    </w:p>
    <w:p>
      <w:pPr>
        <w:pBdr>
          <w:bottom w:val="single" w:color="FFFFFF" w:sz="4" w:space="31"/>
        </w:pBdr>
        <w:tabs>
          <w:tab w:val="left" w:pos="426"/>
          <w:tab w:val="left" w:pos="1440"/>
        </w:tabs>
        <w:adjustRightInd w:val="0"/>
        <w:snapToGrid w:val="0"/>
        <w:spacing w:line="560" w:lineRule="exact"/>
        <w:ind w:firstLine="5597" w:firstLineChars="1771"/>
        <w:jc w:val="right"/>
        <w:rPr>
          <w:rFonts w:hint="eastAsia" w:ascii="仿宋_GB2312" w:hAnsi="微软雅黑" w:cs="仿宋_GB2312"/>
          <w:kern w:val="0"/>
        </w:rPr>
      </w:pPr>
      <w:r>
        <w:rPr>
          <w:rFonts w:ascii="仿宋_GB2312" w:hAnsi="微软雅黑" w:cs="仿宋_GB2312"/>
          <w:kern w:val="0"/>
        </w:rPr>
        <w:t>青岛西海岸新区审计局</w:t>
      </w:r>
      <w:r>
        <w:rPr>
          <w:rFonts w:hint="eastAsia" w:ascii="仿宋_GB2312" w:hAnsi="微软雅黑" w:cs="仿宋_GB2312"/>
          <w:kern w:val="0"/>
        </w:rPr>
        <w:t xml:space="preserve">                                       </w:t>
      </w:r>
    </w:p>
    <w:p>
      <w:pPr>
        <w:pBdr>
          <w:bottom w:val="single" w:color="FFFFFF" w:sz="4" w:space="31"/>
        </w:pBdr>
        <w:tabs>
          <w:tab w:val="left" w:pos="426"/>
          <w:tab w:val="left" w:pos="1440"/>
        </w:tabs>
        <w:adjustRightInd w:val="0"/>
        <w:snapToGrid w:val="0"/>
        <w:spacing w:line="560" w:lineRule="exact"/>
        <w:ind w:firstLine="5597" w:firstLineChars="1771"/>
        <w:jc w:val="center"/>
        <w:rPr>
          <w:rFonts w:ascii="仿宋_GB2312" w:hAnsi="微软雅黑" w:cs="仿宋_GB2312"/>
          <w:kern w:val="0"/>
        </w:rPr>
      </w:pPr>
      <w:r>
        <w:rPr>
          <w:rFonts w:hint="eastAsia" w:ascii="仿宋_GB2312" w:hAnsi="微软雅黑" w:cs="仿宋_GB2312"/>
          <w:kern w:val="0"/>
        </w:rPr>
        <w:t>2024年1月26日</w:t>
      </w:r>
    </w:p>
    <w:p>
      <w:pPr>
        <w:pBdr>
          <w:bottom w:val="single" w:color="FFFFFF" w:sz="4" w:space="31"/>
        </w:pBdr>
        <w:tabs>
          <w:tab w:val="left" w:pos="426"/>
          <w:tab w:val="left" w:pos="1440"/>
        </w:tabs>
        <w:adjustRightInd w:val="0"/>
        <w:snapToGrid w:val="0"/>
        <w:spacing w:line="560" w:lineRule="exact"/>
        <w:ind w:firstLine="5906" w:firstLineChars="1869"/>
        <w:rPr>
          <w:rFonts w:ascii="仿宋_GB2312" w:hAnsi="微软雅黑" w:cs="仿宋_GB2312"/>
          <w:kern w:val="0"/>
        </w:rPr>
      </w:pPr>
    </w:p>
    <w:p>
      <w:pPr>
        <w:pBdr>
          <w:bottom w:val="single" w:color="FFFFFF" w:sz="4" w:space="31"/>
        </w:pBdr>
        <w:tabs>
          <w:tab w:val="left" w:pos="426"/>
          <w:tab w:val="left" w:pos="1440"/>
        </w:tabs>
        <w:adjustRightInd w:val="0"/>
        <w:snapToGrid w:val="0"/>
        <w:spacing w:line="560" w:lineRule="exact"/>
        <w:ind w:firstLine="5906" w:firstLineChars="1869"/>
        <w:rPr>
          <w:rFonts w:ascii="仿宋_GB2312" w:hAnsi="微软雅黑" w:cs="仿宋_GB2312"/>
          <w:kern w:val="0"/>
        </w:rPr>
      </w:pPr>
    </w:p>
    <w:p>
      <w:pPr>
        <w:pStyle w:val="2"/>
        <w:rPr>
          <w:rFonts w:ascii="仿宋_GB2312" w:hAnsi="微软雅黑" w:cs="仿宋_GB2312"/>
        </w:rPr>
      </w:pPr>
    </w:p>
    <w:p>
      <w:pPr>
        <w:pStyle w:val="3"/>
        <w:ind w:firstLine="632"/>
        <w:rPr>
          <w:rFonts w:ascii="仿宋_GB2312" w:hAnsi="微软雅黑" w:cs="仿宋_GB2312"/>
          <w:kern w:val="0"/>
        </w:rPr>
      </w:pPr>
    </w:p>
    <w:p>
      <w:pPr>
        <w:rPr>
          <w:rFonts w:ascii="仿宋_GB2312" w:hAnsi="微软雅黑" w:cs="仿宋_GB2312"/>
          <w:kern w:val="0"/>
        </w:rPr>
      </w:pPr>
    </w:p>
    <w:p>
      <w:pPr>
        <w:pStyle w:val="2"/>
        <w:rPr>
          <w:rFonts w:ascii="仿宋_GB2312" w:hAnsi="微软雅黑" w:cs="仿宋_GB2312"/>
        </w:rPr>
      </w:pPr>
    </w:p>
    <w:p>
      <w:pPr>
        <w:pStyle w:val="3"/>
        <w:ind w:firstLine="632"/>
        <w:rPr>
          <w:rFonts w:ascii="仿宋_GB2312" w:hAnsi="微软雅黑" w:cs="仿宋_GB2312"/>
          <w:kern w:val="0"/>
        </w:rPr>
      </w:pPr>
    </w:p>
    <w:p>
      <w:pPr>
        <w:rPr>
          <w:rFonts w:ascii="仿宋_GB2312" w:hAnsi="微软雅黑" w:cs="仿宋_GB2312"/>
          <w:kern w:val="0"/>
        </w:rPr>
      </w:pPr>
    </w:p>
    <w:p>
      <w:pPr>
        <w:pStyle w:val="2"/>
        <w:rPr>
          <w:rFonts w:ascii="仿宋_GB2312" w:hAnsi="微软雅黑" w:cs="仿宋_GB2312"/>
        </w:rPr>
      </w:pPr>
    </w:p>
    <w:p>
      <w:pPr>
        <w:pStyle w:val="3"/>
        <w:ind w:firstLine="632"/>
        <w:rPr>
          <w:rFonts w:ascii="仿宋_GB2312" w:hAnsi="微软雅黑" w:cs="仿宋_GB2312"/>
          <w:kern w:val="0"/>
        </w:rPr>
      </w:pPr>
    </w:p>
    <w:p>
      <w:pPr>
        <w:rPr>
          <w:rFonts w:ascii="仿宋_GB2312" w:hAnsi="微软雅黑" w:cs="仿宋_GB2312"/>
          <w:kern w:val="0"/>
        </w:rPr>
      </w:pPr>
    </w:p>
    <w:p>
      <w:pPr>
        <w:pStyle w:val="2"/>
        <w:rPr>
          <w:rFonts w:ascii="仿宋_GB2312" w:hAnsi="微软雅黑" w:cs="仿宋_GB2312"/>
        </w:rPr>
      </w:pPr>
    </w:p>
    <w:p>
      <w:pPr>
        <w:pStyle w:val="3"/>
        <w:ind w:firstLine="632"/>
        <w:rPr>
          <w:rFonts w:ascii="仿宋_GB2312" w:hAnsi="微软雅黑" w:cs="仿宋_GB2312"/>
          <w:kern w:val="0"/>
        </w:rPr>
      </w:pPr>
    </w:p>
    <w:p>
      <w:pPr>
        <w:rPr>
          <w:rFonts w:ascii="仿宋_GB2312" w:hAnsi="微软雅黑" w:cs="仿宋_GB2312"/>
          <w:kern w:val="0"/>
        </w:rPr>
      </w:pPr>
    </w:p>
    <w:p>
      <w:pPr>
        <w:pStyle w:val="2"/>
        <w:rPr>
          <w:rFonts w:ascii="仿宋_GB2312" w:hAnsi="微软雅黑" w:cs="仿宋_GB2312"/>
        </w:rPr>
      </w:pPr>
    </w:p>
    <w:p>
      <w:pPr>
        <w:pStyle w:val="3"/>
        <w:ind w:firstLine="632"/>
        <w:rPr>
          <w:rFonts w:ascii="仿宋_GB2312" w:hAnsi="微软雅黑" w:cs="仿宋_GB2312"/>
          <w:kern w:val="0"/>
        </w:rPr>
      </w:pPr>
    </w:p>
    <w:p>
      <w:pPr>
        <w:rPr>
          <w:rFonts w:ascii="仿宋_GB2312" w:hAnsi="微软雅黑" w:cs="仿宋_GB2312"/>
          <w:kern w:val="0"/>
        </w:rPr>
      </w:pPr>
    </w:p>
    <w:p>
      <w:pPr>
        <w:pStyle w:val="2"/>
        <w:rPr>
          <w:rFonts w:ascii="仿宋_GB2312" w:hAnsi="微软雅黑" w:cs="仿宋_GB2312"/>
        </w:rPr>
      </w:pPr>
    </w:p>
    <w:p>
      <w:pPr>
        <w:pStyle w:val="3"/>
        <w:ind w:firstLine="632"/>
        <w:rPr>
          <w:rFonts w:ascii="仿宋_GB2312" w:hAnsi="微软雅黑" w:cs="仿宋_GB2312"/>
          <w:kern w:val="0"/>
        </w:rPr>
      </w:pPr>
    </w:p>
    <w:p>
      <w:pPr>
        <w:rPr>
          <w:rFonts w:ascii="仿宋_GB2312" w:hAnsi="微软雅黑" w:cs="仿宋_GB2312"/>
          <w:kern w:val="0"/>
        </w:rPr>
      </w:pPr>
    </w:p>
    <w:p>
      <w:pPr>
        <w:pStyle w:val="2"/>
        <w:rPr>
          <w:rFonts w:ascii="仿宋_GB2312" w:hAnsi="微软雅黑" w:cs="仿宋_GB2312"/>
        </w:rPr>
      </w:pPr>
    </w:p>
    <w:p>
      <w:pPr>
        <w:pStyle w:val="3"/>
        <w:ind w:firstLine="632"/>
        <w:rPr>
          <w:rFonts w:ascii="仿宋_GB2312" w:hAnsi="微软雅黑" w:cs="仿宋_GB2312"/>
          <w:kern w:val="0"/>
        </w:rPr>
      </w:pPr>
    </w:p>
    <w:p>
      <w:pPr>
        <w:pStyle w:val="3"/>
        <w:ind w:firstLine="632"/>
        <w:rPr>
          <w:rFonts w:hint="eastAsia" w:ascii="仿宋_GB2312" w:hAnsi="微软雅黑" w:cs="仿宋_GB2312"/>
          <w:kern w:val="0"/>
        </w:rPr>
      </w:pPr>
    </w:p>
    <w:p/>
    <w:p>
      <w:pPr>
        <w:rPr>
          <w:rFonts w:ascii="仿宋_GB2312"/>
          <w:u w:val="single"/>
        </w:rPr>
      </w:pPr>
      <w:r>
        <w:rPr>
          <w:rFonts w:hint="eastAsia" w:ascii="仿宋_GB2312" w:hAnsi="文星仿宋"/>
          <w:spacing w:val="1"/>
          <w:w w:val="92"/>
          <w:kern w:val="0"/>
          <w:sz w:val="28"/>
          <w:u w:val="single"/>
          <w:fitText w:val="8586" w:id="-1590532096"/>
        </w:rPr>
        <w:t xml:space="preserve">  抄送：</w:t>
      </w:r>
      <w:r>
        <w:rPr>
          <w:rFonts w:hint="eastAsia" w:ascii="仿宋_GB2312" w:hAnsi="文星仿宋"/>
          <w:spacing w:val="1"/>
          <w:w w:val="92"/>
          <w:kern w:val="0"/>
          <w:sz w:val="28"/>
          <w:szCs w:val="28"/>
          <w:u w:val="single"/>
          <w:fitText w:val="8586" w:id="-1590532096"/>
        </w:rPr>
        <w:t>中共青岛西海岸新区工委（黄岛区委）全面依法治区委员会办公</w:t>
      </w:r>
      <w:r>
        <w:rPr>
          <w:rFonts w:hint="eastAsia" w:ascii="仿宋_GB2312" w:hAnsi="文星仿宋"/>
          <w:spacing w:val="34"/>
          <w:w w:val="92"/>
          <w:kern w:val="0"/>
          <w:sz w:val="28"/>
          <w:szCs w:val="28"/>
          <w:u w:val="single"/>
          <w:fitText w:val="8586" w:id="-1590532096"/>
        </w:rPr>
        <w:t>室</w:t>
      </w:r>
    </w:p>
    <w:p>
      <w:pPr>
        <w:rPr>
          <w:rFonts w:ascii="仿宋_GB2312" w:hAnsi="文星仿宋"/>
          <w:sz w:val="28"/>
          <w:u w:val="single"/>
        </w:rPr>
      </w:pPr>
      <w:r>
        <w:rPr>
          <w:rFonts w:hint="eastAsia" w:ascii="仿宋_GB2312" w:hAnsi="文星仿宋"/>
          <w:sz w:val="28"/>
          <w:u w:val="single"/>
        </w:rPr>
        <w:t xml:space="preserve">  青岛西海岸新区审计局办公室                2024年1月26日印发   </w:t>
      </w:r>
    </w:p>
    <w:sectPr>
      <w:footerReference r:id="rId3" w:type="default"/>
      <w:footerReference r:id="rId4" w:type="even"/>
      <w:pgSz w:w="11906" w:h="16838"/>
      <w:pgMar w:top="2098" w:right="1474" w:bottom="1985" w:left="1588" w:header="851" w:footer="1418"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文星仿宋">
    <w:altName w:val="仿宋"/>
    <w:panose1 w:val="02010604000101010101"/>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280603787"/>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280603814"/>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6EE14E"/>
    <w:multiLevelType w:val="singleLevel"/>
    <w:tmpl w:val="B06EE1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evenAndOddHeaders w:val="1"/>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A5659F"/>
    <w:rsid w:val="0000015B"/>
    <w:rsid w:val="00000996"/>
    <w:rsid w:val="0000528C"/>
    <w:rsid w:val="00006EF9"/>
    <w:rsid w:val="00020646"/>
    <w:rsid w:val="0002337C"/>
    <w:rsid w:val="0002400A"/>
    <w:rsid w:val="00031F9C"/>
    <w:rsid w:val="00033CD4"/>
    <w:rsid w:val="00035A57"/>
    <w:rsid w:val="00035FCF"/>
    <w:rsid w:val="00035FF0"/>
    <w:rsid w:val="0004045C"/>
    <w:rsid w:val="00042971"/>
    <w:rsid w:val="00046441"/>
    <w:rsid w:val="00050888"/>
    <w:rsid w:val="00051B4E"/>
    <w:rsid w:val="00052647"/>
    <w:rsid w:val="00053C1F"/>
    <w:rsid w:val="00054366"/>
    <w:rsid w:val="00054C50"/>
    <w:rsid w:val="00060A35"/>
    <w:rsid w:val="000617BD"/>
    <w:rsid w:val="00062122"/>
    <w:rsid w:val="000638AE"/>
    <w:rsid w:val="000703CA"/>
    <w:rsid w:val="000709C1"/>
    <w:rsid w:val="00073773"/>
    <w:rsid w:val="000761F1"/>
    <w:rsid w:val="00076441"/>
    <w:rsid w:val="00084C05"/>
    <w:rsid w:val="00084EB5"/>
    <w:rsid w:val="000859B1"/>
    <w:rsid w:val="00086340"/>
    <w:rsid w:val="00091392"/>
    <w:rsid w:val="000933A6"/>
    <w:rsid w:val="00095839"/>
    <w:rsid w:val="000971C8"/>
    <w:rsid w:val="00097B7B"/>
    <w:rsid w:val="000A25EF"/>
    <w:rsid w:val="000A36ED"/>
    <w:rsid w:val="000B1C0F"/>
    <w:rsid w:val="000B410B"/>
    <w:rsid w:val="000B4190"/>
    <w:rsid w:val="000B5D12"/>
    <w:rsid w:val="000C0F0F"/>
    <w:rsid w:val="000C2135"/>
    <w:rsid w:val="000C2559"/>
    <w:rsid w:val="000C50DB"/>
    <w:rsid w:val="000C7647"/>
    <w:rsid w:val="000D653C"/>
    <w:rsid w:val="000D6CB7"/>
    <w:rsid w:val="000E60E9"/>
    <w:rsid w:val="000F0AF7"/>
    <w:rsid w:val="000F3413"/>
    <w:rsid w:val="000F3ED4"/>
    <w:rsid w:val="000F4822"/>
    <w:rsid w:val="000F7731"/>
    <w:rsid w:val="0010156E"/>
    <w:rsid w:val="00101957"/>
    <w:rsid w:val="001040FD"/>
    <w:rsid w:val="001067E0"/>
    <w:rsid w:val="00112274"/>
    <w:rsid w:val="00112903"/>
    <w:rsid w:val="001131B4"/>
    <w:rsid w:val="00115DAB"/>
    <w:rsid w:val="00120A69"/>
    <w:rsid w:val="00123470"/>
    <w:rsid w:val="001235F1"/>
    <w:rsid w:val="0012513B"/>
    <w:rsid w:val="00136995"/>
    <w:rsid w:val="0014112C"/>
    <w:rsid w:val="00150D20"/>
    <w:rsid w:val="00152DAD"/>
    <w:rsid w:val="00154C09"/>
    <w:rsid w:val="00156E9A"/>
    <w:rsid w:val="001616BD"/>
    <w:rsid w:val="00164975"/>
    <w:rsid w:val="00165958"/>
    <w:rsid w:val="00170393"/>
    <w:rsid w:val="00170914"/>
    <w:rsid w:val="00172A61"/>
    <w:rsid w:val="00174C0D"/>
    <w:rsid w:val="00182AAA"/>
    <w:rsid w:val="00184D48"/>
    <w:rsid w:val="00185F96"/>
    <w:rsid w:val="00187824"/>
    <w:rsid w:val="001911D4"/>
    <w:rsid w:val="00197460"/>
    <w:rsid w:val="00197D51"/>
    <w:rsid w:val="001B2117"/>
    <w:rsid w:val="001B61B7"/>
    <w:rsid w:val="001C04B2"/>
    <w:rsid w:val="001C132C"/>
    <w:rsid w:val="001C1C07"/>
    <w:rsid w:val="001C5DD2"/>
    <w:rsid w:val="001C7822"/>
    <w:rsid w:val="001C7CBD"/>
    <w:rsid w:val="001D0003"/>
    <w:rsid w:val="001D56CE"/>
    <w:rsid w:val="001E1753"/>
    <w:rsid w:val="001E4F1E"/>
    <w:rsid w:val="001E525E"/>
    <w:rsid w:val="001F3801"/>
    <w:rsid w:val="001F3981"/>
    <w:rsid w:val="00200806"/>
    <w:rsid w:val="0020166B"/>
    <w:rsid w:val="00201B09"/>
    <w:rsid w:val="00204D1E"/>
    <w:rsid w:val="00210ADA"/>
    <w:rsid w:val="00213BAC"/>
    <w:rsid w:val="002153EB"/>
    <w:rsid w:val="002179B0"/>
    <w:rsid w:val="002200C5"/>
    <w:rsid w:val="002223BB"/>
    <w:rsid w:val="00225422"/>
    <w:rsid w:val="00225779"/>
    <w:rsid w:val="00232615"/>
    <w:rsid w:val="00233113"/>
    <w:rsid w:val="00236D59"/>
    <w:rsid w:val="002373B9"/>
    <w:rsid w:val="0024258A"/>
    <w:rsid w:val="00245B70"/>
    <w:rsid w:val="00246F4D"/>
    <w:rsid w:val="0025358A"/>
    <w:rsid w:val="0026272F"/>
    <w:rsid w:val="00262F62"/>
    <w:rsid w:val="00264DF7"/>
    <w:rsid w:val="00271C8D"/>
    <w:rsid w:val="00273D84"/>
    <w:rsid w:val="00274676"/>
    <w:rsid w:val="002757CC"/>
    <w:rsid w:val="00275BB8"/>
    <w:rsid w:val="00280B2D"/>
    <w:rsid w:val="0028310F"/>
    <w:rsid w:val="002865FD"/>
    <w:rsid w:val="00287002"/>
    <w:rsid w:val="00297E64"/>
    <w:rsid w:val="002A1F65"/>
    <w:rsid w:val="002A5C45"/>
    <w:rsid w:val="002A6F7C"/>
    <w:rsid w:val="002B3E95"/>
    <w:rsid w:val="002B3F71"/>
    <w:rsid w:val="002B461F"/>
    <w:rsid w:val="002B55B9"/>
    <w:rsid w:val="002B78DE"/>
    <w:rsid w:val="002C0800"/>
    <w:rsid w:val="002C1230"/>
    <w:rsid w:val="002C3E08"/>
    <w:rsid w:val="002C4CA0"/>
    <w:rsid w:val="002C59C6"/>
    <w:rsid w:val="002C7376"/>
    <w:rsid w:val="002D2712"/>
    <w:rsid w:val="002D2A84"/>
    <w:rsid w:val="002D5062"/>
    <w:rsid w:val="002E070B"/>
    <w:rsid w:val="002E0C1D"/>
    <w:rsid w:val="002E78C0"/>
    <w:rsid w:val="002F03FB"/>
    <w:rsid w:val="002F3510"/>
    <w:rsid w:val="002F379D"/>
    <w:rsid w:val="002F3835"/>
    <w:rsid w:val="002F3837"/>
    <w:rsid w:val="002F630B"/>
    <w:rsid w:val="002F6E43"/>
    <w:rsid w:val="002F73DA"/>
    <w:rsid w:val="00301469"/>
    <w:rsid w:val="003024D2"/>
    <w:rsid w:val="00303449"/>
    <w:rsid w:val="00303F20"/>
    <w:rsid w:val="00304549"/>
    <w:rsid w:val="0030574C"/>
    <w:rsid w:val="003068AC"/>
    <w:rsid w:val="00307356"/>
    <w:rsid w:val="003102C8"/>
    <w:rsid w:val="00312A42"/>
    <w:rsid w:val="003144CC"/>
    <w:rsid w:val="00315A53"/>
    <w:rsid w:val="00321DAD"/>
    <w:rsid w:val="00326378"/>
    <w:rsid w:val="00326611"/>
    <w:rsid w:val="0033013F"/>
    <w:rsid w:val="00332C7A"/>
    <w:rsid w:val="00333CF2"/>
    <w:rsid w:val="00333FF5"/>
    <w:rsid w:val="0033720E"/>
    <w:rsid w:val="00342170"/>
    <w:rsid w:val="00343176"/>
    <w:rsid w:val="0035121F"/>
    <w:rsid w:val="003512A1"/>
    <w:rsid w:val="00356A8A"/>
    <w:rsid w:val="00357168"/>
    <w:rsid w:val="00360715"/>
    <w:rsid w:val="00361EFE"/>
    <w:rsid w:val="00364B06"/>
    <w:rsid w:val="00366370"/>
    <w:rsid w:val="00371876"/>
    <w:rsid w:val="00372C09"/>
    <w:rsid w:val="00373656"/>
    <w:rsid w:val="0038192D"/>
    <w:rsid w:val="0038250C"/>
    <w:rsid w:val="00384CED"/>
    <w:rsid w:val="0038574C"/>
    <w:rsid w:val="003861B6"/>
    <w:rsid w:val="00392DCF"/>
    <w:rsid w:val="00395806"/>
    <w:rsid w:val="003970A6"/>
    <w:rsid w:val="003A1058"/>
    <w:rsid w:val="003A15B4"/>
    <w:rsid w:val="003A70B5"/>
    <w:rsid w:val="003A774C"/>
    <w:rsid w:val="003C15D1"/>
    <w:rsid w:val="003C3181"/>
    <w:rsid w:val="003C3EDE"/>
    <w:rsid w:val="003C51B3"/>
    <w:rsid w:val="003D0ADF"/>
    <w:rsid w:val="003D5AAC"/>
    <w:rsid w:val="003E0881"/>
    <w:rsid w:val="003E0DFE"/>
    <w:rsid w:val="003E1165"/>
    <w:rsid w:val="003E3D9D"/>
    <w:rsid w:val="003E61B6"/>
    <w:rsid w:val="003E6794"/>
    <w:rsid w:val="003E7440"/>
    <w:rsid w:val="003F328D"/>
    <w:rsid w:val="003F42EF"/>
    <w:rsid w:val="003F45F2"/>
    <w:rsid w:val="003F54A1"/>
    <w:rsid w:val="003F58F6"/>
    <w:rsid w:val="00401289"/>
    <w:rsid w:val="00401AE3"/>
    <w:rsid w:val="004049C0"/>
    <w:rsid w:val="00407590"/>
    <w:rsid w:val="00410813"/>
    <w:rsid w:val="004130FE"/>
    <w:rsid w:val="00414F99"/>
    <w:rsid w:val="00415A7C"/>
    <w:rsid w:val="00415E52"/>
    <w:rsid w:val="004168D1"/>
    <w:rsid w:val="00433689"/>
    <w:rsid w:val="00437CB2"/>
    <w:rsid w:val="00437D9A"/>
    <w:rsid w:val="004416B9"/>
    <w:rsid w:val="00441D96"/>
    <w:rsid w:val="00443A38"/>
    <w:rsid w:val="00450B4C"/>
    <w:rsid w:val="0045228B"/>
    <w:rsid w:val="004553B5"/>
    <w:rsid w:val="00455944"/>
    <w:rsid w:val="00463044"/>
    <w:rsid w:val="00463741"/>
    <w:rsid w:val="0046545C"/>
    <w:rsid w:val="004670F2"/>
    <w:rsid w:val="0046745C"/>
    <w:rsid w:val="00470197"/>
    <w:rsid w:val="004703A4"/>
    <w:rsid w:val="0047414E"/>
    <w:rsid w:val="00475F09"/>
    <w:rsid w:val="00476D55"/>
    <w:rsid w:val="0048079D"/>
    <w:rsid w:val="00480B8C"/>
    <w:rsid w:val="00481E71"/>
    <w:rsid w:val="0048279F"/>
    <w:rsid w:val="00483AD2"/>
    <w:rsid w:val="004864B5"/>
    <w:rsid w:val="00486E76"/>
    <w:rsid w:val="004902F2"/>
    <w:rsid w:val="00491801"/>
    <w:rsid w:val="00493742"/>
    <w:rsid w:val="00495BE3"/>
    <w:rsid w:val="00497179"/>
    <w:rsid w:val="004A1A94"/>
    <w:rsid w:val="004A2BC8"/>
    <w:rsid w:val="004A5BE7"/>
    <w:rsid w:val="004B3F71"/>
    <w:rsid w:val="004B421F"/>
    <w:rsid w:val="004C1F9E"/>
    <w:rsid w:val="004C2510"/>
    <w:rsid w:val="004C25F6"/>
    <w:rsid w:val="004C351D"/>
    <w:rsid w:val="004C5A5B"/>
    <w:rsid w:val="004D2B73"/>
    <w:rsid w:val="004D503F"/>
    <w:rsid w:val="004E0826"/>
    <w:rsid w:val="004E12CF"/>
    <w:rsid w:val="004E2A6E"/>
    <w:rsid w:val="004E39CF"/>
    <w:rsid w:val="004E44A4"/>
    <w:rsid w:val="004E57D5"/>
    <w:rsid w:val="004E58E7"/>
    <w:rsid w:val="004F7970"/>
    <w:rsid w:val="00501E98"/>
    <w:rsid w:val="00502C8A"/>
    <w:rsid w:val="00502D60"/>
    <w:rsid w:val="005048FA"/>
    <w:rsid w:val="00505476"/>
    <w:rsid w:val="00514ECB"/>
    <w:rsid w:val="0052522D"/>
    <w:rsid w:val="00530B0A"/>
    <w:rsid w:val="00531021"/>
    <w:rsid w:val="00531043"/>
    <w:rsid w:val="0053166A"/>
    <w:rsid w:val="005346C7"/>
    <w:rsid w:val="00535E3E"/>
    <w:rsid w:val="00545293"/>
    <w:rsid w:val="00546B70"/>
    <w:rsid w:val="005479CF"/>
    <w:rsid w:val="0055015B"/>
    <w:rsid w:val="005540B8"/>
    <w:rsid w:val="00556E4C"/>
    <w:rsid w:val="005665B0"/>
    <w:rsid w:val="00566A11"/>
    <w:rsid w:val="005703E7"/>
    <w:rsid w:val="00572147"/>
    <w:rsid w:val="005737D3"/>
    <w:rsid w:val="0057565E"/>
    <w:rsid w:val="00576197"/>
    <w:rsid w:val="00576F2B"/>
    <w:rsid w:val="00581579"/>
    <w:rsid w:val="00581EB4"/>
    <w:rsid w:val="005872DB"/>
    <w:rsid w:val="0058764A"/>
    <w:rsid w:val="00590203"/>
    <w:rsid w:val="00590948"/>
    <w:rsid w:val="005A11AB"/>
    <w:rsid w:val="005A5D5B"/>
    <w:rsid w:val="005B3BB1"/>
    <w:rsid w:val="005B556E"/>
    <w:rsid w:val="005B574F"/>
    <w:rsid w:val="005C2401"/>
    <w:rsid w:val="005C2D4F"/>
    <w:rsid w:val="005C2D57"/>
    <w:rsid w:val="005C368E"/>
    <w:rsid w:val="005C386F"/>
    <w:rsid w:val="005C5A85"/>
    <w:rsid w:val="005D37E5"/>
    <w:rsid w:val="005D54FF"/>
    <w:rsid w:val="005D789A"/>
    <w:rsid w:val="005E0B64"/>
    <w:rsid w:val="005E1C9F"/>
    <w:rsid w:val="005E335F"/>
    <w:rsid w:val="005E3913"/>
    <w:rsid w:val="005E3D5E"/>
    <w:rsid w:val="005E7DD0"/>
    <w:rsid w:val="005F203E"/>
    <w:rsid w:val="005F3DFA"/>
    <w:rsid w:val="005F5A15"/>
    <w:rsid w:val="005F5B7A"/>
    <w:rsid w:val="005F5C1D"/>
    <w:rsid w:val="00601A6F"/>
    <w:rsid w:val="006047D0"/>
    <w:rsid w:val="00604ABB"/>
    <w:rsid w:val="00604D74"/>
    <w:rsid w:val="00616351"/>
    <w:rsid w:val="006169B6"/>
    <w:rsid w:val="00617973"/>
    <w:rsid w:val="006227DF"/>
    <w:rsid w:val="0062417F"/>
    <w:rsid w:val="00624FD2"/>
    <w:rsid w:val="00626336"/>
    <w:rsid w:val="00626E99"/>
    <w:rsid w:val="006314C1"/>
    <w:rsid w:val="00634609"/>
    <w:rsid w:val="006456AA"/>
    <w:rsid w:val="006518C0"/>
    <w:rsid w:val="00651DE3"/>
    <w:rsid w:val="0065316D"/>
    <w:rsid w:val="006555D7"/>
    <w:rsid w:val="006608D9"/>
    <w:rsid w:val="0066310A"/>
    <w:rsid w:val="00665973"/>
    <w:rsid w:val="00665E36"/>
    <w:rsid w:val="006705F3"/>
    <w:rsid w:val="00674DAD"/>
    <w:rsid w:val="006806F1"/>
    <w:rsid w:val="00695167"/>
    <w:rsid w:val="00697B7B"/>
    <w:rsid w:val="006B2CC3"/>
    <w:rsid w:val="006B418D"/>
    <w:rsid w:val="006C045E"/>
    <w:rsid w:val="006C26D1"/>
    <w:rsid w:val="006C4932"/>
    <w:rsid w:val="006C5698"/>
    <w:rsid w:val="006D625A"/>
    <w:rsid w:val="006E04BC"/>
    <w:rsid w:val="006E0904"/>
    <w:rsid w:val="006E0B9A"/>
    <w:rsid w:val="006F053E"/>
    <w:rsid w:val="006F11EE"/>
    <w:rsid w:val="00701D64"/>
    <w:rsid w:val="0070225A"/>
    <w:rsid w:val="00704674"/>
    <w:rsid w:val="0070759D"/>
    <w:rsid w:val="00717C34"/>
    <w:rsid w:val="007275FE"/>
    <w:rsid w:val="007324E8"/>
    <w:rsid w:val="00733175"/>
    <w:rsid w:val="00747D49"/>
    <w:rsid w:val="00751005"/>
    <w:rsid w:val="007514CF"/>
    <w:rsid w:val="00752A4B"/>
    <w:rsid w:val="0075571E"/>
    <w:rsid w:val="00761FDF"/>
    <w:rsid w:val="0076558E"/>
    <w:rsid w:val="00767492"/>
    <w:rsid w:val="0077147A"/>
    <w:rsid w:val="00772C98"/>
    <w:rsid w:val="00772D1B"/>
    <w:rsid w:val="00773A14"/>
    <w:rsid w:val="0077456A"/>
    <w:rsid w:val="007748A7"/>
    <w:rsid w:val="007761BA"/>
    <w:rsid w:val="00776432"/>
    <w:rsid w:val="00777576"/>
    <w:rsid w:val="00784C80"/>
    <w:rsid w:val="00787010"/>
    <w:rsid w:val="007919F9"/>
    <w:rsid w:val="00793CBF"/>
    <w:rsid w:val="007956A9"/>
    <w:rsid w:val="007A191F"/>
    <w:rsid w:val="007A2FA4"/>
    <w:rsid w:val="007A439A"/>
    <w:rsid w:val="007A4727"/>
    <w:rsid w:val="007B0AE4"/>
    <w:rsid w:val="007B1CDF"/>
    <w:rsid w:val="007B325A"/>
    <w:rsid w:val="007B433D"/>
    <w:rsid w:val="007C0FC6"/>
    <w:rsid w:val="007C3C53"/>
    <w:rsid w:val="007C3C70"/>
    <w:rsid w:val="007C74E0"/>
    <w:rsid w:val="007D2C84"/>
    <w:rsid w:val="007D3A4B"/>
    <w:rsid w:val="007D7321"/>
    <w:rsid w:val="007E074E"/>
    <w:rsid w:val="007E18F2"/>
    <w:rsid w:val="007E6977"/>
    <w:rsid w:val="007F0232"/>
    <w:rsid w:val="007F238C"/>
    <w:rsid w:val="007F4B92"/>
    <w:rsid w:val="007F5C98"/>
    <w:rsid w:val="008026FD"/>
    <w:rsid w:val="0080361D"/>
    <w:rsid w:val="00805C1D"/>
    <w:rsid w:val="00822A2F"/>
    <w:rsid w:val="00825734"/>
    <w:rsid w:val="00826763"/>
    <w:rsid w:val="008306C1"/>
    <w:rsid w:val="0083339B"/>
    <w:rsid w:val="008408C7"/>
    <w:rsid w:val="008433F4"/>
    <w:rsid w:val="008548E6"/>
    <w:rsid w:val="00854E28"/>
    <w:rsid w:val="008560A7"/>
    <w:rsid w:val="00871AAD"/>
    <w:rsid w:val="0087382E"/>
    <w:rsid w:val="0087384C"/>
    <w:rsid w:val="00874323"/>
    <w:rsid w:val="00874BA9"/>
    <w:rsid w:val="008762A1"/>
    <w:rsid w:val="0088684F"/>
    <w:rsid w:val="00891574"/>
    <w:rsid w:val="00892978"/>
    <w:rsid w:val="008938F6"/>
    <w:rsid w:val="008959E9"/>
    <w:rsid w:val="008A0FC4"/>
    <w:rsid w:val="008A108C"/>
    <w:rsid w:val="008A251A"/>
    <w:rsid w:val="008A3597"/>
    <w:rsid w:val="008A7FA9"/>
    <w:rsid w:val="008B1E6B"/>
    <w:rsid w:val="008B3299"/>
    <w:rsid w:val="008B3577"/>
    <w:rsid w:val="008B50E7"/>
    <w:rsid w:val="008B5AEF"/>
    <w:rsid w:val="008C1D78"/>
    <w:rsid w:val="008C42AF"/>
    <w:rsid w:val="008C52C7"/>
    <w:rsid w:val="008C7E08"/>
    <w:rsid w:val="008D0BE1"/>
    <w:rsid w:val="008D1B3D"/>
    <w:rsid w:val="008D3368"/>
    <w:rsid w:val="008D34B8"/>
    <w:rsid w:val="008D56AD"/>
    <w:rsid w:val="008D5BFC"/>
    <w:rsid w:val="008E08A4"/>
    <w:rsid w:val="008E148C"/>
    <w:rsid w:val="008F1513"/>
    <w:rsid w:val="008F27C1"/>
    <w:rsid w:val="008F3F92"/>
    <w:rsid w:val="008F67F4"/>
    <w:rsid w:val="009018A7"/>
    <w:rsid w:val="00902F9B"/>
    <w:rsid w:val="009061C6"/>
    <w:rsid w:val="009066A8"/>
    <w:rsid w:val="0090733F"/>
    <w:rsid w:val="00913C72"/>
    <w:rsid w:val="00914A21"/>
    <w:rsid w:val="00914C68"/>
    <w:rsid w:val="00917363"/>
    <w:rsid w:val="009219F1"/>
    <w:rsid w:val="00923BD0"/>
    <w:rsid w:val="00925884"/>
    <w:rsid w:val="00931F8F"/>
    <w:rsid w:val="00935BB8"/>
    <w:rsid w:val="00941494"/>
    <w:rsid w:val="00942D04"/>
    <w:rsid w:val="009440D3"/>
    <w:rsid w:val="00951D97"/>
    <w:rsid w:val="009622F2"/>
    <w:rsid w:val="00970F98"/>
    <w:rsid w:val="00971990"/>
    <w:rsid w:val="009753DC"/>
    <w:rsid w:val="00980D48"/>
    <w:rsid w:val="00982874"/>
    <w:rsid w:val="00985707"/>
    <w:rsid w:val="0098725F"/>
    <w:rsid w:val="00990352"/>
    <w:rsid w:val="0099058B"/>
    <w:rsid w:val="00990C5F"/>
    <w:rsid w:val="00992081"/>
    <w:rsid w:val="009924D2"/>
    <w:rsid w:val="00992DEE"/>
    <w:rsid w:val="00995BDE"/>
    <w:rsid w:val="00996CC1"/>
    <w:rsid w:val="009A2598"/>
    <w:rsid w:val="009A36F7"/>
    <w:rsid w:val="009B331C"/>
    <w:rsid w:val="009C3762"/>
    <w:rsid w:val="009C698B"/>
    <w:rsid w:val="009D1F19"/>
    <w:rsid w:val="009D3E2A"/>
    <w:rsid w:val="009D499C"/>
    <w:rsid w:val="009D689B"/>
    <w:rsid w:val="009D7197"/>
    <w:rsid w:val="009E22CB"/>
    <w:rsid w:val="009E68E5"/>
    <w:rsid w:val="009F0B4C"/>
    <w:rsid w:val="009F1523"/>
    <w:rsid w:val="009F39E6"/>
    <w:rsid w:val="009F3CB8"/>
    <w:rsid w:val="009F4281"/>
    <w:rsid w:val="009F7ACD"/>
    <w:rsid w:val="00A00053"/>
    <w:rsid w:val="00A00C39"/>
    <w:rsid w:val="00A02705"/>
    <w:rsid w:val="00A06537"/>
    <w:rsid w:val="00A069C3"/>
    <w:rsid w:val="00A06DCB"/>
    <w:rsid w:val="00A07689"/>
    <w:rsid w:val="00A07B4B"/>
    <w:rsid w:val="00A07F64"/>
    <w:rsid w:val="00A1198C"/>
    <w:rsid w:val="00A15BED"/>
    <w:rsid w:val="00A170A0"/>
    <w:rsid w:val="00A17171"/>
    <w:rsid w:val="00A172EC"/>
    <w:rsid w:val="00A3045C"/>
    <w:rsid w:val="00A31FBD"/>
    <w:rsid w:val="00A328FB"/>
    <w:rsid w:val="00A371D8"/>
    <w:rsid w:val="00A416AB"/>
    <w:rsid w:val="00A46450"/>
    <w:rsid w:val="00A4792B"/>
    <w:rsid w:val="00A512D8"/>
    <w:rsid w:val="00A51BED"/>
    <w:rsid w:val="00A54458"/>
    <w:rsid w:val="00A561E0"/>
    <w:rsid w:val="00A5659F"/>
    <w:rsid w:val="00A5747C"/>
    <w:rsid w:val="00A635D0"/>
    <w:rsid w:val="00A65464"/>
    <w:rsid w:val="00A66D42"/>
    <w:rsid w:val="00A67FA5"/>
    <w:rsid w:val="00A70B1C"/>
    <w:rsid w:val="00A70C42"/>
    <w:rsid w:val="00A73FB9"/>
    <w:rsid w:val="00A76CE2"/>
    <w:rsid w:val="00A771C8"/>
    <w:rsid w:val="00A777EC"/>
    <w:rsid w:val="00A8394F"/>
    <w:rsid w:val="00A90E16"/>
    <w:rsid w:val="00A948CA"/>
    <w:rsid w:val="00AA1A14"/>
    <w:rsid w:val="00AA303C"/>
    <w:rsid w:val="00AA40E1"/>
    <w:rsid w:val="00AA605F"/>
    <w:rsid w:val="00AB2079"/>
    <w:rsid w:val="00AB410D"/>
    <w:rsid w:val="00AB5E82"/>
    <w:rsid w:val="00AC082B"/>
    <w:rsid w:val="00AC2124"/>
    <w:rsid w:val="00AC3D59"/>
    <w:rsid w:val="00AD2516"/>
    <w:rsid w:val="00AD2F53"/>
    <w:rsid w:val="00AD5505"/>
    <w:rsid w:val="00AE3B9E"/>
    <w:rsid w:val="00AE4C9F"/>
    <w:rsid w:val="00AE536A"/>
    <w:rsid w:val="00AF0F75"/>
    <w:rsid w:val="00AF2E6E"/>
    <w:rsid w:val="00AF53BB"/>
    <w:rsid w:val="00AF6F7B"/>
    <w:rsid w:val="00AF6FF7"/>
    <w:rsid w:val="00AF7A53"/>
    <w:rsid w:val="00B04C5B"/>
    <w:rsid w:val="00B05E68"/>
    <w:rsid w:val="00B20D35"/>
    <w:rsid w:val="00B20E5A"/>
    <w:rsid w:val="00B22F80"/>
    <w:rsid w:val="00B24923"/>
    <w:rsid w:val="00B26589"/>
    <w:rsid w:val="00B33C02"/>
    <w:rsid w:val="00B34E14"/>
    <w:rsid w:val="00B36822"/>
    <w:rsid w:val="00B4108C"/>
    <w:rsid w:val="00B4182D"/>
    <w:rsid w:val="00B44E86"/>
    <w:rsid w:val="00B47E4C"/>
    <w:rsid w:val="00B528B0"/>
    <w:rsid w:val="00B53761"/>
    <w:rsid w:val="00B56E35"/>
    <w:rsid w:val="00B574C3"/>
    <w:rsid w:val="00B6059E"/>
    <w:rsid w:val="00B607F5"/>
    <w:rsid w:val="00B6184B"/>
    <w:rsid w:val="00B65C8C"/>
    <w:rsid w:val="00B66791"/>
    <w:rsid w:val="00B673B6"/>
    <w:rsid w:val="00B70195"/>
    <w:rsid w:val="00B7174A"/>
    <w:rsid w:val="00B74A51"/>
    <w:rsid w:val="00B7544B"/>
    <w:rsid w:val="00B75958"/>
    <w:rsid w:val="00B7608B"/>
    <w:rsid w:val="00B7615F"/>
    <w:rsid w:val="00B76CC1"/>
    <w:rsid w:val="00B76CCB"/>
    <w:rsid w:val="00B8034B"/>
    <w:rsid w:val="00B819B2"/>
    <w:rsid w:val="00B8253F"/>
    <w:rsid w:val="00B82E14"/>
    <w:rsid w:val="00B85525"/>
    <w:rsid w:val="00B868AC"/>
    <w:rsid w:val="00B9126A"/>
    <w:rsid w:val="00B93E70"/>
    <w:rsid w:val="00B9732C"/>
    <w:rsid w:val="00B97541"/>
    <w:rsid w:val="00B976A2"/>
    <w:rsid w:val="00BA304F"/>
    <w:rsid w:val="00BA3752"/>
    <w:rsid w:val="00BA46D4"/>
    <w:rsid w:val="00BA4F20"/>
    <w:rsid w:val="00BA51C5"/>
    <w:rsid w:val="00BA63CB"/>
    <w:rsid w:val="00BB4706"/>
    <w:rsid w:val="00BB64F3"/>
    <w:rsid w:val="00BB7EBF"/>
    <w:rsid w:val="00BC434D"/>
    <w:rsid w:val="00BC4CF5"/>
    <w:rsid w:val="00BC548C"/>
    <w:rsid w:val="00BD05C9"/>
    <w:rsid w:val="00BD1DD6"/>
    <w:rsid w:val="00BE45C7"/>
    <w:rsid w:val="00BF0AD8"/>
    <w:rsid w:val="00BF1FEC"/>
    <w:rsid w:val="00BF2D0B"/>
    <w:rsid w:val="00BF53AF"/>
    <w:rsid w:val="00C034EE"/>
    <w:rsid w:val="00C045D6"/>
    <w:rsid w:val="00C05B51"/>
    <w:rsid w:val="00C064CD"/>
    <w:rsid w:val="00C131E5"/>
    <w:rsid w:val="00C146B6"/>
    <w:rsid w:val="00C172C7"/>
    <w:rsid w:val="00C23B24"/>
    <w:rsid w:val="00C248C3"/>
    <w:rsid w:val="00C26D9B"/>
    <w:rsid w:val="00C31ECC"/>
    <w:rsid w:val="00C324BC"/>
    <w:rsid w:val="00C36F0C"/>
    <w:rsid w:val="00C37B7F"/>
    <w:rsid w:val="00C42749"/>
    <w:rsid w:val="00C43261"/>
    <w:rsid w:val="00C44F1E"/>
    <w:rsid w:val="00C47552"/>
    <w:rsid w:val="00C51118"/>
    <w:rsid w:val="00C5558E"/>
    <w:rsid w:val="00C56DA0"/>
    <w:rsid w:val="00C66105"/>
    <w:rsid w:val="00C67DF8"/>
    <w:rsid w:val="00C704E4"/>
    <w:rsid w:val="00C72778"/>
    <w:rsid w:val="00C73F09"/>
    <w:rsid w:val="00C74A0E"/>
    <w:rsid w:val="00C76298"/>
    <w:rsid w:val="00C76F35"/>
    <w:rsid w:val="00C91AB9"/>
    <w:rsid w:val="00C95594"/>
    <w:rsid w:val="00C966D8"/>
    <w:rsid w:val="00C96962"/>
    <w:rsid w:val="00CA1590"/>
    <w:rsid w:val="00CA165D"/>
    <w:rsid w:val="00CA24D3"/>
    <w:rsid w:val="00CA2DF5"/>
    <w:rsid w:val="00CA4056"/>
    <w:rsid w:val="00CA7086"/>
    <w:rsid w:val="00CA76F6"/>
    <w:rsid w:val="00CA7FC3"/>
    <w:rsid w:val="00CB1F39"/>
    <w:rsid w:val="00CB66D8"/>
    <w:rsid w:val="00CC1C1D"/>
    <w:rsid w:val="00CC4E96"/>
    <w:rsid w:val="00CC6805"/>
    <w:rsid w:val="00CC73F5"/>
    <w:rsid w:val="00CD2D23"/>
    <w:rsid w:val="00CD75FE"/>
    <w:rsid w:val="00CE0E99"/>
    <w:rsid w:val="00CE1334"/>
    <w:rsid w:val="00CE4895"/>
    <w:rsid w:val="00CF5A71"/>
    <w:rsid w:val="00D040F3"/>
    <w:rsid w:val="00D04815"/>
    <w:rsid w:val="00D11701"/>
    <w:rsid w:val="00D15CE0"/>
    <w:rsid w:val="00D16072"/>
    <w:rsid w:val="00D22382"/>
    <w:rsid w:val="00D2255E"/>
    <w:rsid w:val="00D233AC"/>
    <w:rsid w:val="00D24461"/>
    <w:rsid w:val="00D269C1"/>
    <w:rsid w:val="00D370AA"/>
    <w:rsid w:val="00D37B9F"/>
    <w:rsid w:val="00D463ED"/>
    <w:rsid w:val="00D47E22"/>
    <w:rsid w:val="00D55F7D"/>
    <w:rsid w:val="00D57BB2"/>
    <w:rsid w:val="00D57D2F"/>
    <w:rsid w:val="00D62397"/>
    <w:rsid w:val="00D63130"/>
    <w:rsid w:val="00D64740"/>
    <w:rsid w:val="00D65632"/>
    <w:rsid w:val="00D665BE"/>
    <w:rsid w:val="00D6726D"/>
    <w:rsid w:val="00D70428"/>
    <w:rsid w:val="00D70FAF"/>
    <w:rsid w:val="00D733A5"/>
    <w:rsid w:val="00D73D93"/>
    <w:rsid w:val="00D75B71"/>
    <w:rsid w:val="00D82D28"/>
    <w:rsid w:val="00D85926"/>
    <w:rsid w:val="00D85C4A"/>
    <w:rsid w:val="00D92CDA"/>
    <w:rsid w:val="00D95AF3"/>
    <w:rsid w:val="00D95F75"/>
    <w:rsid w:val="00D967D0"/>
    <w:rsid w:val="00DA0E55"/>
    <w:rsid w:val="00DA1725"/>
    <w:rsid w:val="00DA3185"/>
    <w:rsid w:val="00DA42CB"/>
    <w:rsid w:val="00DA45E4"/>
    <w:rsid w:val="00DB04B1"/>
    <w:rsid w:val="00DB2C21"/>
    <w:rsid w:val="00DB380D"/>
    <w:rsid w:val="00DB4989"/>
    <w:rsid w:val="00DB6963"/>
    <w:rsid w:val="00DB74EF"/>
    <w:rsid w:val="00DC3A6F"/>
    <w:rsid w:val="00DC3D7E"/>
    <w:rsid w:val="00DC5F22"/>
    <w:rsid w:val="00DC747F"/>
    <w:rsid w:val="00DE0C72"/>
    <w:rsid w:val="00DE355B"/>
    <w:rsid w:val="00DE4185"/>
    <w:rsid w:val="00DE61B9"/>
    <w:rsid w:val="00DE710A"/>
    <w:rsid w:val="00DE7257"/>
    <w:rsid w:val="00DF2948"/>
    <w:rsid w:val="00DF4C95"/>
    <w:rsid w:val="00DF5AB8"/>
    <w:rsid w:val="00DF7A2C"/>
    <w:rsid w:val="00E000F5"/>
    <w:rsid w:val="00E02705"/>
    <w:rsid w:val="00E065BD"/>
    <w:rsid w:val="00E06B31"/>
    <w:rsid w:val="00E1015E"/>
    <w:rsid w:val="00E127DE"/>
    <w:rsid w:val="00E13F54"/>
    <w:rsid w:val="00E15BB9"/>
    <w:rsid w:val="00E22360"/>
    <w:rsid w:val="00E2600E"/>
    <w:rsid w:val="00E263B8"/>
    <w:rsid w:val="00E27ECC"/>
    <w:rsid w:val="00E421DB"/>
    <w:rsid w:val="00E465B6"/>
    <w:rsid w:val="00E517BE"/>
    <w:rsid w:val="00E51B6A"/>
    <w:rsid w:val="00E52E13"/>
    <w:rsid w:val="00E53053"/>
    <w:rsid w:val="00E53203"/>
    <w:rsid w:val="00E54631"/>
    <w:rsid w:val="00E54DB2"/>
    <w:rsid w:val="00E568EF"/>
    <w:rsid w:val="00E61BE2"/>
    <w:rsid w:val="00E61D48"/>
    <w:rsid w:val="00E646A8"/>
    <w:rsid w:val="00E6474D"/>
    <w:rsid w:val="00E66750"/>
    <w:rsid w:val="00E66C09"/>
    <w:rsid w:val="00E66D7E"/>
    <w:rsid w:val="00E70F66"/>
    <w:rsid w:val="00E73C7F"/>
    <w:rsid w:val="00E75B47"/>
    <w:rsid w:val="00E77925"/>
    <w:rsid w:val="00E77935"/>
    <w:rsid w:val="00E83F64"/>
    <w:rsid w:val="00E84AE8"/>
    <w:rsid w:val="00E87973"/>
    <w:rsid w:val="00E87C2B"/>
    <w:rsid w:val="00EA26E4"/>
    <w:rsid w:val="00EA2934"/>
    <w:rsid w:val="00EA37DD"/>
    <w:rsid w:val="00EA7DDE"/>
    <w:rsid w:val="00EB01F5"/>
    <w:rsid w:val="00EB0872"/>
    <w:rsid w:val="00EB166B"/>
    <w:rsid w:val="00EB4F8C"/>
    <w:rsid w:val="00EC0180"/>
    <w:rsid w:val="00EC306D"/>
    <w:rsid w:val="00EC7DFE"/>
    <w:rsid w:val="00ED0202"/>
    <w:rsid w:val="00ED64E7"/>
    <w:rsid w:val="00ED75C6"/>
    <w:rsid w:val="00ED7E57"/>
    <w:rsid w:val="00EE639A"/>
    <w:rsid w:val="00EF2A00"/>
    <w:rsid w:val="00EF40FC"/>
    <w:rsid w:val="00EF6A3A"/>
    <w:rsid w:val="00F042D6"/>
    <w:rsid w:val="00F045E0"/>
    <w:rsid w:val="00F04E3C"/>
    <w:rsid w:val="00F05857"/>
    <w:rsid w:val="00F12260"/>
    <w:rsid w:val="00F1534D"/>
    <w:rsid w:val="00F21290"/>
    <w:rsid w:val="00F214A3"/>
    <w:rsid w:val="00F24593"/>
    <w:rsid w:val="00F247C4"/>
    <w:rsid w:val="00F26B0B"/>
    <w:rsid w:val="00F27F85"/>
    <w:rsid w:val="00F32136"/>
    <w:rsid w:val="00F407E5"/>
    <w:rsid w:val="00F408E9"/>
    <w:rsid w:val="00F4282E"/>
    <w:rsid w:val="00F440CD"/>
    <w:rsid w:val="00F44D1A"/>
    <w:rsid w:val="00F45501"/>
    <w:rsid w:val="00F456AA"/>
    <w:rsid w:val="00F45C93"/>
    <w:rsid w:val="00F51AFA"/>
    <w:rsid w:val="00F52188"/>
    <w:rsid w:val="00F60387"/>
    <w:rsid w:val="00F61387"/>
    <w:rsid w:val="00F66224"/>
    <w:rsid w:val="00F67097"/>
    <w:rsid w:val="00F67B34"/>
    <w:rsid w:val="00F7176F"/>
    <w:rsid w:val="00F71FB0"/>
    <w:rsid w:val="00F7414A"/>
    <w:rsid w:val="00F80C21"/>
    <w:rsid w:val="00F836C2"/>
    <w:rsid w:val="00FA223A"/>
    <w:rsid w:val="00FB1EBC"/>
    <w:rsid w:val="00FB1F1C"/>
    <w:rsid w:val="00FB29F9"/>
    <w:rsid w:val="00FC22B9"/>
    <w:rsid w:val="00FD0189"/>
    <w:rsid w:val="00FD11F7"/>
    <w:rsid w:val="00FD5B22"/>
    <w:rsid w:val="00FD7CBD"/>
    <w:rsid w:val="00FE1814"/>
    <w:rsid w:val="00FE25D7"/>
    <w:rsid w:val="00FE6E41"/>
    <w:rsid w:val="00FE74D8"/>
    <w:rsid w:val="00FF24C4"/>
    <w:rsid w:val="00FF75A8"/>
    <w:rsid w:val="03763E2C"/>
    <w:rsid w:val="05A94C03"/>
    <w:rsid w:val="070463ED"/>
    <w:rsid w:val="08603774"/>
    <w:rsid w:val="0A7D17F0"/>
    <w:rsid w:val="0D94086E"/>
    <w:rsid w:val="125D766E"/>
    <w:rsid w:val="14E47C40"/>
    <w:rsid w:val="16272E01"/>
    <w:rsid w:val="18A527E4"/>
    <w:rsid w:val="21046F84"/>
    <w:rsid w:val="239F70C0"/>
    <w:rsid w:val="27D86C8E"/>
    <w:rsid w:val="281D622D"/>
    <w:rsid w:val="31890DBC"/>
    <w:rsid w:val="37D13CD4"/>
    <w:rsid w:val="3873241A"/>
    <w:rsid w:val="3C2D0991"/>
    <w:rsid w:val="3E8D1742"/>
    <w:rsid w:val="43ED1B57"/>
    <w:rsid w:val="45352419"/>
    <w:rsid w:val="46100A49"/>
    <w:rsid w:val="47A93A52"/>
    <w:rsid w:val="49EB1C92"/>
    <w:rsid w:val="4A3F28C1"/>
    <w:rsid w:val="4B5C5CD8"/>
    <w:rsid w:val="4B97069A"/>
    <w:rsid w:val="4BCD6AB1"/>
    <w:rsid w:val="4EF70B5D"/>
    <w:rsid w:val="599F0641"/>
    <w:rsid w:val="5AEC1AC2"/>
    <w:rsid w:val="5F004DEB"/>
    <w:rsid w:val="68FF56FE"/>
    <w:rsid w:val="6B58494A"/>
    <w:rsid w:val="6C5818E6"/>
    <w:rsid w:val="756A4630"/>
    <w:rsid w:val="777627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1"/>
    <w:semiHidden/>
    <w:qFormat/>
    <w:uiPriority w:val="99"/>
    <w:pPr>
      <w:snapToGrid w:val="0"/>
      <w:jc w:val="left"/>
    </w:pPr>
    <w:rPr>
      <w:rFonts w:ascii="Calibri" w:hAnsi="Calibri" w:eastAsia="宋体" w:cs="Calibri"/>
      <w:spacing w:val="-6"/>
      <w:kern w:val="0"/>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link w:val="14"/>
    <w:qFormat/>
    <w:uiPriority w:val="99"/>
    <w:pPr>
      <w:spacing w:line="360" w:lineRule="auto"/>
      <w:ind w:firstLine="600"/>
    </w:pPr>
  </w:style>
  <w:style w:type="paragraph" w:styleId="5">
    <w:name w:val="Date"/>
    <w:basedOn w:val="1"/>
    <w:next w:val="1"/>
    <w:link w:val="15"/>
    <w:semiHidden/>
    <w:qFormat/>
    <w:uiPriority w:val="99"/>
    <w:pPr>
      <w:ind w:left="100" w:leftChars="2500"/>
    </w:p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99"/>
  </w:style>
  <w:style w:type="character" w:styleId="13">
    <w:name w:val="Emphasis"/>
    <w:basedOn w:val="11"/>
    <w:qFormat/>
    <w:locked/>
    <w:uiPriority w:val="20"/>
    <w:rPr>
      <w:i/>
      <w:iCs/>
    </w:rPr>
  </w:style>
  <w:style w:type="character" w:customStyle="1" w:styleId="14">
    <w:name w:val="正文文本缩进 Char"/>
    <w:basedOn w:val="11"/>
    <w:link w:val="4"/>
    <w:qFormat/>
    <w:locked/>
    <w:uiPriority w:val="99"/>
    <w:rPr>
      <w:rFonts w:ascii="Times New Roman" w:hAnsi="Times New Roman" w:eastAsia="宋体" w:cs="Times New Roman"/>
      <w:sz w:val="32"/>
      <w:szCs w:val="32"/>
    </w:rPr>
  </w:style>
  <w:style w:type="character" w:customStyle="1" w:styleId="15">
    <w:name w:val="日期 Char"/>
    <w:basedOn w:val="11"/>
    <w:link w:val="5"/>
    <w:semiHidden/>
    <w:qFormat/>
    <w:locked/>
    <w:uiPriority w:val="99"/>
    <w:rPr>
      <w:rFonts w:ascii="Times New Roman" w:hAnsi="Times New Roman" w:eastAsia="宋体" w:cs="Times New Roman"/>
      <w:sz w:val="24"/>
      <w:szCs w:val="24"/>
    </w:rPr>
  </w:style>
  <w:style w:type="character" w:customStyle="1" w:styleId="16">
    <w:name w:val="批注框文本 Char"/>
    <w:basedOn w:val="11"/>
    <w:link w:val="6"/>
    <w:semiHidden/>
    <w:qFormat/>
    <w:locked/>
    <w:uiPriority w:val="99"/>
    <w:rPr>
      <w:rFonts w:ascii="Times New Roman" w:hAnsi="Times New Roman" w:eastAsia="仿宋_GB2312" w:cs="Times New Roman"/>
      <w:kern w:val="2"/>
      <w:sz w:val="18"/>
      <w:szCs w:val="18"/>
    </w:rPr>
  </w:style>
  <w:style w:type="character" w:customStyle="1" w:styleId="17">
    <w:name w:val="页脚 Char"/>
    <w:basedOn w:val="11"/>
    <w:link w:val="7"/>
    <w:qFormat/>
    <w:locked/>
    <w:uiPriority w:val="99"/>
    <w:rPr>
      <w:rFonts w:ascii="Times New Roman" w:hAnsi="Times New Roman" w:eastAsia="宋体" w:cs="Times New Roman"/>
      <w:sz w:val="18"/>
      <w:szCs w:val="18"/>
    </w:rPr>
  </w:style>
  <w:style w:type="character" w:customStyle="1" w:styleId="18">
    <w:name w:val="页眉 Char"/>
    <w:basedOn w:val="11"/>
    <w:link w:val="8"/>
    <w:qFormat/>
    <w:locked/>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rPr>
      <w:rFonts w:ascii="Calibri" w:hAnsi="Calibri" w:eastAsia="宋体" w:cs="Calibri"/>
      <w:sz w:val="21"/>
      <w:szCs w:val="21"/>
    </w:rPr>
  </w:style>
  <w:style w:type="character" w:customStyle="1" w:styleId="20">
    <w:name w:val="脚注文本 Char"/>
    <w:qFormat/>
    <w:locked/>
    <w:uiPriority w:val="99"/>
    <w:rPr>
      <w:spacing w:val="-6"/>
      <w:sz w:val="18"/>
      <w:szCs w:val="18"/>
    </w:rPr>
  </w:style>
  <w:style w:type="character" w:customStyle="1" w:styleId="21">
    <w:name w:val="脚注文本 Char1"/>
    <w:basedOn w:val="11"/>
    <w:link w:val="2"/>
    <w:semiHidden/>
    <w:qFormat/>
    <w:locked/>
    <w:uiPriority w:val="99"/>
    <w:rPr>
      <w:rFonts w:ascii="Times New Roman" w:hAnsi="Times New Roman" w:eastAsia="仿宋_GB2312" w:cs="Times New Roman"/>
      <w:sz w:val="18"/>
      <w:szCs w:val="18"/>
    </w:rPr>
  </w:style>
  <w:style w:type="paragraph" w:customStyle="1" w:styleId="22">
    <w:name w:val="Char"/>
    <w:basedOn w:val="1"/>
    <w:qFormat/>
    <w:uiPriority w:val="99"/>
    <w:pPr>
      <w:widowControl/>
      <w:spacing w:after="160" w:line="240" w:lineRule="exact"/>
      <w:jc w:val="left"/>
    </w:pPr>
    <w:rPr>
      <w:rFonts w:ascii="Verdana" w:hAnsi="Verdana" w:eastAsia="宋体" w:cs="Verdana"/>
      <w:kern w:val="0"/>
      <w:sz w:val="20"/>
      <w:szCs w:val="20"/>
      <w:lang w:eastAsia="en-US"/>
    </w:rPr>
  </w:style>
  <w:style w:type="character" w:customStyle="1" w:styleId="23">
    <w:name w:val="fontstyle01"/>
    <w:basedOn w:val="11"/>
    <w:qFormat/>
    <w:uiPriority w:val="99"/>
    <w:rPr>
      <w:rFonts w:ascii="楷体_GB2312" w:eastAsia="楷体_GB2312" w:cs="楷体_GB2312"/>
      <w:color w:val="000000"/>
      <w:sz w:val="32"/>
      <w:szCs w:val="32"/>
    </w:rPr>
  </w:style>
  <w:style w:type="paragraph" w:customStyle="1" w:styleId="24">
    <w:name w:val="Char1"/>
    <w:basedOn w:val="1"/>
    <w:qFormat/>
    <w:uiPriority w:val="99"/>
    <w:pPr>
      <w:widowControl/>
      <w:spacing w:after="160" w:line="240" w:lineRule="exact"/>
      <w:jc w:val="left"/>
    </w:pPr>
    <w:rPr>
      <w:rFonts w:ascii="Verdana" w:hAnsi="Verdana" w:eastAsia="宋体" w:cs="Verdana"/>
      <w:kern w:val="0"/>
      <w:sz w:val="20"/>
      <w:szCs w:val="20"/>
      <w:lang w:eastAsia="en-US"/>
    </w:rPr>
  </w:style>
  <w:style w:type="paragraph" w:customStyle="1" w:styleId="25">
    <w:name w:val="Char2"/>
    <w:basedOn w:val="1"/>
    <w:qFormat/>
    <w:uiPriority w:val="99"/>
    <w:pPr>
      <w:widowControl/>
      <w:spacing w:after="160" w:line="240" w:lineRule="exact"/>
      <w:jc w:val="left"/>
    </w:pPr>
    <w:rPr>
      <w:rFonts w:ascii="Verdana" w:hAnsi="Verdana" w:eastAsia="宋体" w:cs="Verdana"/>
      <w:kern w:val="0"/>
      <w:sz w:val="20"/>
      <w:szCs w:val="20"/>
      <w:lang w:eastAsia="en-US"/>
    </w:rPr>
  </w:style>
  <w:style w:type="paragraph" w:customStyle="1" w:styleId="26">
    <w:name w:val="_Style 6"/>
    <w:basedOn w:val="1"/>
    <w:qFormat/>
    <w:uiPriority w:val="0"/>
    <w:pPr>
      <w:widowControl/>
      <w:spacing w:after="160" w:line="240" w:lineRule="exact"/>
      <w:jc w:val="left"/>
    </w:pPr>
    <w:rPr>
      <w:rFonts w:eastAsia="宋体"/>
      <w:szCs w:val="20"/>
    </w:rPr>
  </w:style>
  <w:style w:type="paragraph" w:customStyle="1" w:styleId="27">
    <w:name w:val="p0"/>
    <w:basedOn w:val="1"/>
    <w:qFormat/>
    <w:uiPriority w:val="0"/>
    <w:pPr>
      <w:widowControl/>
    </w:pPr>
    <w:rPr>
      <w:rFonts w:eastAsia="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575</Words>
  <Characters>3278</Characters>
  <Lines>27</Lines>
  <Paragraphs>7</Paragraphs>
  <TotalTime>12</TotalTime>
  <ScaleCrop>false</ScaleCrop>
  <LinksUpToDate>false</LinksUpToDate>
  <CharactersWithSpaces>3846</CharactersWithSpaces>
  <Application>WPS Office_11.8.2.8999_F1E327BC-269C-435d-A152-05C5408002CA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2022-01-05T15:03:00Z</dcterms:created>
  <dc:creator>微软用户</dc:creator>
  <cp:lastModifiedBy>Administrator</cp:lastModifiedBy>
  <cp:lastPrinted>2024-01-26T01:52:00Z</cp:lastPrinted>
  <dcterms:modified xsi:type="dcterms:W3CDTF">2025-03-26T06:25:08Z</dcterms:modified>
  <dc:title>青岛西海岸新区审计局文件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2052-11.8.2.8999</vt:lpwstr>
  </property>
  <property fmtid="{D5CDD505-2E9C-101B-9397-08002B2CF9AE}" pid="3" name="ICV">
    <vt:lpwstr>4CC89912413B42BFA7375B86D747CD7B</vt:lpwstr>
  </property>
</Properties>
</file>