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FE" w:rsidRDefault="00041AFE" w:rsidP="00041AFE">
      <w:pPr>
        <w:spacing w:line="560" w:lineRule="exact"/>
        <w:rPr>
          <w:rFonts w:ascii="方正小标宋_GBK" w:eastAsia="方正小标宋_GBK" w:hint="eastAsia"/>
          <w:sz w:val="44"/>
          <w:szCs w:val="44"/>
        </w:rPr>
      </w:pPr>
    </w:p>
    <w:p w:rsidR="00041AFE" w:rsidRDefault="00041AFE" w:rsidP="00041AFE">
      <w:pPr>
        <w:spacing w:line="560" w:lineRule="exact"/>
        <w:rPr>
          <w:rFonts w:ascii="仿宋_GB2312" w:eastAsia="仿宋_GB2312"/>
          <w:sz w:val="32"/>
          <w:szCs w:val="32"/>
        </w:rPr>
      </w:pPr>
      <w:r>
        <w:rPr>
          <w:rFonts w:ascii="方正小标宋_GBK" w:eastAsia="方正小标宋_GBK" w:hint="eastAsia"/>
          <w:sz w:val="44"/>
          <w:szCs w:val="44"/>
        </w:rPr>
        <w:t xml:space="preserve">  《在森林火险区活动安全防范方案》</w:t>
      </w:r>
    </w:p>
    <w:p w:rsidR="00041AFE" w:rsidRDefault="00041AFE" w:rsidP="00041AFE">
      <w:pPr>
        <w:spacing w:line="560" w:lineRule="exact"/>
        <w:rPr>
          <w:rFonts w:hint="eastAsia"/>
        </w:rPr>
      </w:pPr>
      <w:r>
        <w:t xml:space="preserve"> </w:t>
      </w:r>
    </w:p>
    <w:p w:rsidR="00041AFE" w:rsidRDefault="00041AFE" w:rsidP="00041AFE">
      <w:pPr>
        <w:spacing w:line="560" w:lineRule="exact"/>
        <w:rPr>
          <w:rFonts w:ascii="宋体" w:hAnsi="宋体"/>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宋体" w:hAnsi="宋体" w:hint="eastAsia"/>
          <w:u w:val="single"/>
        </w:rPr>
      </w:pPr>
      <w:r>
        <w:rPr>
          <w:rFonts w:ascii="宋体" w:hAnsi="宋体" w:hint="eastAsia"/>
        </w:rPr>
        <w:t xml:space="preserve">          </w:t>
      </w:r>
      <w:r>
        <w:rPr>
          <w:rFonts w:ascii="仿宋_GB2312" w:eastAsia="仿宋_GB2312" w:hint="eastAsia"/>
          <w:sz w:val="32"/>
          <w:szCs w:val="32"/>
        </w:rPr>
        <w:t xml:space="preserve"> 编制单位：</w:t>
      </w:r>
      <w:r>
        <w:rPr>
          <w:rFonts w:ascii="宋体" w:hAnsi="宋体" w:hint="eastAsia"/>
          <w:u w:val="single"/>
        </w:rPr>
        <w:t xml:space="preserve">                                            </w:t>
      </w:r>
    </w:p>
    <w:p w:rsidR="00041AFE" w:rsidRDefault="00041AFE" w:rsidP="00041AFE">
      <w:pPr>
        <w:spacing w:line="560" w:lineRule="exact"/>
        <w:rPr>
          <w:rFonts w:ascii="宋体" w:hAnsi="宋体" w:hint="eastAsia"/>
        </w:rPr>
      </w:pPr>
      <w:r>
        <w:rPr>
          <w:rFonts w:ascii="宋体" w:hAnsi="宋体" w:hint="eastAsia"/>
        </w:rPr>
        <w:t xml:space="preserve">            </w:t>
      </w:r>
    </w:p>
    <w:p w:rsidR="00041AFE" w:rsidRDefault="00041AFE" w:rsidP="00041AFE">
      <w:pPr>
        <w:spacing w:line="560" w:lineRule="exact"/>
        <w:rPr>
          <w:rFonts w:ascii="仿宋_GB2312" w:eastAsia="仿宋_GB2312" w:hint="eastAsia"/>
          <w:sz w:val="32"/>
          <w:szCs w:val="32"/>
        </w:rPr>
      </w:pPr>
      <w:r>
        <w:rPr>
          <w:rFonts w:ascii="宋体" w:hAnsi="宋体" w:hint="eastAsia"/>
        </w:rPr>
        <w:t xml:space="preserve">           </w:t>
      </w:r>
      <w:r>
        <w:rPr>
          <w:rFonts w:ascii="仿宋_GB2312" w:eastAsia="仿宋_GB2312" w:hint="eastAsia"/>
          <w:sz w:val="32"/>
          <w:szCs w:val="32"/>
        </w:rPr>
        <w:t>编制时间：  年   月     日</w:t>
      </w:r>
    </w:p>
    <w:p w:rsidR="00041AFE" w:rsidRDefault="00041AFE" w:rsidP="00041AFE">
      <w:pPr>
        <w:spacing w:line="560" w:lineRule="exact"/>
        <w:rPr>
          <w:rFonts w:ascii="仿宋_GB2312" w:eastAsia="仿宋_GB2312" w:hint="eastAsia"/>
          <w:sz w:val="32"/>
          <w:szCs w:val="32"/>
        </w:rPr>
      </w:pPr>
      <w:r>
        <w:rPr>
          <w:rFonts w:ascii="仿宋_GB2312" w:eastAsia="仿宋_GB2312" w:hint="eastAsia"/>
          <w:sz w:val="32"/>
          <w:szCs w:val="32"/>
        </w:rPr>
        <w:t xml:space="preserve"> </w:t>
      </w:r>
    </w:p>
    <w:p w:rsidR="00041AFE" w:rsidRDefault="00041AFE" w:rsidP="00041AFE">
      <w:pPr>
        <w:spacing w:line="560" w:lineRule="exact"/>
        <w:rPr>
          <w:rFonts w:ascii="仿宋_GB2312" w:eastAsia="仿宋_GB2312" w:hint="eastAsia"/>
          <w:sz w:val="32"/>
          <w:szCs w:val="32"/>
        </w:rPr>
      </w:pPr>
    </w:p>
    <w:p w:rsidR="00041AFE" w:rsidRDefault="00041AFE" w:rsidP="00041AFE">
      <w:pPr>
        <w:spacing w:line="560" w:lineRule="exact"/>
        <w:rPr>
          <w:rFonts w:ascii="仿宋_GB2312" w:eastAsia="仿宋_GB2312" w:hint="eastAsia"/>
          <w:sz w:val="32"/>
          <w:szCs w:val="32"/>
        </w:rPr>
      </w:pPr>
    </w:p>
    <w:p w:rsidR="00041AFE" w:rsidRDefault="00041AFE" w:rsidP="00041AFE">
      <w:pPr>
        <w:spacing w:line="560" w:lineRule="exact"/>
        <w:rPr>
          <w:rFonts w:ascii="仿宋_GB2312" w:eastAsia="仿宋_GB2312" w:hint="eastAsia"/>
          <w:sz w:val="32"/>
          <w:szCs w:val="32"/>
        </w:rPr>
      </w:pPr>
      <w:r>
        <w:rPr>
          <w:rFonts w:ascii="仿宋_GB2312" w:eastAsia="仿宋_GB2312" w:hint="eastAsia"/>
          <w:sz w:val="32"/>
          <w:szCs w:val="32"/>
        </w:rPr>
        <w:t xml:space="preserve">    一、指导思想</w:t>
      </w:r>
    </w:p>
    <w:p w:rsidR="00041AFE" w:rsidRDefault="00041AFE" w:rsidP="00041AFE">
      <w:pPr>
        <w:spacing w:line="560" w:lineRule="exact"/>
        <w:ind w:firstLineChars="200" w:firstLine="640"/>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以习近平新时代中国特色社会主义思想为指导，深入贯彻习近平总书记关于应急管理和森林防灭火工作的重要指示批示精神，全面落实党中央、国务院决策部署及省委、省政府，市委、市政府工作安排，坚持人民至上、生命至上，进一步完善体制机制，依法有力有序有效处置森林火灾，最大程度减少人员伤亡和财产损失，保护森林资源，维护生态安全。</w:t>
      </w:r>
    </w:p>
    <w:p w:rsidR="00041AFE" w:rsidRDefault="00041AFE" w:rsidP="00041AFE">
      <w:pPr>
        <w:numPr>
          <w:ilvl w:val="0"/>
          <w:numId w:val="1"/>
        </w:numPr>
        <w:spacing w:line="560" w:lineRule="exact"/>
        <w:ind w:firstLineChars="200" w:firstLine="640"/>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编制依据</w:t>
      </w:r>
    </w:p>
    <w:p w:rsidR="00041AFE" w:rsidRDefault="00041AFE" w:rsidP="00041AFE">
      <w:pPr>
        <w:spacing w:line="560" w:lineRule="exact"/>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 xml:space="preserve">    《中华人民共和国突发事件应对法》《中华人民共和国森林法》《森林防火条例》《山东省突发事件应对条例》《山东省实施&lt;森林防火条例&gt;办法》《青岛市突发事件应对条例》《青岛市森林防火条例》《青岛西海岸新区（黄岛区）突发事件应急预案管理办法》《青岛市森林火灾应急预案》《青岛西海岸新区（黄岛区）突发事件总体应急预案》。</w:t>
      </w:r>
    </w:p>
    <w:p w:rsidR="00041AFE" w:rsidRDefault="00041AFE" w:rsidP="00041AFE">
      <w:pPr>
        <w:spacing w:line="560" w:lineRule="exact"/>
        <w:ind w:firstLineChars="200" w:firstLine="640"/>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三、适应范围</w:t>
      </w:r>
    </w:p>
    <w:p w:rsidR="00041AFE" w:rsidRDefault="00041AFE" w:rsidP="00041AFE">
      <w:pPr>
        <w:spacing w:line="560" w:lineRule="exact"/>
        <w:ind w:firstLineChars="200" w:firstLine="640"/>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（进入详细地址、时段、人数、作业地具体起止范围）</w:t>
      </w:r>
    </w:p>
    <w:p w:rsidR="00041AFE" w:rsidRDefault="00041AFE" w:rsidP="00041AFE">
      <w:pPr>
        <w:numPr>
          <w:ilvl w:val="0"/>
          <w:numId w:val="2"/>
        </w:numPr>
        <w:spacing w:line="560" w:lineRule="exact"/>
        <w:ind w:firstLineChars="200" w:firstLine="640"/>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工作原则</w:t>
      </w:r>
    </w:p>
    <w:p w:rsidR="00041AFE" w:rsidRDefault="00041AFE" w:rsidP="00041AFE">
      <w:pPr>
        <w:spacing w:line="560" w:lineRule="exact"/>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 xml:space="preserve">    统一领导、统一指挥；以人为本、安全第一；分工协作、全面保障；快速出击、科学扑救；依法管理、高效应对；主体清晰、责权明确。</w:t>
      </w:r>
    </w:p>
    <w:p w:rsidR="00041AFE" w:rsidRDefault="00041AFE" w:rsidP="00041AFE">
      <w:pPr>
        <w:spacing w:line="560" w:lineRule="exact"/>
        <w:ind w:firstLineChars="200" w:firstLine="640"/>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五、组织指挥体系、职责划分及人员配备</w:t>
      </w:r>
    </w:p>
    <w:p w:rsidR="00041AFE" w:rsidRDefault="00041AFE" w:rsidP="00041AFE">
      <w:pPr>
        <w:spacing w:line="560" w:lineRule="exact"/>
        <w:ind w:firstLineChars="200" w:firstLine="640"/>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（详细明确责任分工、人员配备、区域划分等具体事宜）</w:t>
      </w:r>
    </w:p>
    <w:p w:rsidR="00041AFE" w:rsidRDefault="00041AFE" w:rsidP="00041AFE">
      <w:pPr>
        <w:spacing w:line="560" w:lineRule="exact"/>
        <w:ind w:firstLineChars="200" w:firstLine="640"/>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lastRenderedPageBreak/>
        <w:t>六、预防和应急准备</w:t>
      </w:r>
    </w:p>
    <w:p w:rsidR="00041AFE" w:rsidRDefault="00041AFE" w:rsidP="00041AFE">
      <w:pPr>
        <w:spacing w:line="560" w:lineRule="exact"/>
        <w:ind w:firstLineChars="200" w:firstLine="640"/>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（为做好预防工作，做了哪些准备。例如：准备哪些防灭火设备设施、每日作业前的安全教育、灭火器材使用培训、作业面开设、周围杂草清理半径。防火与灭火物资准备与现场布设。）</w:t>
      </w:r>
    </w:p>
    <w:p w:rsidR="00041AFE" w:rsidRDefault="00041AFE" w:rsidP="00041AFE">
      <w:pPr>
        <w:numPr>
          <w:ilvl w:val="0"/>
          <w:numId w:val="3"/>
        </w:numPr>
        <w:spacing w:line="560" w:lineRule="exact"/>
        <w:ind w:firstLine="640"/>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火情上报</w:t>
      </w:r>
    </w:p>
    <w:p w:rsidR="00041AFE" w:rsidRDefault="00041AFE" w:rsidP="00041AFE">
      <w:pPr>
        <w:pStyle w:val="a3"/>
        <w:autoSpaceDE w:val="0"/>
        <w:ind w:firstLine="420"/>
        <w:jc w:val="both"/>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 xml:space="preserve">  发现火情后，进入林区活动的单位要立即报所属街、镇防火负责人与区应急管理局，同时要求第一时间采取措施，及时组织力量扑救，做到打早、打小、打了。</w:t>
      </w:r>
    </w:p>
    <w:p w:rsidR="00041AFE" w:rsidRDefault="00041AFE" w:rsidP="00041AFE">
      <w:pPr>
        <w:pStyle w:val="a3"/>
        <w:numPr>
          <w:ilvl w:val="0"/>
          <w:numId w:val="3"/>
        </w:numPr>
        <w:autoSpaceDE w:val="0"/>
        <w:ind w:firstLine="640"/>
        <w:jc w:val="both"/>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宣教培训和演练</w:t>
      </w:r>
    </w:p>
    <w:p w:rsidR="00041AFE" w:rsidRDefault="00041AFE" w:rsidP="00041AFE">
      <w:pPr>
        <w:pStyle w:val="a3"/>
        <w:autoSpaceDE w:val="0"/>
        <w:ind w:left="630"/>
        <w:jc w:val="both"/>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w:t>
      </w:r>
      <w:proofErr w:type="gramStart"/>
      <w:r>
        <w:rPr>
          <w:rFonts w:ascii="仿宋_GB2312" w:eastAsia="仿宋_GB2312" w:hint="eastAsia"/>
          <w:color w:val="333333"/>
          <w:sz w:val="32"/>
          <w:szCs w:val="32"/>
          <w:shd w:val="clear" w:color="auto" w:fill="FFFFFF"/>
        </w:rPr>
        <w:t>附培训</w:t>
      </w:r>
      <w:proofErr w:type="gramEnd"/>
      <w:r>
        <w:rPr>
          <w:rFonts w:ascii="仿宋_GB2312" w:eastAsia="仿宋_GB2312" w:hint="eastAsia"/>
          <w:color w:val="333333"/>
          <w:sz w:val="32"/>
          <w:szCs w:val="32"/>
          <w:shd w:val="clear" w:color="auto" w:fill="FFFFFF"/>
        </w:rPr>
        <w:t>和演练照片）</w:t>
      </w:r>
    </w:p>
    <w:p w:rsidR="00041AFE" w:rsidRDefault="00041AFE" w:rsidP="00041AFE">
      <w:pPr>
        <w:spacing w:line="560" w:lineRule="exact"/>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 xml:space="preserve"> </w:t>
      </w:r>
    </w:p>
    <w:p w:rsidR="00041AFE" w:rsidRDefault="00041AFE" w:rsidP="00041AFE">
      <w:pPr>
        <w:spacing w:line="560" w:lineRule="exact"/>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 xml:space="preserve"> </w:t>
      </w:r>
    </w:p>
    <w:p w:rsidR="00607776" w:rsidRDefault="00607776"/>
    <w:sectPr w:rsidR="00607776" w:rsidSect="006077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777C2"/>
    <w:multiLevelType w:val="multilevel"/>
    <w:tmpl w:val="342845AC"/>
    <w:lvl w:ilvl="0">
      <w:start w:val="2"/>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E05A06"/>
    <w:multiLevelType w:val="multilevel"/>
    <w:tmpl w:val="AB0A4616"/>
    <w:lvl w:ilvl="0">
      <w:start w:val="4"/>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9C7AD4"/>
    <w:multiLevelType w:val="multilevel"/>
    <w:tmpl w:val="ED929464"/>
    <w:lvl w:ilvl="0">
      <w:start w:val="7"/>
      <w:numFmt w:val="chineseCounting"/>
      <w:suff w:val="nothing"/>
      <w:lvlText w:val="%1、"/>
      <w:lvlJc w:val="left"/>
      <w:pPr>
        <w:ind w:left="-1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1AFE"/>
    <w:rsid w:val="00041AFE"/>
    <w:rsid w:val="006077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AF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1AFE"/>
    <w:pPr>
      <w:widowControl/>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175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Words>
  <Characters>712</Characters>
  <Application>Microsoft Office Word</Application>
  <DocSecurity>0</DocSecurity>
  <Lines>5</Lines>
  <Paragraphs>1</Paragraphs>
  <ScaleCrop>false</ScaleCrop>
  <Company>China</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2023-06-01T08:28:00Z</dcterms:created>
  <dcterms:modified xsi:type="dcterms:W3CDTF">2023-06-01T08:30:00Z</dcterms:modified>
</cp:coreProperties>
</file>