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4393D">
      <w:pPr>
        <w:rPr>
          <w:rFonts w:asciiTheme="minorEastAsia" w:hAnsiTheme="minorEastAsia"/>
          <w:sz w:val="32"/>
          <w:szCs w:val="32"/>
        </w:rPr>
      </w:pPr>
    </w:p>
    <w:p w14:paraId="26699EE2">
      <w:pPr>
        <w:rPr>
          <w:rFonts w:asciiTheme="minorEastAsia" w:hAnsiTheme="minorEastAsia"/>
          <w:sz w:val="32"/>
          <w:szCs w:val="32"/>
        </w:rPr>
      </w:pPr>
    </w:p>
    <w:p w14:paraId="55378D32">
      <w:pPr>
        <w:rPr>
          <w:rFonts w:ascii="仿宋_GB2312" w:eastAsia="仿宋_GB2312"/>
          <w:sz w:val="32"/>
          <w:szCs w:val="32"/>
        </w:rPr>
      </w:pPr>
    </w:p>
    <w:p w14:paraId="4CA78E01">
      <w:pPr>
        <w:spacing w:line="240" w:lineRule="auto"/>
        <w:jc w:val="center"/>
        <w:rPr>
          <w:rFonts w:ascii="仿宋_GB2312" w:eastAsia="仿宋_GB2312"/>
          <w:sz w:val="32"/>
          <w:szCs w:val="32"/>
        </w:rPr>
      </w:pPr>
      <w:r>
        <w:rPr>
          <w:rFonts w:hint="eastAsia" w:ascii="方正小标宋_GBK" w:eastAsia="方正小标宋_GBK"/>
          <w:color w:val="FF0000"/>
          <w:spacing w:val="-20"/>
          <w:sz w:val="84"/>
          <w:szCs w:val="84"/>
        </w:rPr>
        <w:drawing>
          <wp:anchor distT="0" distB="0" distL="114300" distR="114300" simplePos="0" relativeHeight="251662336" behindDoc="0" locked="0" layoutInCell="1" allowOverlap="1">
            <wp:simplePos x="0" y="0"/>
            <wp:positionH relativeFrom="column">
              <wp:posOffset>35560</wp:posOffset>
            </wp:positionH>
            <wp:positionV relativeFrom="paragraph">
              <wp:posOffset>179705</wp:posOffset>
            </wp:positionV>
            <wp:extent cx="5493385" cy="768985"/>
            <wp:effectExtent l="1905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rcRect l="15933" t="62040" r="15517" b="20899"/>
                    <a:stretch>
                      <a:fillRect/>
                    </a:stretch>
                  </pic:blipFill>
                  <pic:spPr>
                    <a:xfrm>
                      <a:off x="0" y="0"/>
                      <a:ext cx="5493385" cy="768985"/>
                    </a:xfrm>
                    <a:prstGeom prst="rect">
                      <a:avLst/>
                    </a:prstGeom>
                    <a:noFill/>
                    <a:ln w="9525">
                      <a:noFill/>
                      <a:miter lim="800000"/>
                      <a:headEnd/>
                      <a:tailEnd/>
                    </a:ln>
                  </pic:spPr>
                </pic:pic>
              </a:graphicData>
            </a:graphic>
          </wp:anchor>
        </w:drawing>
      </w:r>
    </w:p>
    <w:p w14:paraId="53A4DCEC">
      <w:pPr>
        <w:spacing w:line="240" w:lineRule="auto"/>
        <w:jc w:val="center"/>
        <w:rPr>
          <w:rFonts w:ascii="仿宋_GB2312" w:eastAsia="仿宋_GB2312"/>
          <w:color w:val="FF0000"/>
          <w:spacing w:val="-20"/>
          <w:w w:val="80"/>
          <w:sz w:val="32"/>
          <w:szCs w:val="32"/>
        </w:rPr>
      </w:pPr>
      <w:r>
        <w:rPr>
          <w:rFonts w:hint="eastAsia" w:ascii="仿宋_GB2312" w:eastAsia="仿宋_GB2312"/>
          <w:sz w:val="32"/>
          <w:szCs w:val="32"/>
        </w:rPr>
        <w:t>青西新市党发〔2021〕20</w:t>
      </w:r>
      <w:r>
        <w:rPr>
          <w:rFonts w:hint="eastAsia" w:ascii="仿宋_GB2312" w:eastAsia="仿宋_GB2312" w:hAnsiTheme="minorEastAsia"/>
          <w:sz w:val="32"/>
          <w:szCs w:val="32"/>
        </w:rPr>
        <w:t>号</w:t>
      </w:r>
    </w:p>
    <w:p w14:paraId="564A043A">
      <w:pPr>
        <w:spacing w:line="240" w:lineRule="auto"/>
        <w:rPr>
          <w:rFonts w:ascii="仿宋_GB2312" w:eastAsia="仿宋_GB2312"/>
          <w:color w:val="FF0000"/>
          <w:spacing w:val="-20"/>
          <w:w w:val="80"/>
          <w:sz w:val="32"/>
          <w:szCs w:val="32"/>
        </w:rPr>
      </w:pPr>
    </w:p>
    <w:tbl>
      <w:tblPr>
        <w:tblStyle w:val="11"/>
        <w:tblW w:w="0" w:type="auto"/>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21"/>
      </w:tblGrid>
      <w:tr w14:paraId="147D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21" w:type="dxa"/>
          </w:tcPr>
          <w:p w14:paraId="219D30D3">
            <w:pPr>
              <w:spacing w:line="600" w:lineRule="exact"/>
              <w:jc w:val="distribute"/>
              <w:rPr>
                <w:rFonts w:ascii="仿宋_GB2312" w:eastAsia="仿宋_GB2312"/>
                <w:color w:val="FF0000"/>
                <w:spacing w:val="-20"/>
                <w:w w:val="80"/>
                <w:sz w:val="32"/>
                <w:szCs w:val="32"/>
              </w:rPr>
            </w:pPr>
            <w:r>
              <w:rPr>
                <w:rFonts w:hint="eastAsia" w:ascii="方正小标宋_GBK" w:eastAsia="方正小标宋_GBK" w:hAnsiTheme="majorEastAsia"/>
                <w:sz w:val="44"/>
                <w:szCs w:val="44"/>
              </w:rPr>
              <w:t>中共青岛西海岸新区市场监督管理局党组</w:t>
            </w:r>
          </w:p>
        </w:tc>
      </w:tr>
      <w:tr w14:paraId="4B21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21" w:type="dxa"/>
          </w:tcPr>
          <w:p w14:paraId="7AA879E8">
            <w:pPr>
              <w:spacing w:line="600" w:lineRule="exact"/>
              <w:jc w:val="distribute"/>
              <w:rPr>
                <w:rFonts w:ascii="仿宋_GB2312" w:eastAsia="仿宋_GB2312"/>
                <w:color w:val="FF0000"/>
                <w:spacing w:val="-20"/>
                <w:w w:val="80"/>
                <w:sz w:val="32"/>
                <w:szCs w:val="32"/>
              </w:rPr>
            </w:pPr>
            <w:r>
              <w:rPr>
                <w:rFonts w:hint="eastAsia" w:ascii="方正小标宋_GBK" w:eastAsia="方正小标宋_GBK" w:hAnsiTheme="majorEastAsia"/>
                <w:sz w:val="44"/>
                <w:szCs w:val="44"/>
              </w:rPr>
              <w:t>青岛西海岸新区市场监督管理局</w:t>
            </w:r>
          </w:p>
        </w:tc>
      </w:tr>
    </w:tbl>
    <w:p w14:paraId="228DF71D">
      <w:pPr>
        <w:jc w:val="center"/>
        <w:rPr>
          <w:rFonts w:ascii="方正小标宋_GBK" w:eastAsia="方正小标宋_GBK" w:hAnsiTheme="majorEastAsia"/>
          <w:sz w:val="44"/>
          <w:szCs w:val="44"/>
        </w:rPr>
      </w:pPr>
      <w:r>
        <w:rPr>
          <w:rFonts w:ascii="仿宋_GB2312"/>
        </w:rPr>
        <w:pict>
          <v:line id="_x0000_s1026" o:spid="_x0000_s1026" o:spt="20" style="position:absolute;left:0pt;margin-left:80.05pt;margin-top:222.85pt;height:0pt;width:439.35pt;mso-position-horizontal-relative:page;mso-position-vertical-relative:margin;z-index:251659264;mso-width-relative:page;mso-height-relative:page;" stroked="t" coordsize="21600,21600">
            <v:path arrowok="t"/>
            <v:fill focussize="0,0"/>
            <v:stroke weight="1.25pt" color="#FF0000"/>
            <v:imagedata o:title=""/>
            <o:lock v:ext="edit"/>
          </v:line>
        </w:pict>
      </w:r>
      <w:r>
        <w:rPr>
          <w:rFonts w:hint="eastAsia" w:ascii="方正小标宋_GBK" w:eastAsia="方正小标宋_GBK" w:hAnsiTheme="majorEastAsia"/>
          <w:sz w:val="44"/>
          <w:szCs w:val="44"/>
        </w:rPr>
        <w:t>关于印发《2021年工作要点》的通知</w:t>
      </w:r>
    </w:p>
    <w:p w14:paraId="36F0FFBD">
      <w:pPr>
        <w:rPr>
          <w:rFonts w:ascii="方正小标宋_GBK" w:eastAsia="方正小标宋_GBK" w:hAnsiTheme="majorEastAsia"/>
          <w:sz w:val="44"/>
          <w:szCs w:val="44"/>
        </w:rPr>
      </w:pPr>
    </w:p>
    <w:p w14:paraId="5763252D">
      <w:pPr>
        <w:spacing w:line="540" w:lineRule="exact"/>
        <w:jc w:val="left"/>
        <w:rPr>
          <w:rFonts w:ascii="仿宋_GB2312" w:eastAsia="仿宋_GB2312" w:hAnsiTheme="majorEastAsia"/>
          <w:sz w:val="32"/>
          <w:szCs w:val="32"/>
        </w:rPr>
      </w:pPr>
      <w:r>
        <w:rPr>
          <w:rFonts w:hint="eastAsia" w:ascii="仿宋_GB2312" w:eastAsia="仿宋_GB2312" w:hAnsiTheme="majorEastAsia"/>
          <w:sz w:val="32"/>
          <w:szCs w:val="32"/>
        </w:rPr>
        <w:t>各市场监管所，各科（室）、直属单位：</w:t>
      </w:r>
    </w:p>
    <w:p w14:paraId="6A8697AF">
      <w:pPr>
        <w:spacing w:line="54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中共青岛西海岸新区市场监督管理局党组青岛西海岸新区市场监督管理局2021年工作要点》已经局党组会议研究同意，现予印发实施，请依据职责，坚持“工作项目化、项目责任化、责任数字化、数字奖惩化”原则，认真抓好贯彻落实。</w:t>
      </w:r>
    </w:p>
    <w:p w14:paraId="27BCBF08">
      <w:pPr>
        <w:jc w:val="left"/>
        <w:rPr>
          <w:rFonts w:ascii="仿宋_GB2312" w:eastAsia="仿宋_GB2312" w:hAnsiTheme="majorEastAsia"/>
          <w:sz w:val="32"/>
          <w:szCs w:val="32"/>
        </w:rPr>
      </w:pPr>
    </w:p>
    <w:tbl>
      <w:tblPr>
        <w:tblStyle w:val="11"/>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4"/>
      </w:tblGrid>
      <w:tr w14:paraId="07AB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6164" w:type="dxa"/>
          </w:tcPr>
          <w:p w14:paraId="7A0EC065">
            <w:pPr>
              <w:spacing w:line="600" w:lineRule="exact"/>
              <w:jc w:val="distribute"/>
              <w:rPr>
                <w:rFonts w:ascii="仿宋_GB2312" w:eastAsia="仿宋_GB2312"/>
                <w:color w:val="FF0000"/>
                <w:spacing w:val="-20"/>
                <w:w w:val="80"/>
                <w:sz w:val="32"/>
                <w:szCs w:val="32"/>
              </w:rPr>
            </w:pPr>
            <w:r>
              <w:rPr>
                <w:rFonts w:hint="eastAsia" w:ascii="仿宋_GB2312" w:eastAsia="仿宋_GB2312" w:hAnsiTheme="majorEastAsia"/>
                <w:sz w:val="32"/>
                <w:szCs w:val="32"/>
              </w:rPr>
              <w:t>中共青岛西海岸新区市场监督管理局党组</w:t>
            </w:r>
          </w:p>
        </w:tc>
      </w:tr>
      <w:tr w14:paraId="713D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6164" w:type="dxa"/>
          </w:tcPr>
          <w:p w14:paraId="13CED597">
            <w:pPr>
              <w:spacing w:line="600" w:lineRule="exact"/>
              <w:jc w:val="distribute"/>
              <w:rPr>
                <w:rFonts w:ascii="仿宋_GB2312" w:eastAsia="仿宋_GB2312"/>
                <w:color w:val="FF0000"/>
                <w:spacing w:val="-20"/>
                <w:w w:val="80"/>
                <w:sz w:val="32"/>
                <w:szCs w:val="32"/>
              </w:rPr>
            </w:pPr>
            <w:r>
              <w:rPr>
                <w:rFonts w:hint="eastAsia" w:ascii="仿宋_GB2312" w:eastAsia="仿宋_GB2312" w:hAnsiTheme="majorEastAsia"/>
                <w:sz w:val="32"/>
                <w:szCs w:val="32"/>
              </w:rPr>
              <w:t>青岛西海岸新区市场监督管理局</w:t>
            </w:r>
          </w:p>
        </w:tc>
      </w:tr>
    </w:tbl>
    <w:p w14:paraId="13C113F9">
      <w:pPr>
        <w:ind w:firstLine="4944" w:firstLineChars="1545"/>
        <w:jc w:val="left"/>
        <w:rPr>
          <w:rFonts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0</w:t>
      </w:r>
      <w:r>
        <w:rPr>
          <w:rFonts w:hint="eastAsia" w:ascii="仿宋_GB2312" w:eastAsia="仿宋_GB2312" w:hAnsiTheme="majorEastAsia"/>
          <w:sz w:val="32"/>
          <w:szCs w:val="32"/>
        </w:rPr>
        <w:t>21</w:t>
      </w:r>
      <w:r>
        <w:rPr>
          <w:rFonts w:ascii="仿宋_GB2312" w:eastAsia="仿宋_GB2312" w:hAnsiTheme="majorEastAsia"/>
          <w:sz w:val="32"/>
          <w:szCs w:val="32"/>
        </w:rPr>
        <w:t>年</w:t>
      </w:r>
      <w:r>
        <w:rPr>
          <w:rFonts w:hint="eastAsia" w:ascii="仿宋_GB2312" w:eastAsia="仿宋_GB2312" w:hAnsiTheme="majorEastAsia"/>
          <w:sz w:val="32"/>
          <w:szCs w:val="32"/>
        </w:rPr>
        <w:t>2</w:t>
      </w:r>
      <w:r>
        <w:rPr>
          <w:rFonts w:ascii="仿宋_GB2312" w:eastAsia="仿宋_GB2312" w:hAnsiTheme="majorEastAsia"/>
          <w:sz w:val="32"/>
          <w:szCs w:val="32"/>
        </w:rPr>
        <w:t>月</w:t>
      </w:r>
      <w:r>
        <w:rPr>
          <w:rFonts w:hint="eastAsia" w:ascii="仿宋_GB2312" w:eastAsia="仿宋_GB2312" w:hAnsiTheme="majorEastAsia"/>
          <w:sz w:val="32"/>
          <w:szCs w:val="32"/>
        </w:rPr>
        <w:t>28</w:t>
      </w:r>
      <w:r>
        <w:rPr>
          <w:rFonts w:ascii="仿宋_GB2312" w:eastAsia="仿宋_GB2312" w:hAnsiTheme="majorEastAsia"/>
          <w:sz w:val="32"/>
          <w:szCs w:val="32"/>
        </w:rPr>
        <w:t>日</w:t>
      </w:r>
    </w:p>
    <w:tbl>
      <w:tblPr>
        <w:tblStyle w:val="11"/>
        <w:tblW w:w="0" w:type="auto"/>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21"/>
      </w:tblGrid>
      <w:tr w14:paraId="45DF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21" w:type="dxa"/>
          </w:tcPr>
          <w:p w14:paraId="652D33A4">
            <w:pPr>
              <w:spacing w:line="600" w:lineRule="exact"/>
              <w:jc w:val="distribute"/>
              <w:rPr>
                <w:rFonts w:ascii="仿宋_GB2312" w:eastAsia="仿宋_GB2312"/>
                <w:color w:val="FF0000"/>
                <w:spacing w:val="-20"/>
                <w:w w:val="80"/>
                <w:sz w:val="32"/>
                <w:szCs w:val="32"/>
              </w:rPr>
            </w:pPr>
            <w:r>
              <w:rPr>
                <w:rFonts w:hint="eastAsia" w:ascii="方正小标宋_GBK" w:eastAsia="方正小标宋_GBK" w:hAnsiTheme="majorEastAsia"/>
                <w:sz w:val="44"/>
                <w:szCs w:val="44"/>
              </w:rPr>
              <w:t>中共青岛西海岸新区市场监督管理局党组</w:t>
            </w:r>
          </w:p>
        </w:tc>
      </w:tr>
      <w:tr w14:paraId="60CE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21" w:type="dxa"/>
          </w:tcPr>
          <w:p w14:paraId="49C89B3D">
            <w:pPr>
              <w:spacing w:line="600" w:lineRule="exact"/>
              <w:jc w:val="distribute"/>
              <w:rPr>
                <w:rFonts w:ascii="仿宋_GB2312" w:eastAsia="仿宋_GB2312"/>
                <w:color w:val="FF0000"/>
                <w:spacing w:val="-20"/>
                <w:w w:val="80"/>
                <w:sz w:val="32"/>
                <w:szCs w:val="32"/>
              </w:rPr>
            </w:pPr>
            <w:r>
              <w:rPr>
                <w:rFonts w:hint="eastAsia" w:ascii="方正小标宋_GBK" w:eastAsia="方正小标宋_GBK" w:hAnsiTheme="majorEastAsia"/>
                <w:sz w:val="44"/>
                <w:szCs w:val="44"/>
              </w:rPr>
              <w:t>青岛西海岸新区市场监督管理局</w:t>
            </w:r>
          </w:p>
        </w:tc>
      </w:tr>
    </w:tbl>
    <w:p w14:paraId="75571946">
      <w:pPr>
        <w:contextualSpacing/>
        <w:jc w:val="center"/>
        <w:rPr>
          <w:rFonts w:ascii="方正小标宋_GBK" w:eastAsia="方正小标宋_GBK"/>
          <w:sz w:val="44"/>
          <w:szCs w:val="44"/>
        </w:rPr>
      </w:pPr>
      <w:r>
        <w:rPr>
          <w:rFonts w:ascii="方正小标宋_GBK" w:eastAsia="方正小标宋_GBK"/>
          <w:sz w:val="44"/>
          <w:szCs w:val="44"/>
        </w:rPr>
        <w:t>2021</w:t>
      </w:r>
      <w:r>
        <w:rPr>
          <w:rFonts w:hint="eastAsia" w:ascii="方正小标宋_GBK" w:eastAsia="方正小标宋_GBK"/>
          <w:sz w:val="44"/>
          <w:szCs w:val="44"/>
        </w:rPr>
        <w:t>年工作要点</w:t>
      </w:r>
    </w:p>
    <w:p w14:paraId="517E761C">
      <w:pPr>
        <w:contextualSpacing/>
        <w:jc w:val="center"/>
        <w:rPr>
          <w:rFonts w:ascii="楷体_GB2312" w:eastAsia="楷体_GB2312"/>
          <w:sz w:val="32"/>
          <w:szCs w:val="32"/>
        </w:rPr>
      </w:pPr>
    </w:p>
    <w:p w14:paraId="6A8D4B2E">
      <w:pPr>
        <w:ind w:firstLine="640" w:firstLineChars="200"/>
        <w:contextualSpacing/>
        <w:rPr>
          <w:rFonts w:ascii="仿宋_GB2312" w:hAnsi="Times New Roman" w:eastAsia="仿宋_GB2312"/>
          <w:sz w:val="32"/>
          <w:szCs w:val="32"/>
        </w:rPr>
      </w:pPr>
      <w:r>
        <w:rPr>
          <w:rFonts w:hint="eastAsia" w:ascii="仿宋_GB2312" w:eastAsia="仿宋_GB2312"/>
          <w:sz w:val="32"/>
          <w:szCs w:val="32"/>
        </w:rPr>
        <w:t>2021年是“十四五”开局之年，全局工作的总体要求是：以习近平新时代中国特色社会主义思想为指导，全面落实上级局和工委管委部署要求，围绕新区发展总体思路，坚持</w:t>
      </w:r>
      <w:r>
        <w:rPr>
          <w:rFonts w:hint="eastAsia" w:ascii="仿宋_GB2312" w:eastAsia="仿宋_GB2312"/>
          <w:b/>
          <w:sz w:val="32"/>
          <w:szCs w:val="32"/>
        </w:rPr>
        <w:t>党建统领</w:t>
      </w:r>
      <w:r>
        <w:rPr>
          <w:rFonts w:hint="eastAsia" w:ascii="仿宋_GB2312" w:eastAsia="仿宋_GB2312"/>
          <w:sz w:val="32"/>
          <w:szCs w:val="32"/>
        </w:rPr>
        <w:t>，把握好底线思维、系统思维、创新思维，实施</w:t>
      </w:r>
      <w:r>
        <w:rPr>
          <w:rFonts w:hint="eastAsia" w:ascii="仿宋_GB2312" w:eastAsia="仿宋_GB2312"/>
          <w:b/>
          <w:sz w:val="32"/>
          <w:szCs w:val="32"/>
        </w:rPr>
        <w:t>“五三五”工作思路</w:t>
      </w:r>
      <w:r>
        <w:rPr>
          <w:rFonts w:hint="eastAsia" w:ascii="仿宋_GB2312" w:eastAsia="仿宋_GB2312"/>
          <w:sz w:val="32"/>
          <w:szCs w:val="32"/>
        </w:rPr>
        <w:t>，即：专注抓好防疫安全、食品安全、药品安全、特种设备安全、产品质量安全等“五大安全”；精心优化营商环境、市场环境、消费环境等“三个环境”，推进升级“三大平台”、建设知识产权快维中心、农贸市场改革、电梯监管改革、食品抽检分离改革等“五项创新”有特色，队伍建设有新气象，服务保障新区“攻坚突破年”，以优异成绩庆祝建党100周年。</w:t>
      </w:r>
    </w:p>
    <w:p w14:paraId="08D34DF7">
      <w:pPr>
        <w:ind w:firstLine="640" w:firstLineChars="200"/>
        <w:contextualSpacing/>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严把</w:t>
      </w:r>
      <w:r>
        <w:rPr>
          <w:rFonts w:ascii="黑体" w:hAnsi="黑体" w:eastAsia="黑体"/>
          <w:sz w:val="32"/>
          <w:szCs w:val="32"/>
        </w:rPr>
        <w:t>“</w:t>
      </w:r>
      <w:r>
        <w:rPr>
          <w:rFonts w:hint="eastAsia" w:ascii="黑体" w:hAnsi="黑体" w:eastAsia="黑体"/>
          <w:sz w:val="32"/>
          <w:szCs w:val="32"/>
        </w:rPr>
        <w:t>五大安全</w:t>
      </w:r>
      <w:r>
        <w:rPr>
          <w:rFonts w:ascii="黑体" w:hAnsi="黑体" w:eastAsia="黑体"/>
          <w:sz w:val="32"/>
          <w:szCs w:val="32"/>
        </w:rPr>
        <w:t>”</w:t>
      </w:r>
      <w:r>
        <w:rPr>
          <w:rFonts w:hint="eastAsia" w:ascii="黑体" w:hAnsi="黑体" w:eastAsia="黑体"/>
          <w:sz w:val="32"/>
          <w:szCs w:val="32"/>
        </w:rPr>
        <w:t>，服务高品质生活</w:t>
      </w:r>
    </w:p>
    <w:p w14:paraId="5F183754">
      <w:pPr>
        <w:ind w:firstLine="640" w:firstLineChars="200"/>
        <w:contextualSpacing/>
        <w:rPr>
          <w:rFonts w:ascii="仿宋_GB2312" w:eastAsia="仿宋_GB2312"/>
          <w:b/>
          <w:sz w:val="32"/>
          <w:szCs w:val="32"/>
        </w:rPr>
      </w:pPr>
      <w:r>
        <w:rPr>
          <w:rFonts w:hint="eastAsia" w:ascii="楷体_GB2312" w:eastAsia="楷体_GB2312"/>
          <w:sz w:val="32"/>
          <w:szCs w:val="32"/>
        </w:rPr>
        <w:t>（一）筑牢防疫安全防线。</w:t>
      </w:r>
      <w:r>
        <w:rPr>
          <w:rFonts w:hint="eastAsia" w:ascii="仿宋_GB2312" w:eastAsia="仿宋_GB2312"/>
          <w:sz w:val="32"/>
          <w:szCs w:val="32"/>
        </w:rPr>
        <w:t>把疫情防控作为重大政治任务，</w:t>
      </w:r>
      <w:r>
        <w:rPr>
          <w:rFonts w:hint="eastAsia" w:ascii="仿宋_GB2312" w:eastAsia="仿宋_GB2312" w:cs="仿宋_GB2312"/>
          <w:sz w:val="32"/>
          <w:szCs w:val="32"/>
        </w:rPr>
        <w:t>强化底线思维、风险意识、问题导向，全面落实“立足于有、关口前移、多重屏障”的纵深防御策略，从严从实从紧从细抓好各项防控措施，坚决打好疫情防控攻坚战，切实保障人民群众生命安全和身体健康。</w:t>
      </w:r>
    </w:p>
    <w:p w14:paraId="4226BFBF">
      <w:pPr>
        <w:ind w:firstLine="643" w:firstLineChars="200"/>
        <w:contextualSpacing/>
        <w:rPr>
          <w:rFonts w:ascii="仿宋_GB2312" w:hAnsi="仿宋" w:eastAsia="仿宋_GB2312" w:cs="仿宋"/>
          <w:sz w:val="32"/>
          <w:szCs w:val="32"/>
        </w:rPr>
      </w:pPr>
      <w:r>
        <w:rPr>
          <w:rFonts w:hint="eastAsia" w:ascii="仿宋_GB2312" w:hAnsi="仿宋" w:eastAsia="仿宋_GB2312" w:cs="仿宋"/>
          <w:b/>
          <w:sz w:val="32"/>
          <w:szCs w:val="32"/>
        </w:rPr>
        <w:t>1.抓实冷链食品全链条防控。</w:t>
      </w:r>
      <w:r>
        <w:rPr>
          <w:rFonts w:hint="eastAsia" w:ascii="仿宋_GB2312" w:hAnsi="仿宋" w:eastAsia="仿宋_GB2312" w:cs="仿宋"/>
          <w:sz w:val="32"/>
          <w:szCs w:val="32"/>
        </w:rPr>
        <w:t>严格做好定期摸排检测，动态掌握生产经营进口冷链食品主体数量和实际运营情况，夯实精准管控基础。严格实施专仓监管，督促进口冷链食品经营单位贯彻入仓要求，坚决防止“仓外循环”。加强进口冷链食品疫情防控“八个严查”，严格督促落实冷链食品</w:t>
      </w:r>
      <w:r>
        <w:rPr>
          <w:rFonts w:ascii="仿宋_GB2312" w:hAnsi="仿宋" w:eastAsia="仿宋_GB2312" w:cs="仿宋"/>
          <w:sz w:val="32"/>
          <w:szCs w:val="32"/>
        </w:rPr>
        <w:t>经营主体</w:t>
      </w:r>
      <w:r>
        <w:rPr>
          <w:rFonts w:hint="eastAsia" w:ascii="仿宋_GB2312" w:hAnsi="仿宋" w:eastAsia="仿宋_GB2312" w:cs="仿宋"/>
          <w:sz w:val="32"/>
          <w:szCs w:val="32"/>
        </w:rPr>
        <w:t>责任</w:t>
      </w:r>
      <w:r>
        <w:rPr>
          <w:rFonts w:ascii="仿宋_GB2312" w:hAnsi="仿宋" w:eastAsia="仿宋_GB2312" w:cs="仿宋"/>
          <w:sz w:val="32"/>
          <w:szCs w:val="32"/>
        </w:rPr>
        <w:t>，</w:t>
      </w:r>
      <w:r>
        <w:rPr>
          <w:rFonts w:hint="eastAsia" w:ascii="仿宋_GB2312" w:hAnsi="仿宋" w:eastAsia="仿宋_GB2312" w:cs="仿宋"/>
          <w:sz w:val="32"/>
          <w:szCs w:val="32"/>
        </w:rPr>
        <w:t>落实进货查验、索证索票、销售记录等制度，加快完善全链条追溯体系。严格落实“冷链三证”规定要求，严查不按规定消杀检测、报备追溯、亮码销售等行为。</w:t>
      </w:r>
    </w:p>
    <w:p w14:paraId="150D0954">
      <w:pPr>
        <w:ind w:firstLine="643" w:firstLineChars="200"/>
        <w:contextualSpacing/>
        <w:rPr>
          <w:rFonts w:ascii="仿宋_GB2312" w:hAnsi="仿宋" w:eastAsia="仿宋_GB2312" w:cs="仿宋"/>
          <w:sz w:val="32"/>
          <w:szCs w:val="32"/>
        </w:rPr>
      </w:pPr>
      <w:r>
        <w:rPr>
          <w:rFonts w:hint="eastAsia" w:ascii="仿宋_GB2312" w:hAnsi="仿宋" w:eastAsia="仿宋_GB2312" w:cs="仿宋"/>
          <w:b/>
          <w:sz w:val="32"/>
          <w:szCs w:val="32"/>
        </w:rPr>
        <w:t>2.抓实非</w:t>
      </w:r>
      <w:r>
        <w:rPr>
          <w:rFonts w:ascii="仿宋_GB2312" w:hAnsi="仿宋" w:eastAsia="仿宋_GB2312" w:cs="仿宋"/>
          <w:b/>
          <w:sz w:val="32"/>
          <w:szCs w:val="32"/>
        </w:rPr>
        <w:t>冷链</w:t>
      </w:r>
      <w:r>
        <w:rPr>
          <w:rFonts w:hint="eastAsia" w:ascii="仿宋_GB2312" w:hAnsi="仿宋" w:eastAsia="仿宋_GB2312" w:cs="仿宋"/>
          <w:b/>
          <w:sz w:val="32"/>
          <w:szCs w:val="32"/>
        </w:rPr>
        <w:t>箱货</w:t>
      </w:r>
      <w:r>
        <w:rPr>
          <w:rFonts w:ascii="仿宋_GB2312" w:hAnsi="仿宋" w:eastAsia="仿宋_GB2312" w:cs="仿宋"/>
          <w:b/>
          <w:sz w:val="32"/>
          <w:szCs w:val="32"/>
        </w:rPr>
        <w:t>检测消毒。</w:t>
      </w:r>
      <w:r>
        <w:rPr>
          <w:rFonts w:hint="eastAsia" w:ascii="仿宋_GB2312" w:hAnsi="仿宋" w:eastAsia="仿宋_GB2312" w:cs="仿宋"/>
          <w:sz w:val="32"/>
          <w:szCs w:val="32"/>
        </w:rPr>
        <w:t>加大</w:t>
      </w:r>
      <w:r>
        <w:rPr>
          <w:rFonts w:ascii="仿宋_GB2312" w:hAnsi="仿宋" w:eastAsia="仿宋_GB2312" w:cs="仿宋"/>
          <w:sz w:val="32"/>
          <w:szCs w:val="32"/>
        </w:rPr>
        <w:t>对使用进口高风险非冷链集装箱货物的生产经营单位的消毒处理证明或记录的抽查检查力度，</w:t>
      </w:r>
      <w:r>
        <w:rPr>
          <w:rFonts w:hint="eastAsia" w:ascii="仿宋_GB2312" w:hAnsi="仿宋" w:eastAsia="仿宋_GB2312" w:cs="仿宋"/>
          <w:sz w:val="32"/>
          <w:szCs w:val="32"/>
        </w:rPr>
        <w:t>严肃</w:t>
      </w:r>
      <w:r>
        <w:rPr>
          <w:rFonts w:ascii="仿宋_GB2312" w:hAnsi="仿宋" w:eastAsia="仿宋_GB2312" w:cs="仿宋"/>
          <w:sz w:val="32"/>
          <w:szCs w:val="32"/>
        </w:rPr>
        <w:t>查处不落实疫情防控要求的违法违规行为</w:t>
      </w:r>
      <w:r>
        <w:rPr>
          <w:rFonts w:hint="eastAsia" w:ascii="仿宋_GB2312" w:hAnsi="仿宋" w:eastAsia="仿宋_GB2312" w:cs="仿宋"/>
          <w:sz w:val="32"/>
          <w:szCs w:val="32"/>
        </w:rPr>
        <w:t>，严格</w:t>
      </w:r>
      <w:r>
        <w:rPr>
          <w:rFonts w:ascii="仿宋_GB2312" w:hAnsi="仿宋" w:eastAsia="仿宋_GB2312" w:cs="仿宋"/>
          <w:sz w:val="32"/>
          <w:szCs w:val="32"/>
        </w:rPr>
        <w:t>落实企业主体责任</w:t>
      </w:r>
      <w:r>
        <w:rPr>
          <w:rFonts w:hint="eastAsia" w:ascii="仿宋_GB2312" w:hAnsi="仿宋" w:eastAsia="仿宋_GB2312" w:cs="仿宋"/>
          <w:sz w:val="32"/>
          <w:szCs w:val="32"/>
        </w:rPr>
        <w:t>。积极</w:t>
      </w:r>
      <w:r>
        <w:rPr>
          <w:rFonts w:ascii="仿宋_GB2312" w:hAnsi="仿宋" w:eastAsia="仿宋_GB2312" w:cs="仿宋"/>
          <w:sz w:val="32"/>
          <w:szCs w:val="32"/>
        </w:rPr>
        <w:t>发挥非冷链专班综合协调职能作用，加快</w:t>
      </w:r>
      <w:r>
        <w:rPr>
          <w:rFonts w:hint="eastAsia" w:ascii="仿宋_GB2312" w:hAnsi="仿宋" w:eastAsia="仿宋_GB2312" w:cs="仿宋"/>
          <w:sz w:val="32"/>
          <w:szCs w:val="32"/>
        </w:rPr>
        <w:t>推动</w:t>
      </w:r>
      <w:r>
        <w:rPr>
          <w:rFonts w:ascii="仿宋_GB2312" w:hAnsi="仿宋" w:eastAsia="仿宋_GB2312" w:cs="仿宋"/>
          <w:sz w:val="32"/>
          <w:szCs w:val="32"/>
        </w:rPr>
        <w:t>完善工作情况</w:t>
      </w:r>
      <w:r>
        <w:rPr>
          <w:rFonts w:hint="eastAsia" w:ascii="仿宋_GB2312" w:hAnsi="仿宋" w:eastAsia="仿宋_GB2312" w:cs="仿宋"/>
          <w:sz w:val="32"/>
          <w:szCs w:val="32"/>
        </w:rPr>
        <w:t>调度</w:t>
      </w:r>
      <w:r>
        <w:rPr>
          <w:rFonts w:ascii="仿宋_GB2312" w:hAnsi="仿宋" w:eastAsia="仿宋_GB2312" w:cs="仿宋"/>
          <w:sz w:val="32"/>
          <w:szCs w:val="32"/>
        </w:rPr>
        <w:t>、报告、</w:t>
      </w:r>
      <w:r>
        <w:rPr>
          <w:rFonts w:hint="eastAsia" w:ascii="仿宋_GB2312" w:hAnsi="仿宋" w:eastAsia="仿宋_GB2312" w:cs="仿宋"/>
          <w:sz w:val="32"/>
          <w:szCs w:val="32"/>
        </w:rPr>
        <w:t>协调</w:t>
      </w:r>
      <w:r>
        <w:rPr>
          <w:rFonts w:ascii="仿宋_GB2312" w:hAnsi="仿宋" w:eastAsia="仿宋_GB2312" w:cs="仿宋"/>
          <w:sz w:val="32"/>
          <w:szCs w:val="32"/>
        </w:rPr>
        <w:t>、督导</w:t>
      </w:r>
      <w:r>
        <w:rPr>
          <w:rFonts w:hint="eastAsia" w:ascii="仿宋_GB2312" w:hAnsi="仿宋" w:eastAsia="仿宋_GB2312" w:cs="仿宋"/>
          <w:sz w:val="32"/>
          <w:szCs w:val="32"/>
        </w:rPr>
        <w:t>等</w:t>
      </w:r>
      <w:r>
        <w:rPr>
          <w:rFonts w:ascii="仿宋_GB2312" w:hAnsi="仿宋" w:eastAsia="仿宋_GB2312" w:cs="仿宋"/>
          <w:sz w:val="32"/>
          <w:szCs w:val="32"/>
        </w:rPr>
        <w:t>工作机制</w:t>
      </w:r>
      <w:r>
        <w:rPr>
          <w:rFonts w:hint="eastAsia" w:ascii="仿宋_GB2312" w:hAnsi="仿宋" w:eastAsia="仿宋_GB2312" w:cs="仿宋"/>
          <w:sz w:val="32"/>
          <w:szCs w:val="32"/>
        </w:rPr>
        <w:t>。</w:t>
      </w:r>
      <w:r>
        <w:rPr>
          <w:rFonts w:ascii="仿宋_GB2312" w:hAnsi="仿宋" w:eastAsia="仿宋_GB2312" w:cs="仿宋"/>
          <w:sz w:val="32"/>
          <w:szCs w:val="32"/>
        </w:rPr>
        <w:t>加强部门</w:t>
      </w:r>
      <w:r>
        <w:rPr>
          <w:rFonts w:hint="eastAsia" w:ascii="仿宋_GB2312" w:hAnsi="仿宋" w:eastAsia="仿宋_GB2312" w:cs="仿宋"/>
          <w:sz w:val="32"/>
          <w:szCs w:val="32"/>
        </w:rPr>
        <w:t>间</w:t>
      </w:r>
      <w:r>
        <w:rPr>
          <w:rFonts w:ascii="仿宋_GB2312" w:hAnsi="仿宋" w:eastAsia="仿宋_GB2312" w:cs="仿宋"/>
          <w:sz w:val="32"/>
          <w:szCs w:val="32"/>
        </w:rPr>
        <w:t>协同配合，</w:t>
      </w:r>
      <w:r>
        <w:rPr>
          <w:rFonts w:hint="eastAsia" w:ascii="仿宋_GB2312" w:hAnsi="仿宋" w:eastAsia="仿宋_GB2312" w:cs="仿宋"/>
          <w:sz w:val="32"/>
          <w:szCs w:val="32"/>
        </w:rPr>
        <w:t>及时研究</w:t>
      </w:r>
      <w:r>
        <w:rPr>
          <w:rFonts w:ascii="仿宋_GB2312" w:hAnsi="仿宋" w:eastAsia="仿宋_GB2312" w:cs="仿宋"/>
          <w:sz w:val="32"/>
          <w:szCs w:val="32"/>
        </w:rPr>
        <w:t>解决遇到的问题，确保非冷链</w:t>
      </w:r>
      <w:r>
        <w:rPr>
          <w:rFonts w:hint="eastAsia" w:ascii="仿宋_GB2312" w:hAnsi="仿宋" w:eastAsia="仿宋_GB2312" w:cs="仿宋"/>
          <w:sz w:val="32"/>
          <w:szCs w:val="32"/>
        </w:rPr>
        <w:t>防疫</w:t>
      </w:r>
      <w:r>
        <w:rPr>
          <w:rFonts w:ascii="仿宋_GB2312" w:hAnsi="仿宋" w:eastAsia="仿宋_GB2312" w:cs="仿宋"/>
          <w:sz w:val="32"/>
          <w:szCs w:val="32"/>
        </w:rPr>
        <w:t>安全。</w:t>
      </w:r>
    </w:p>
    <w:p w14:paraId="56D31818">
      <w:pPr>
        <w:ind w:firstLine="643" w:firstLineChars="200"/>
        <w:contextualSpacing/>
        <w:rPr>
          <w:rFonts w:ascii="仿宋_GB2312" w:eastAsia="仿宋_GB2312"/>
          <w:sz w:val="32"/>
          <w:szCs w:val="32"/>
        </w:rPr>
      </w:pPr>
      <w:r>
        <w:rPr>
          <w:rFonts w:hint="eastAsia" w:ascii="仿宋_GB2312" w:hAnsi="黑体" w:eastAsia="仿宋_GB2312"/>
          <w:b/>
          <w:sz w:val="32"/>
          <w:szCs w:val="32"/>
        </w:rPr>
        <w:t>3.抓实重点领域防疫安全。</w:t>
      </w:r>
      <w:r>
        <w:rPr>
          <w:rFonts w:hint="eastAsia" w:ascii="仿宋_GB2312" w:eastAsia="仿宋_GB2312"/>
          <w:sz w:val="32"/>
          <w:szCs w:val="32"/>
        </w:rPr>
        <w:t>严格落实农贸市场“五个必须”防疫举措，督导落实体温检测、佩戴口罩、环境消杀等防疫要求，筑牢消费与市场领域疫情防线。加强药品流通疫情制度落实和督导检查，指导落实购买退烧、止咳、抗病毒、抗菌素药物实名登记要求，严厉打击违反疫情防控规定的药品经营单位，守牢食品药品疫情防线。着力加强内部办公场所、办公设备日常消杀防护工作，</w:t>
      </w:r>
      <w:r>
        <w:rPr>
          <w:rFonts w:hint="eastAsia" w:ascii="仿宋_GB2312" w:eastAsia="仿宋_GB2312" w:cs="仿宋_GB2312"/>
          <w:sz w:val="32"/>
          <w:szCs w:val="32"/>
        </w:rPr>
        <w:t>抓好日常防控措施落实，严格实行体温检测、健康码核验、“一米线”等措施。切实</w:t>
      </w:r>
      <w:r>
        <w:rPr>
          <w:rFonts w:hint="eastAsia" w:ascii="仿宋_GB2312" w:eastAsia="仿宋_GB2312"/>
          <w:sz w:val="32"/>
          <w:szCs w:val="32"/>
        </w:rPr>
        <w:t>加强一线监管人员的自我防护，严格按照上级防护要求和各项操作规程，严格落实配戴口罩、消毒、测温等防护措施，到农贸市场、冷链企业等重点场所检查，要佩戴一次性手套，根据需要穿戴防护服，确保安全。</w:t>
      </w:r>
    </w:p>
    <w:p w14:paraId="5EBB0231">
      <w:pPr>
        <w:ind w:firstLine="640" w:firstLineChars="200"/>
        <w:contextualSpacing/>
        <w:rPr>
          <w:rFonts w:ascii="仿宋_GB2312" w:hAnsi="仿宋" w:eastAsia="仿宋_GB2312" w:cs="仿宋"/>
          <w:sz w:val="32"/>
          <w:szCs w:val="32"/>
        </w:rPr>
      </w:pPr>
      <w:r>
        <w:rPr>
          <w:rFonts w:hint="eastAsia" w:ascii="楷体_GB2312" w:hAnsi="楷体_GB2312" w:eastAsia="楷体_GB2312" w:cs="楷体_GB2312"/>
          <w:sz w:val="32"/>
          <w:szCs w:val="32"/>
        </w:rPr>
        <w:t>责任领导：</w:t>
      </w:r>
      <w:r>
        <w:rPr>
          <w:rFonts w:hint="eastAsia" w:ascii="仿宋_GB2312" w:hAnsi="仿宋" w:eastAsia="仿宋_GB2312" w:cs="仿宋"/>
          <w:sz w:val="32"/>
          <w:szCs w:val="32"/>
        </w:rPr>
        <w:t>局领导</w:t>
      </w:r>
    </w:p>
    <w:p w14:paraId="5A609D39">
      <w:pPr>
        <w:ind w:firstLine="640" w:firstLineChars="200"/>
        <w:contextualSpacing/>
        <w:rPr>
          <w:rFonts w:ascii="仿宋_GB2312" w:hAnsi="仿宋" w:eastAsia="仿宋_GB2312" w:cs="仿宋"/>
          <w:sz w:val="32"/>
          <w:szCs w:val="32"/>
        </w:rPr>
      </w:pPr>
      <w:r>
        <w:rPr>
          <w:rFonts w:hint="eastAsia" w:ascii="楷体_GB2312" w:hAnsi="楷体_GB2312" w:eastAsia="楷体_GB2312" w:cs="楷体_GB2312"/>
          <w:sz w:val="32"/>
          <w:szCs w:val="32"/>
        </w:rPr>
        <w:t>责任部门：</w:t>
      </w:r>
      <w:r>
        <w:rPr>
          <w:rFonts w:hint="eastAsia" w:ascii="仿宋_GB2312" w:hAnsi="仿宋" w:eastAsia="仿宋_GB2312" w:cs="仿宋"/>
          <w:sz w:val="32"/>
          <w:szCs w:val="32"/>
        </w:rPr>
        <w:t>区局疫情防控指挥部各工作专班，各相关部门，各市场监管所</w:t>
      </w:r>
    </w:p>
    <w:p w14:paraId="4DC875E4">
      <w:pPr>
        <w:ind w:firstLine="640" w:firstLineChars="200"/>
        <w:contextualSpacing/>
        <w:rPr>
          <w:rFonts w:ascii="仿宋_GB2312" w:eastAsia="仿宋_GB2312"/>
          <w:b/>
          <w:sz w:val="32"/>
          <w:szCs w:val="32"/>
        </w:rPr>
      </w:pPr>
      <w:r>
        <w:rPr>
          <w:rFonts w:hint="eastAsia" w:ascii="楷体_GB2312" w:eastAsia="楷体_GB2312"/>
          <w:sz w:val="32"/>
          <w:szCs w:val="32"/>
        </w:rPr>
        <w:t>（二）抓紧食品安全监管。</w:t>
      </w:r>
      <w:r>
        <w:rPr>
          <w:rFonts w:hint="eastAsia" w:ascii="仿宋_GB2312" w:eastAsia="仿宋_GB2312"/>
          <w:sz w:val="32"/>
          <w:szCs w:val="32"/>
        </w:rPr>
        <w:t>以贯彻《工委管委关于深化改革加强“食安西海岸”建设的意见》为新起点，以</w:t>
      </w:r>
      <w:r>
        <w:rPr>
          <w:rFonts w:hint="eastAsia" w:ascii="仿宋_GB2312" w:hAnsi="宋体" w:eastAsia="仿宋_GB2312" w:cs="仿宋_GB2312"/>
          <w:sz w:val="32"/>
          <w:szCs w:val="32"/>
        </w:rPr>
        <w:t>省级食品安全区</w:t>
      </w:r>
      <w:r>
        <w:rPr>
          <w:rFonts w:hint="eastAsia" w:ascii="仿宋_GB2312" w:eastAsia="仿宋_GB2312"/>
          <w:sz w:val="32"/>
          <w:szCs w:val="32"/>
        </w:rPr>
        <w:t>复审迎检为总抓手，落实各级要求，提升食品安全监管水平，着力打造食品安全治理“西海岸模式”。</w:t>
      </w:r>
    </w:p>
    <w:p w14:paraId="0400141A">
      <w:pPr>
        <w:ind w:firstLine="643" w:firstLineChars="200"/>
        <w:contextualSpacing/>
        <w:rPr>
          <w:rFonts w:ascii="仿宋_GB2312" w:hAnsi="楷体" w:eastAsia="仿宋_GB2312"/>
          <w:sz w:val="32"/>
          <w:szCs w:val="32"/>
        </w:rPr>
      </w:pPr>
      <w:r>
        <w:rPr>
          <w:rFonts w:hint="eastAsia" w:ascii="仿宋_GB2312" w:eastAsia="仿宋_GB2312"/>
          <w:b/>
          <w:sz w:val="32"/>
          <w:szCs w:val="32"/>
        </w:rPr>
        <w:t>4.提升餐饮质量安全。</w:t>
      </w:r>
      <w:r>
        <w:rPr>
          <w:rFonts w:hint="eastAsia" w:ascii="仿宋_GB2312" w:eastAsia="仿宋_GB2312"/>
          <w:sz w:val="32"/>
          <w:szCs w:val="32"/>
        </w:rPr>
        <w:t>持续开展餐饮质量安全提升行动，保持中央厨房、集体用餐配送单位、中大型餐饮企业等“明厨亮灶”“清洁厨房”达标率100%。</w:t>
      </w:r>
      <w:r>
        <w:rPr>
          <w:rFonts w:hint="eastAsia" w:ascii="仿宋_GB2312" w:hAnsi="仿宋" w:eastAsia="仿宋_GB2312"/>
          <w:sz w:val="32"/>
          <w:szCs w:val="32"/>
        </w:rPr>
        <w:t>组织开展全面排查，及时督导整改，消除隐患。强化第三方网络平台主体责任，及时检查入网经营餐饮服务单位食品安全，坚决打击违法违规。</w:t>
      </w:r>
      <w:r>
        <w:rPr>
          <w:rFonts w:hint="eastAsia" w:ascii="仿宋_GB2312" w:eastAsia="仿宋_GB2312"/>
          <w:sz w:val="32"/>
          <w:szCs w:val="32"/>
        </w:rPr>
        <w:t>开展“餐饮从业人员培训年”行动，全面提升从业人员素质和食品安全管理能力。组建工作专班，</w:t>
      </w:r>
      <w:r>
        <w:rPr>
          <w:rFonts w:hint="eastAsia" w:ascii="仿宋_GB2312" w:hAnsi="楷体" w:eastAsia="仿宋_GB2312"/>
          <w:sz w:val="32"/>
          <w:szCs w:val="32"/>
        </w:rPr>
        <w:t>积极做好啤酒节等各类重大活动餐饮安全保障。</w:t>
      </w:r>
    </w:p>
    <w:p w14:paraId="0DB4272C">
      <w:pPr>
        <w:ind w:firstLine="643" w:firstLineChars="200"/>
        <w:contextualSpacing/>
        <w:rPr>
          <w:rFonts w:ascii="仿宋_GB2312" w:eastAsia="仿宋_GB2312"/>
          <w:sz w:val="32"/>
          <w:szCs w:val="32"/>
        </w:rPr>
      </w:pPr>
      <w:r>
        <w:rPr>
          <w:rFonts w:hint="eastAsia" w:ascii="仿宋_GB2312" w:eastAsia="仿宋_GB2312"/>
          <w:b/>
          <w:sz w:val="32"/>
          <w:szCs w:val="32"/>
        </w:rPr>
        <w:t>5.提升农村食品安全保障水平。</w:t>
      </w:r>
      <w:r>
        <w:rPr>
          <w:rFonts w:hint="eastAsia" w:ascii="仿宋_GB2312" w:eastAsia="仿宋_GB2312"/>
          <w:sz w:val="32"/>
          <w:szCs w:val="32"/>
        </w:rPr>
        <w:t>集中开展农村食品安全执法检查，围绕农村大集、小型商店等重点场所，严厉打击制售“三无”“山寨”食品、劣质过期食品等违法违规行为，净化农村消费市场。针对农村食品安全薄弱环节和问题多发区域，建立风险隐患排查整治常态化工作机制。</w:t>
      </w:r>
    </w:p>
    <w:p w14:paraId="30F6FCF7">
      <w:pPr>
        <w:ind w:firstLine="643" w:firstLineChars="200"/>
        <w:contextualSpacing/>
        <w:rPr>
          <w:rFonts w:ascii="仿宋_GB2312" w:hAnsi="仿宋_GB2312" w:eastAsia="仿宋_GB2312" w:cs="仿宋_GB2312"/>
          <w:sz w:val="32"/>
          <w:szCs w:val="32"/>
        </w:rPr>
      </w:pPr>
      <w:r>
        <w:rPr>
          <w:rFonts w:hint="eastAsia" w:ascii="仿宋_GB2312" w:eastAsia="仿宋_GB2312"/>
          <w:b/>
          <w:sz w:val="32"/>
          <w:szCs w:val="32"/>
        </w:rPr>
        <w:t>6.提升特殊食品监管效能。</w:t>
      </w:r>
      <w:r>
        <w:rPr>
          <w:rFonts w:hint="eastAsia" w:ascii="仿宋_GB2312" w:hAnsi="仿宋_GB2312" w:eastAsia="仿宋_GB2312" w:cs="仿宋_GB2312"/>
          <w:sz w:val="32"/>
          <w:szCs w:val="32"/>
        </w:rPr>
        <w:t>以体系检查为契机，对婴幼儿配方乳粉生产企业的生产环境、生产质量管理体系运行、原料查验和检验检测能力等方面开展全面检查，指导企业规范管理，以问题为切入点，举一反三，严抓落实，防范食品安全风险；</w:t>
      </w:r>
      <w:r>
        <w:rPr>
          <w:rFonts w:hint="eastAsia" w:ascii="仿宋_GB2312" w:eastAsia="仿宋_GB2312"/>
          <w:sz w:val="32"/>
        </w:rPr>
        <w:t>引导企业设立公众开放日，组织媒体、消费者走进企业，了解婴幼儿配方乳粉生产状况和质量保障措施。</w:t>
      </w:r>
      <w:r>
        <w:rPr>
          <w:rFonts w:hint="eastAsia" w:ascii="仿宋_GB2312" w:hAnsi="仿宋_GB2312" w:eastAsia="仿宋_GB2312" w:cs="仿宋_GB2312"/>
          <w:sz w:val="32"/>
          <w:szCs w:val="32"/>
        </w:rPr>
        <w:t>严查跨境电商产品进入经营环节二次销售等违法行为，确保安全。</w:t>
      </w:r>
    </w:p>
    <w:p w14:paraId="490989AA">
      <w:pPr>
        <w:ind w:firstLine="640" w:firstLineChars="200"/>
        <w:contextualSpacing/>
        <w:rPr>
          <w:rFonts w:ascii="仿宋_GB2312" w:eastAsia="仿宋_GB2312"/>
          <w:sz w:val="32"/>
          <w:szCs w:val="32"/>
        </w:rPr>
      </w:pPr>
      <w:r>
        <w:rPr>
          <w:rFonts w:hint="eastAsia" w:ascii="楷体_GB2312" w:eastAsia="楷体_GB2312"/>
          <w:sz w:val="32"/>
          <w:szCs w:val="32"/>
        </w:rPr>
        <w:t>7.</w:t>
      </w:r>
      <w:r>
        <w:rPr>
          <w:rFonts w:hint="eastAsia" w:ascii="仿宋_GB2312" w:eastAsia="仿宋_GB2312"/>
          <w:b/>
          <w:sz w:val="32"/>
          <w:szCs w:val="32"/>
        </w:rPr>
        <w:t>聚焦校园食品安全。</w:t>
      </w:r>
      <w:r>
        <w:rPr>
          <w:rFonts w:hint="eastAsia" w:ascii="仿宋_GB2312" w:eastAsia="仿宋_GB2312"/>
          <w:sz w:val="32"/>
          <w:szCs w:val="32"/>
        </w:rPr>
        <w:t>动态管理全区中小学周边食品销售主体，落实校园周边“5张清单”管理，</w:t>
      </w:r>
      <w:r>
        <w:rPr>
          <w:rFonts w:hint="eastAsia" w:ascii="仿宋_GB2312" w:hAnsi="仿宋" w:eastAsia="仿宋_GB2312"/>
          <w:sz w:val="32"/>
          <w:szCs w:val="32"/>
        </w:rPr>
        <w:t>开展学校食堂食品安全指导提升行动，落实“大检查、大提升”整治，保障师生用餐安全。</w:t>
      </w:r>
      <w:r>
        <w:rPr>
          <w:rFonts w:hint="eastAsia" w:ascii="仿宋_GB2312" w:eastAsia="仿宋_GB2312"/>
          <w:sz w:val="32"/>
          <w:szCs w:val="32"/>
        </w:rPr>
        <w:t>对学生集体用餐配送单位、校园周边餐饮店及食品销售单位实行全覆盖监督检查，推进“互联网+明厨亮灶”智慧监管，确保学校食堂季度检查覆盖率、“明厨亮灶”率等保持100%。</w:t>
      </w:r>
    </w:p>
    <w:p w14:paraId="0C2AC2F8">
      <w:pPr>
        <w:ind w:firstLine="640" w:firstLineChars="200"/>
        <w:contextualSpacing/>
        <w:rPr>
          <w:rFonts w:ascii="仿宋_GB2312" w:eastAsia="仿宋_GB2312"/>
          <w:b/>
          <w:color w:val="FF0000"/>
          <w:sz w:val="32"/>
          <w:szCs w:val="32"/>
        </w:rPr>
      </w:pPr>
      <w:r>
        <w:rPr>
          <w:rFonts w:hint="eastAsia" w:ascii="仿宋_GB2312" w:eastAsia="仿宋_GB2312"/>
          <w:sz w:val="32"/>
          <w:szCs w:val="32"/>
        </w:rPr>
        <w:t>8.</w:t>
      </w:r>
      <w:r>
        <w:rPr>
          <w:rFonts w:hint="eastAsia" w:ascii="仿宋_GB2312" w:eastAsia="仿宋_GB2312"/>
          <w:b/>
          <w:sz w:val="32"/>
          <w:szCs w:val="32"/>
        </w:rPr>
        <w:t>聚焦保健食品安全。</w:t>
      </w:r>
      <w:r>
        <w:rPr>
          <w:rFonts w:hint="eastAsia" w:ascii="仿宋_GB2312" w:hAnsi="仿宋_GB2312" w:eastAsia="仿宋_GB2312" w:cs="仿宋_GB2312"/>
          <w:color w:val="000000"/>
          <w:sz w:val="32"/>
          <w:szCs w:val="32"/>
        </w:rPr>
        <w:t>持续开展专项清理整治，严厉查处非法生产经营、</w:t>
      </w:r>
      <w:r>
        <w:rPr>
          <w:rFonts w:hint="eastAsia" w:ascii="仿宋_GB2312" w:hAnsi="仿宋_GB2312" w:eastAsia="仿宋_GB2312" w:cs="仿宋_GB2312"/>
          <w:sz w:val="32"/>
          <w:szCs w:val="32"/>
        </w:rPr>
        <w:t>非法添加、标签说明书宣传疾病预防或治疗、欺诈和虚假宣传、违法广告等行为；</w:t>
      </w:r>
      <w:r>
        <w:rPr>
          <w:rFonts w:hint="eastAsia" w:ascii="仿宋_GB2312" w:hAnsi="仿宋_GB2312" w:eastAsia="仿宋_GB2312" w:cs="仿宋_GB2312"/>
          <w:color w:val="000000"/>
          <w:sz w:val="32"/>
          <w:szCs w:val="32"/>
        </w:rPr>
        <w:t>加大科普宣传力度，创新宣传方式，扩展宣传范围，</w:t>
      </w:r>
      <w:r>
        <w:rPr>
          <w:rFonts w:hint="eastAsia" w:ascii="仿宋_GB2312" w:hAnsi="仿宋_GB2312" w:eastAsia="仿宋_GB2312" w:cs="仿宋_GB2312"/>
          <w:sz w:val="32"/>
          <w:szCs w:val="32"/>
        </w:rPr>
        <w:t>力争到年底前有效净化保健食品市场，提高群众对保健食品消费市场的满意度。</w:t>
      </w:r>
    </w:p>
    <w:p w14:paraId="6023E75C">
      <w:pPr>
        <w:ind w:firstLine="643" w:firstLineChars="200"/>
        <w:contextualSpacing/>
        <w:rPr>
          <w:rFonts w:ascii="仿宋_GB2312" w:hAnsi="仿宋_GB2312" w:eastAsia="仿宋_GB2312" w:cs="仿宋_GB2312"/>
          <w:sz w:val="32"/>
          <w:szCs w:val="32"/>
        </w:rPr>
      </w:pPr>
      <w:r>
        <w:rPr>
          <w:rFonts w:hint="eastAsia" w:ascii="仿宋_GB2312" w:eastAsia="仿宋_GB2312"/>
          <w:b/>
          <w:sz w:val="32"/>
          <w:szCs w:val="32"/>
        </w:rPr>
        <w:t>9.突出“大型企业”。</w:t>
      </w:r>
      <w:r>
        <w:rPr>
          <w:rFonts w:hint="eastAsia" w:ascii="仿宋_GB2312" w:hAnsi="仿宋_GB2312" w:eastAsia="仿宋_GB2312" w:cs="仿宋_GB2312"/>
          <w:sz w:val="32"/>
          <w:szCs w:val="32"/>
        </w:rPr>
        <w:t>以全过程风险管控为重点，对高风险、存在问题的生产企业，依照国家法律法规、标准，开展体系检查、飞行检查。结合监督检查，对全区290家食品生产企业实施有效监管，落实监管责任到位。</w:t>
      </w:r>
      <w:r>
        <w:rPr>
          <w:rFonts w:hint="eastAsia" w:ascii="仿宋_GB2312" w:hAnsi="仿宋_GB2312" w:eastAsia="仿宋_GB2312" w:cs="仿宋_GB2312"/>
          <w:sz w:val="32"/>
          <w:szCs w:val="32"/>
          <w:shd w:val="clear" w:color="auto" w:fill="FFFFFF"/>
        </w:rPr>
        <w:t>继续推进省局平台追溯方式，完善“四环一链”的内容，加快信息采集，形成“大数据”库，进行综合分析，</w:t>
      </w:r>
      <w:r>
        <w:rPr>
          <w:rFonts w:hint="eastAsia" w:ascii="仿宋_GB2312" w:hAnsi="仿宋_GB2312" w:eastAsia="仿宋_GB2312" w:cs="仿宋_GB2312"/>
          <w:sz w:val="32"/>
          <w:szCs w:val="32"/>
        </w:rPr>
        <w:t>实现食品安全全程可溯、可追、可查、可控，有效防控食品安全风险。</w:t>
      </w:r>
      <w:r>
        <w:rPr>
          <w:rFonts w:hint="eastAsia" w:ascii="仿宋_GB2312" w:hAnsi="仿宋_GB2312" w:eastAsia="仿宋_GB2312" w:cs="仿宋_GB2312"/>
          <w:color w:val="000000"/>
          <w:sz w:val="32"/>
          <w:szCs w:val="32"/>
        </w:rPr>
        <w:t>鼓励更多的企业应用互联网技术，将“车间亮化”视频信息上网，方便监管，提升消费信心。</w:t>
      </w:r>
      <w:r>
        <w:rPr>
          <w:rFonts w:hint="eastAsia" w:ascii="仿宋_GB2312" w:hAnsi="仿宋_GB2312" w:eastAsia="仿宋_GB2312" w:cs="仿宋_GB2312"/>
          <w:sz w:val="32"/>
          <w:szCs w:val="32"/>
        </w:rPr>
        <w:t>结合省局食品生产日常监管系统，继续实施生产企业“智慧监管”。通过信息化手段对“大数据”分析，综合研判评价辖区食品生产企业现场发现的问题，提高监管效能。积极宣传“食安山东”示范企业质量管理措施和成效，2021年争取再建立更多“食安山东”示范企业。以示范带规范，注重发挥示范企业引领作用，带动中小型食品企业提升产业素质。</w:t>
      </w:r>
    </w:p>
    <w:p w14:paraId="67C87550">
      <w:pPr>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b/>
          <w:sz w:val="32"/>
          <w:szCs w:val="32"/>
        </w:rPr>
        <w:t>突出“大宗食品”。</w:t>
      </w:r>
      <w:r>
        <w:rPr>
          <w:rFonts w:hint="eastAsia" w:ascii="仿宋_GB2312" w:eastAsia="仿宋_GB2312"/>
          <w:sz w:val="32"/>
          <w:szCs w:val="32"/>
        </w:rPr>
        <w:t>开展乳制品、肉制品质量安全提升行动，完善乳制品、植物油、白酒等大宗食品追溯体系。紧盯肉菜蛋奶、米面粮油等专项整治问题“回头看”，对农兽药残留超标、添加剂不规范使用等问题实施严格检查。</w:t>
      </w:r>
    </w:p>
    <w:p w14:paraId="6FDF586B">
      <w:pPr>
        <w:ind w:firstLine="640" w:firstLineChars="200"/>
        <w:contextualSpacing/>
        <w:rPr>
          <w:rFonts w:ascii="仿宋_GB2312" w:eastAsia="仿宋_GB2312"/>
          <w:sz w:val="32"/>
          <w:szCs w:val="32"/>
        </w:rPr>
      </w:pPr>
      <w:r>
        <w:rPr>
          <w:rFonts w:hint="eastAsia" w:ascii="仿宋_GB2312" w:eastAsia="仿宋_GB2312"/>
          <w:sz w:val="32"/>
          <w:szCs w:val="32"/>
        </w:rPr>
        <w:t>11.</w:t>
      </w:r>
      <w:r>
        <w:rPr>
          <w:rFonts w:hint="eastAsia" w:ascii="仿宋_GB2312" w:eastAsia="仿宋_GB2312"/>
          <w:b/>
          <w:sz w:val="32"/>
          <w:szCs w:val="32"/>
        </w:rPr>
        <w:t>突出“三小”规范。</w:t>
      </w:r>
      <w:r>
        <w:rPr>
          <w:rFonts w:hint="eastAsia" w:ascii="仿宋_GB2312" w:eastAsia="仿宋_GB2312"/>
          <w:sz w:val="32"/>
          <w:szCs w:val="32"/>
        </w:rPr>
        <w:t xml:space="preserve">抓好小作坊、小餐饮、食品摊点规范提升，健全通用卫生规范、生产加工操作规范、经营标准规范等管理制度。综合采取许可、备案、取缔等举措，推进差异化分类管理，疏堵结合、标本兼治。 </w:t>
      </w:r>
    </w:p>
    <w:p w14:paraId="4A60D7CD">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于瑞金、张金国</w:t>
      </w:r>
    </w:p>
    <w:p w14:paraId="2DC07BDC">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食品协调科、食品生产科、食品流通科、餐饮监管科、食品抽检和特殊食品科、八中队，各市场监管所</w:t>
      </w:r>
    </w:p>
    <w:p w14:paraId="1A93804D">
      <w:pPr>
        <w:ind w:firstLine="640" w:firstLineChars="200"/>
        <w:contextualSpacing/>
        <w:rPr>
          <w:rFonts w:ascii="楷体_GB2312" w:eastAsia="楷体_GB2312"/>
          <w:sz w:val="32"/>
          <w:szCs w:val="32"/>
        </w:rPr>
      </w:pPr>
      <w:r>
        <w:rPr>
          <w:rFonts w:hint="eastAsia" w:ascii="楷体_GB2312" w:eastAsia="楷体_GB2312"/>
          <w:sz w:val="32"/>
          <w:szCs w:val="32"/>
        </w:rPr>
        <w:t>（三）抓牢药品安全监管。</w:t>
      </w:r>
    </w:p>
    <w:p w14:paraId="1002645E">
      <w:pPr>
        <w:ind w:firstLine="643" w:firstLineChars="200"/>
        <w:contextualSpacing/>
        <w:rPr>
          <w:rFonts w:ascii="仿宋_GB2312" w:eastAsia="仿宋_GB2312"/>
          <w:color w:val="000000"/>
          <w:kern w:val="0"/>
          <w:sz w:val="32"/>
          <w:szCs w:val="32"/>
        </w:rPr>
      </w:pPr>
      <w:r>
        <w:rPr>
          <w:rFonts w:hint="eastAsia" w:ascii="仿宋_GB2312" w:eastAsia="仿宋_GB2312" w:cs="仿宋_GB2312"/>
          <w:b/>
          <w:color w:val="000000"/>
          <w:sz w:val="32"/>
          <w:szCs w:val="32"/>
        </w:rPr>
        <w:t>12.</w:t>
      </w:r>
      <w:r>
        <w:rPr>
          <w:rFonts w:hint="eastAsia" w:ascii="仿宋_GB2312" w:hAnsi="方正楷体_GBK" w:eastAsia="仿宋_GB2312" w:cs="方正楷体_GBK"/>
          <w:b/>
          <w:color w:val="000000"/>
          <w:sz w:val="32"/>
          <w:szCs w:val="32"/>
        </w:rPr>
        <w:t>突出重点严执法。</w:t>
      </w:r>
      <w:r>
        <w:rPr>
          <w:rFonts w:hint="eastAsia" w:ascii="仿宋_GB2312" w:eastAsia="仿宋_GB2312"/>
          <w:color w:val="000000"/>
          <w:kern w:val="0"/>
          <w:sz w:val="32"/>
          <w:szCs w:val="32"/>
        </w:rPr>
        <w:t>根据年度监管计划及专项整治工作要求，将</w:t>
      </w:r>
      <w:r>
        <w:rPr>
          <w:rFonts w:hint="eastAsia" w:ascii="仿宋_GB2312" w:eastAsia="仿宋_GB2312"/>
          <w:color w:val="000000"/>
          <w:kern w:val="0"/>
          <w:sz w:val="32"/>
          <w:szCs w:val="32"/>
          <w:lang w:val="zh-CN"/>
        </w:rPr>
        <w:t>日常检查与专项检查、监督抽检、安全性监测、投诉举报等全面结合，提高问题发现率和处置率，同时</w:t>
      </w:r>
      <w:r>
        <w:rPr>
          <w:rFonts w:hint="eastAsia" w:ascii="仿宋_GB2312" w:eastAsia="仿宋_GB2312"/>
          <w:color w:val="000000"/>
          <w:kern w:val="0"/>
          <w:sz w:val="32"/>
          <w:szCs w:val="32"/>
        </w:rPr>
        <w:t>以“四个最严”为标准，坚持问题导向、标本兼治的原则，持续深入排查系统性、区域性风险隐患，严厉查处违法违规行为。</w:t>
      </w:r>
    </w:p>
    <w:p w14:paraId="4ED24204">
      <w:pPr>
        <w:ind w:firstLine="643" w:firstLineChars="200"/>
        <w:contextualSpacing/>
        <w:rPr>
          <w:rFonts w:ascii="仿宋_GB2312" w:hAnsi="仿宋_GB2312" w:eastAsia="仿宋_GB2312" w:cs="仿宋_GB2312"/>
          <w:color w:val="000000"/>
          <w:kern w:val="0"/>
          <w:sz w:val="32"/>
          <w:szCs w:val="32"/>
        </w:rPr>
      </w:pPr>
      <w:r>
        <w:rPr>
          <w:rFonts w:hint="eastAsia" w:ascii="仿宋_GB2312" w:hAnsi="方正楷体_GBK" w:eastAsia="仿宋_GB2312" w:cs="方正楷体_GBK"/>
          <w:b/>
          <w:color w:val="000000"/>
          <w:sz w:val="32"/>
          <w:szCs w:val="32"/>
        </w:rPr>
        <w:t>13.示范创建树典型</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组织创建一批市级、区级放心消费示范药店，提升药品零售管理水平。</w:t>
      </w:r>
      <w:r>
        <w:rPr>
          <w:rFonts w:hint="eastAsia" w:ascii="仿宋_GB2312" w:hAnsi="仿宋_GB2312" w:eastAsia="仿宋_GB2312" w:cs="仿宋_GB2312"/>
          <w:color w:val="000000"/>
          <w:kern w:val="0"/>
          <w:sz w:val="32"/>
          <w:szCs w:val="32"/>
        </w:rPr>
        <w:t>拟培育百家区级示范药店，发挥示范药店引领作用，带动提升药品零售管理水平和药学服务水平。在全区医疗机构中开展创建“医疗器械使用质量规范单位”工作，2021年二级及以上医疗机构全部达标，一级及一级以下医疗机构，达标率不低于50%。</w:t>
      </w:r>
    </w:p>
    <w:p w14:paraId="78A6D8E2">
      <w:pPr>
        <w:ind w:firstLine="643" w:firstLineChars="200"/>
        <w:contextualSpacing/>
        <w:rPr>
          <w:rFonts w:ascii="仿宋_GB2312" w:eastAsia="仿宋_GB2312"/>
          <w:color w:val="000000"/>
          <w:sz w:val="32"/>
          <w:szCs w:val="32"/>
        </w:rPr>
      </w:pPr>
      <w:r>
        <w:rPr>
          <w:rFonts w:hint="eastAsia" w:ascii="仿宋_GB2312" w:eastAsia="仿宋_GB2312"/>
          <w:b/>
          <w:color w:val="000000"/>
          <w:sz w:val="32"/>
          <w:szCs w:val="32"/>
        </w:rPr>
        <w:t>14.安全监测化风险。</w:t>
      </w:r>
      <w:r>
        <w:rPr>
          <w:rFonts w:hint="eastAsia" w:ascii="仿宋_GB2312" w:eastAsia="仿宋_GB2312"/>
          <w:color w:val="000000"/>
          <w:sz w:val="32"/>
          <w:szCs w:val="32"/>
        </w:rPr>
        <w:t>突出“问题导向、务实管用”原则，针对药品、医疗器械、化妆品等安全风险，加大风险监测和预警力度，广泛开展药品、医疗器械、化妆品不良反应（不良事件）监测，及时收集发现辖区内问题隐患，组织开展病例报告的核实评价、调查分析和应对处理，确保安全风险能够及时发现、有效处置。</w:t>
      </w:r>
    </w:p>
    <w:p w14:paraId="2F14E777">
      <w:pPr>
        <w:ind w:firstLine="643" w:firstLineChars="200"/>
        <w:contextualSpacing/>
        <w:rPr>
          <w:rFonts w:ascii="仿宋_GB2312" w:eastAsia="仿宋_GB2312"/>
          <w:sz w:val="32"/>
          <w:szCs w:val="32"/>
        </w:rPr>
      </w:pPr>
      <w:r>
        <w:rPr>
          <w:rFonts w:hint="eastAsia" w:ascii="仿宋_GB2312" w:eastAsia="仿宋_GB2312"/>
          <w:b/>
          <w:color w:val="000000"/>
          <w:sz w:val="32"/>
          <w:szCs w:val="32"/>
        </w:rPr>
        <w:t>15.加强宣传促共治。</w:t>
      </w:r>
      <w:r>
        <w:rPr>
          <w:rFonts w:hint="eastAsia" w:ascii="仿宋_GB2312" w:eastAsia="仿宋_GB2312"/>
          <w:color w:val="000000"/>
          <w:sz w:val="32"/>
          <w:szCs w:val="32"/>
        </w:rPr>
        <w:t>借助广播、电视、网络、新媒体等，继续加大宣传贯彻《药品管理法》《疫苗管理法》《化妆品监督管理条例》，开展形式多样、内容丰富的科普宣传活动，持续做好家庭过期药品回收宣传落实工作，普及药品安全法律知识和用药常识，提升公众科学素养，营造人人关心药品安全、人人关注药品安全的良好氛围。</w:t>
      </w:r>
    </w:p>
    <w:p w14:paraId="3F2BDBF6">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张金国</w:t>
      </w:r>
    </w:p>
    <w:p w14:paraId="17525DB5">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药化科、药检所、九中队，各市场监管所</w:t>
      </w:r>
    </w:p>
    <w:p w14:paraId="5FAF060F">
      <w:pPr>
        <w:pStyle w:val="9"/>
        <w:rPr>
          <w:rFonts w:ascii="仿宋_GB2312"/>
          <w:b/>
          <w:szCs w:val="32"/>
        </w:rPr>
      </w:pPr>
      <w:r>
        <w:rPr>
          <w:rFonts w:hint="eastAsia" w:ascii="楷体_GB2312" w:eastAsia="楷体_GB2312"/>
          <w:szCs w:val="32"/>
        </w:rPr>
        <w:t>（四）夯实特种设备安全。</w:t>
      </w:r>
      <w:r>
        <w:rPr>
          <w:rFonts w:hint="eastAsia" w:ascii="仿宋_GB2312" w:hAnsi="黑体"/>
          <w:szCs w:val="32"/>
        </w:rPr>
        <w:t>以构建“全生命周期”监管体系为主线，不断创新监管思维，突出特种设备“智慧监管”，夯实特种设备监管基础，持续守牢特种设备安全底线。</w:t>
      </w:r>
      <w:r>
        <w:rPr>
          <w:rFonts w:hint="eastAsia" w:ascii="仿宋_GB2312"/>
          <w:szCs w:val="32"/>
        </w:rPr>
        <w:t>全力推进特种设备安全生产三年整治行动和特种设备安全大排查、大整治，确保生产安全。</w:t>
      </w:r>
    </w:p>
    <w:p w14:paraId="64DDA597">
      <w:pPr>
        <w:pStyle w:val="9"/>
        <w:ind w:firstLine="643"/>
        <w:rPr>
          <w:rFonts w:ascii="仿宋_GB2312"/>
          <w:b/>
          <w:szCs w:val="32"/>
        </w:rPr>
      </w:pPr>
      <w:r>
        <w:rPr>
          <w:rFonts w:hint="eastAsia" w:ascii="仿宋_GB2312"/>
          <w:b/>
          <w:szCs w:val="32"/>
        </w:rPr>
        <w:t>16.隐患排查“常态化”。</w:t>
      </w:r>
      <w:r>
        <w:rPr>
          <w:rFonts w:hint="eastAsia" w:ascii="仿宋_GB2312"/>
          <w:szCs w:val="32"/>
        </w:rPr>
        <w:t>以压力容器、大型游乐设施等为重点，深化特种设备风险隐患排查整治；集中开展未办理使用登记特种设备专项清理整治行动，防止特种设备漏登失管。抓牢特种设备定期检验，实现应检必检、应检尽检、报检必检，保持定检率100%。组织开展行车、正面吊安装声光报警装置，在源头保障安全。</w:t>
      </w:r>
    </w:p>
    <w:p w14:paraId="71DA4870">
      <w:pPr>
        <w:pStyle w:val="9"/>
        <w:ind w:firstLine="643"/>
        <w:rPr>
          <w:rFonts w:ascii="仿宋_GB2312"/>
          <w:b/>
        </w:rPr>
      </w:pPr>
      <w:r>
        <w:rPr>
          <w:rFonts w:hint="eastAsia" w:ascii="仿宋_GB2312"/>
          <w:b/>
          <w:szCs w:val="32"/>
        </w:rPr>
        <w:t>17.双重预防“规范化”。</w:t>
      </w:r>
      <w:r>
        <w:rPr>
          <w:rFonts w:hint="eastAsia" w:ascii="仿宋_GB2312"/>
          <w:szCs w:val="32"/>
        </w:rPr>
        <w:t>认真</w:t>
      </w:r>
      <w:r>
        <w:t>做好特种设备使用登记工作</w:t>
      </w:r>
      <w:r>
        <w:rPr>
          <w:rFonts w:hint="eastAsia"/>
        </w:rPr>
        <w:t>，把好安全“入口关”；</w:t>
      </w:r>
      <w:r>
        <w:t>制定并执行202</w:t>
      </w:r>
      <w:r>
        <w:rPr>
          <w:rFonts w:hint="eastAsia"/>
        </w:rPr>
        <w:t>1</w:t>
      </w:r>
      <w:r>
        <w:t>年日常监督检查计划，扎实开展各类专项监督检查；</w:t>
      </w:r>
      <w:r>
        <w:rPr>
          <w:rFonts w:hint="eastAsia" w:ascii="仿宋_GB2312"/>
          <w:szCs w:val="32"/>
        </w:rPr>
        <w:t>将特种设备风险分级管控和隐患排查治理双重预防体系建设与监管制度相结合，指导使用单位开展双重预防体系建设，推动电梯、气瓶两大安全追溯体系建设，提升建设规范化水平，推动企业落实主体责任。</w:t>
      </w:r>
    </w:p>
    <w:p w14:paraId="35360B94">
      <w:pPr>
        <w:pStyle w:val="9"/>
        <w:ind w:firstLine="643"/>
      </w:pPr>
      <w:r>
        <w:rPr>
          <w:rFonts w:hint="eastAsia" w:ascii="仿宋_GB2312"/>
          <w:b/>
        </w:rPr>
        <w:t>18.监管共治“多元化”。</w:t>
      </w:r>
      <w:r>
        <w:rPr>
          <w:rFonts w:hint="eastAsia" w:ascii="仿宋_GB2312"/>
          <w:szCs w:val="32"/>
        </w:rPr>
        <w:t>积极发挥特种设备专业委员会办公室调度协调作用，强化培训，压实行业监管和属地监管责任；</w:t>
      </w:r>
      <w:r>
        <w:rPr>
          <w:rFonts w:hint="eastAsia" w:ascii="仿宋_GB2312"/>
        </w:rPr>
        <w:t>优化2021年特种设备监管外包服务内容，用足用好专家辅助力量，为基层监管提供专业支撑。</w:t>
      </w:r>
    </w:p>
    <w:p w14:paraId="4E2676A7">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闫德华</w:t>
      </w:r>
    </w:p>
    <w:p w14:paraId="0D65A1B1">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综合行政执法大队，各市场监管所</w:t>
      </w:r>
    </w:p>
    <w:p w14:paraId="0BEF3BDC">
      <w:pPr>
        <w:ind w:firstLine="640" w:firstLineChars="200"/>
        <w:contextualSpacing/>
        <w:rPr>
          <w:rFonts w:ascii="仿宋_GB2312" w:eastAsia="仿宋_GB2312"/>
          <w:sz w:val="32"/>
          <w:szCs w:val="32"/>
        </w:rPr>
      </w:pPr>
      <w:r>
        <w:rPr>
          <w:rFonts w:hint="eastAsia" w:ascii="楷体_GB2312" w:eastAsia="楷体_GB2312"/>
          <w:sz w:val="32"/>
          <w:szCs w:val="32"/>
        </w:rPr>
        <w:t>（五）深化产品质量安全监管。</w:t>
      </w:r>
      <w:r>
        <w:rPr>
          <w:rFonts w:hint="eastAsia" w:ascii="仿宋_GB2312" w:eastAsia="仿宋_GB2312"/>
          <w:sz w:val="32"/>
          <w:szCs w:val="32"/>
        </w:rPr>
        <w:t>贯通生产与流通、线上与线下产品质量监管，强化产品质量安全风险监测、隐患排查、监督抽查和证后监管，着力管控产品质量安全风险。</w:t>
      </w:r>
    </w:p>
    <w:p w14:paraId="1234215D">
      <w:pPr>
        <w:ind w:firstLine="643" w:firstLineChars="200"/>
        <w:contextualSpacing/>
        <w:rPr>
          <w:rFonts w:ascii="仿宋_GB2312" w:eastAsia="仿宋_GB2312"/>
          <w:sz w:val="32"/>
          <w:szCs w:val="32"/>
        </w:rPr>
      </w:pPr>
      <w:r>
        <w:rPr>
          <w:rFonts w:hint="eastAsia" w:ascii="仿宋_GB2312" w:eastAsia="仿宋_GB2312"/>
          <w:b/>
          <w:sz w:val="32"/>
          <w:szCs w:val="32"/>
        </w:rPr>
        <w:t>19.强化抽检跟踪监管。</w:t>
      </w:r>
      <w:r>
        <w:rPr>
          <w:rFonts w:hint="eastAsia" w:ascii="仿宋_GB2312" w:eastAsia="仿宋_GB2312"/>
          <w:sz w:val="32"/>
          <w:szCs w:val="32"/>
        </w:rPr>
        <w:t>认真完成工业产品质量区级监督抽查工作，做好全市工业产品质量合格率监督检验的跟踪工作；全面提高我区质量水平，确保质量合格率全市领先；加大对制假售假行为的查处力度。</w:t>
      </w:r>
    </w:p>
    <w:p w14:paraId="063340DA">
      <w:pPr>
        <w:ind w:firstLine="643" w:firstLineChars="200"/>
        <w:contextualSpacing/>
        <w:rPr>
          <w:rFonts w:ascii="仿宋_GB2312" w:eastAsia="仿宋_GB2312"/>
          <w:sz w:val="32"/>
          <w:szCs w:val="32"/>
        </w:rPr>
      </w:pPr>
      <w:r>
        <w:rPr>
          <w:rFonts w:hint="eastAsia" w:ascii="仿宋_GB2312" w:eastAsia="仿宋_GB2312"/>
          <w:b/>
          <w:sz w:val="32"/>
          <w:szCs w:val="32"/>
        </w:rPr>
        <w:t>20.强化涉证企业监管。</w:t>
      </w:r>
      <w:r>
        <w:rPr>
          <w:rFonts w:hint="eastAsia" w:ascii="仿宋_GB2312" w:eastAsia="仿宋_GB2312"/>
          <w:sz w:val="32"/>
          <w:szCs w:val="32"/>
        </w:rPr>
        <w:t>重点做好危化品、食品相关、水泥、电线电缆等工业产品生产许可证企业的监督巡查；组织企业做好产品质量提升工作。</w:t>
      </w:r>
    </w:p>
    <w:p w14:paraId="15E09450">
      <w:pPr>
        <w:ind w:firstLine="643" w:firstLineChars="200"/>
        <w:contextualSpacing/>
        <w:rPr>
          <w:rFonts w:ascii="仿宋_GB2312" w:eastAsia="仿宋_GB2312"/>
          <w:sz w:val="32"/>
          <w:szCs w:val="32"/>
        </w:rPr>
      </w:pPr>
      <w:r>
        <w:rPr>
          <w:rFonts w:hint="eastAsia" w:ascii="仿宋_GB2312" w:eastAsia="仿宋_GB2312"/>
          <w:b/>
          <w:sz w:val="32"/>
          <w:szCs w:val="32"/>
        </w:rPr>
        <w:t>21.强化认证认可监管。</w:t>
      </w:r>
      <w:r>
        <w:rPr>
          <w:rFonts w:hint="eastAsia" w:ascii="仿宋_GB2312" w:eastAsia="仿宋_GB2312"/>
          <w:sz w:val="32"/>
          <w:szCs w:val="32"/>
        </w:rPr>
        <w:t>抓好检验检测机构常态监督管理，继续做好检验检测机构监督检查工作。对各检验检测机构的技术负责人、授权签字人进行培训考核；争取更多检验检测取得CNS认可。落实好自愿性认证、有机产品认证和强制性产品认证的监管。</w:t>
      </w:r>
    </w:p>
    <w:p w14:paraId="44353709">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 xml:space="preserve">娄树溪、闫德华 </w:t>
      </w:r>
    </w:p>
    <w:p w14:paraId="35C7E447">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质量监管科、综合行政执法大队四中队，各市场监管所</w:t>
      </w:r>
    </w:p>
    <w:p w14:paraId="0BB2F219">
      <w:pPr>
        <w:ind w:firstLine="640" w:firstLineChars="200"/>
        <w:contextualSpacing/>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优化“三个环境”，强化高效能治理</w:t>
      </w:r>
    </w:p>
    <w:p w14:paraId="036AB237">
      <w:pPr>
        <w:ind w:firstLine="640" w:firstLineChars="200"/>
        <w:contextualSpacing/>
        <w:rPr>
          <w:rFonts w:ascii="仿宋_GB2312" w:hAnsi="黑体" w:eastAsia="仿宋_GB2312"/>
          <w:b/>
          <w:color w:val="FF0000"/>
          <w:sz w:val="32"/>
          <w:szCs w:val="32"/>
        </w:rPr>
      </w:pPr>
      <w:r>
        <w:rPr>
          <w:rFonts w:hint="eastAsia" w:ascii="楷体_GB2312" w:eastAsia="楷体_GB2312"/>
          <w:sz w:val="32"/>
          <w:szCs w:val="32"/>
        </w:rPr>
        <w:t>（六）深化营商环境建设。</w:t>
      </w:r>
      <w:r>
        <w:rPr>
          <w:rFonts w:hint="eastAsia" w:ascii="仿宋_GB2312" w:eastAsia="仿宋_GB2312"/>
          <w:sz w:val="32"/>
          <w:szCs w:val="32"/>
        </w:rPr>
        <w:t>深入贯彻工委管委加强营商环境建设的决策部署，围绕“有需必应、无事不扰、政策即享”要求，打造舒心便利的企业成长环境。</w:t>
      </w:r>
    </w:p>
    <w:p w14:paraId="7A80883D">
      <w:pPr>
        <w:ind w:firstLine="643" w:firstLineChars="200"/>
        <w:contextualSpacing/>
        <w:rPr>
          <w:rFonts w:ascii="仿宋_GB2312" w:hAnsi="Calibri" w:eastAsia="仿宋_GB2312"/>
          <w:sz w:val="32"/>
          <w:szCs w:val="32"/>
        </w:rPr>
      </w:pPr>
      <w:r>
        <w:rPr>
          <w:rFonts w:hint="eastAsia" w:ascii="仿宋_GB2312" w:hAnsi="黑体" w:eastAsia="仿宋_GB2312"/>
          <w:b/>
          <w:sz w:val="32"/>
          <w:szCs w:val="32"/>
        </w:rPr>
        <w:t>22.着力</w:t>
      </w:r>
      <w:r>
        <w:rPr>
          <w:rFonts w:ascii="仿宋_GB2312" w:hAnsi="黑体" w:eastAsia="仿宋_GB2312"/>
          <w:b/>
          <w:sz w:val="32"/>
          <w:szCs w:val="32"/>
        </w:rPr>
        <w:t>简政放权。</w:t>
      </w:r>
      <w:r>
        <w:rPr>
          <w:rFonts w:hint="eastAsia" w:ascii="仿宋_GB2312" w:hAnsi="仿宋_GB2312" w:eastAsia="仿宋_GB2312" w:cs="仿宋_GB2312"/>
          <w:color w:val="000000"/>
          <w:sz w:val="32"/>
          <w:szCs w:val="32"/>
        </w:rPr>
        <w:t>更大力度服务外资注册登记，</w:t>
      </w:r>
      <w:r>
        <w:rPr>
          <w:rFonts w:hint="eastAsia" w:ascii="仿宋_GB2312" w:eastAsia="仿宋_GB2312"/>
          <w:sz w:val="32"/>
          <w:szCs w:val="32"/>
        </w:rPr>
        <w:t>继续落实“全程网办”“一次办好”“电子营业执照”“</w:t>
      </w:r>
      <w:r>
        <w:rPr>
          <w:rFonts w:hint="eastAsia" w:ascii="仿宋_GB2312" w:hAnsi="仿宋_GB2312" w:eastAsia="仿宋_GB2312" w:cs="仿宋_GB2312"/>
          <w:sz w:val="32"/>
          <w:szCs w:val="32"/>
        </w:rPr>
        <w:t>外资企业跨国境登记注册机制”</w:t>
      </w:r>
      <w:r>
        <w:rPr>
          <w:rFonts w:hint="eastAsia" w:ascii="仿宋_GB2312" w:eastAsia="仿宋_GB2312"/>
          <w:sz w:val="32"/>
          <w:szCs w:val="32"/>
        </w:rPr>
        <w:t>等多样化服务措施，</w:t>
      </w:r>
      <w:r>
        <w:rPr>
          <w:rFonts w:hint="eastAsia" w:ascii="仿宋_GB2312" w:hAnsi="仿宋_GB2312" w:eastAsia="仿宋_GB2312" w:cs="仿宋_GB2312"/>
          <w:color w:val="000000"/>
          <w:sz w:val="32"/>
          <w:szCs w:val="32"/>
        </w:rPr>
        <w:t>及时贯彻上级关于外资登记相关政策文件，做好政策普及宣传,</w:t>
      </w:r>
      <w:r>
        <w:rPr>
          <w:rFonts w:hint="eastAsia" w:ascii="仿宋_GB2312" w:eastAsia="仿宋_GB2312"/>
          <w:sz w:val="32"/>
          <w:szCs w:val="32"/>
        </w:rPr>
        <w:t>以实际行动增强外资企业的获得感和满意度。提高效能，</w:t>
      </w:r>
      <w:r>
        <w:rPr>
          <w:rFonts w:hint="eastAsia" w:ascii="仿宋_GB2312" w:hAnsi="黑体" w:eastAsia="仿宋_GB2312"/>
          <w:sz w:val="32"/>
          <w:szCs w:val="32"/>
        </w:rPr>
        <w:t>无缝做好工业产品许可证办理等省级事项承接。加强登记事项监督管理，牵头抓好身份信息被冒用、提交虚假证明材料、</w:t>
      </w:r>
      <w:r>
        <w:rPr>
          <w:rFonts w:hint="eastAsia" w:ascii="仿宋_GB2312" w:hAnsi="仿宋_GB2312" w:eastAsia="仿宋_GB2312" w:cs="仿宋_GB2312"/>
          <w:color w:val="000000"/>
          <w:sz w:val="32"/>
          <w:szCs w:val="32"/>
        </w:rPr>
        <w:t>无照及相关无证经营行为监管和长期停业企业清理。持续做好“互联网+监管”事项目录清单的认领和编制工作。</w:t>
      </w:r>
      <w:r>
        <w:rPr>
          <w:rFonts w:hint="eastAsia" w:ascii="仿宋_GB2312" w:hAnsi="黑体" w:eastAsia="仿宋_GB2312"/>
          <w:sz w:val="32"/>
          <w:szCs w:val="32"/>
        </w:rPr>
        <w:t>着力抓好营商环境迎检常态化工作。</w:t>
      </w:r>
      <w:r>
        <w:rPr>
          <w:rFonts w:hint="eastAsia" w:ascii="仿宋_GB2312" w:hAnsi="方正楷体简体" w:eastAsia="仿宋_GB2312" w:cs="方正楷体简体"/>
          <w:bCs/>
          <w:kern w:val="11"/>
          <w:sz w:val="32"/>
          <w:szCs w:val="32"/>
        </w:rPr>
        <w:t>建立民营企业党建工作联系点制度</w:t>
      </w:r>
      <w:r>
        <w:rPr>
          <w:rFonts w:hint="eastAsia" w:ascii="仿宋_GB2312" w:hAnsi="Calibri" w:eastAsia="仿宋_GB2312"/>
          <w:sz w:val="32"/>
          <w:szCs w:val="32"/>
        </w:rPr>
        <w:t>，加强分类指导，以点带面，</w:t>
      </w:r>
      <w:r>
        <w:rPr>
          <w:rFonts w:hint="eastAsia" w:ascii="仿宋_GB2312" w:hAnsi="Calibri" w:eastAsia="仿宋_GB2312" w:cs="仿宋_GB2312"/>
          <w:kern w:val="0"/>
          <w:sz w:val="32"/>
          <w:szCs w:val="32"/>
        </w:rPr>
        <w:t>形成围绕发展抓党建、抓好党建</w:t>
      </w:r>
      <w:r>
        <w:rPr>
          <w:rFonts w:hint="eastAsia" w:ascii="仿宋_GB2312" w:hAnsi="Calibri" w:eastAsia="仿宋_GB2312"/>
          <w:sz w:val="32"/>
          <w:szCs w:val="32"/>
        </w:rPr>
        <w:t>促发展的工作格局。</w:t>
      </w:r>
    </w:p>
    <w:p w14:paraId="4889FA9E">
      <w:pPr>
        <w:ind w:firstLine="643" w:firstLineChars="200"/>
        <w:contextualSpacing/>
        <w:rPr>
          <w:rFonts w:ascii="仿宋_GB2312" w:hAnsi="黑体" w:eastAsia="仿宋_GB2312"/>
          <w:sz w:val="32"/>
          <w:szCs w:val="32"/>
        </w:rPr>
      </w:pPr>
      <w:r>
        <w:rPr>
          <w:rFonts w:hint="eastAsia" w:ascii="仿宋_GB2312" w:hAnsi="黑体" w:eastAsia="仿宋_GB2312"/>
          <w:b/>
          <w:sz w:val="32"/>
          <w:szCs w:val="32"/>
        </w:rPr>
        <w:t>23.着力</w:t>
      </w:r>
      <w:r>
        <w:rPr>
          <w:rFonts w:ascii="仿宋_GB2312" w:hAnsi="黑体" w:eastAsia="仿宋_GB2312"/>
          <w:b/>
          <w:sz w:val="32"/>
          <w:szCs w:val="32"/>
        </w:rPr>
        <w:t>放管结合。</w:t>
      </w:r>
      <w:r>
        <w:rPr>
          <w:rFonts w:hint="eastAsia" w:ascii="仿宋_GB2312" w:hAnsi="黑体" w:eastAsia="仿宋_GB2312"/>
          <w:sz w:val="32"/>
          <w:szCs w:val="32"/>
        </w:rPr>
        <w:t>深化包容审慎监管，严格按程序落实轻微违法免罚。发挥“三大平台”作用，针对易发多发的风险隐患和集中问题开展事前约谈警示、事后跟踪督导；发挥“双随机”联席会议办公室作用，统筹研究执法检查“无事不扰”制度；继续强化信用承诺、信用约谈、信用修复等多种方式应用，引导企业守法守信。</w:t>
      </w:r>
    </w:p>
    <w:p w14:paraId="70311051">
      <w:pPr>
        <w:ind w:firstLine="643" w:firstLineChars="200"/>
        <w:contextualSpacing/>
        <w:rPr>
          <w:rFonts w:ascii="仿宋_GB2312" w:eastAsia="仿宋_GB2312"/>
          <w:snapToGrid w:val="0"/>
          <w:kern w:val="0"/>
          <w:sz w:val="32"/>
          <w:szCs w:val="32"/>
        </w:rPr>
      </w:pPr>
      <w:r>
        <w:rPr>
          <w:rFonts w:hint="eastAsia" w:ascii="仿宋_GB2312" w:hAnsi="黑体" w:eastAsia="仿宋_GB2312"/>
          <w:b/>
          <w:sz w:val="32"/>
          <w:szCs w:val="32"/>
        </w:rPr>
        <w:t>24.着力优化服务</w:t>
      </w:r>
      <w:r>
        <w:rPr>
          <w:rFonts w:ascii="仿宋_GB2312" w:hAnsi="黑体" w:eastAsia="仿宋_GB2312"/>
          <w:b/>
          <w:sz w:val="32"/>
          <w:szCs w:val="32"/>
        </w:rPr>
        <w:t>。</w:t>
      </w:r>
      <w:r>
        <w:rPr>
          <w:rFonts w:hint="eastAsia" w:ascii="仿宋_GB2312" w:eastAsia="仿宋_GB2312"/>
          <w:sz w:val="32"/>
          <w:szCs w:val="32"/>
        </w:rPr>
        <w:t>综合发挥质量认证、商标品牌、标准化等措施，继续大力推进“青岛西海岸新区国家质量基础（NQI）互联网+平台”建设，发挥平台在促进科技创新、提升国际竞争力方面的重要作用。鼓励重点企业推广落实“首席质量官”“首席品牌官”制度，梯队培育优秀企业创建参评中国驰名商标、省长质量奖、市长质量奖、省高端品牌企业、省优质产品生产基地、泰山品质认证。</w:t>
      </w:r>
      <w:r>
        <w:rPr>
          <w:rFonts w:hint="eastAsia" w:ascii="仿宋_GB2312" w:hAnsi="仿宋_GB2312" w:eastAsia="仿宋_GB2312" w:cs="仿宋_GB2312"/>
          <w:sz w:val="32"/>
          <w:szCs w:val="32"/>
        </w:rPr>
        <w:t>围绕新区产业结构，积极指导企业单位争创省字号、国字号标准化试点示范项目。强化标准化在创新发展、智慧发展、融合发展中的基础性、引领性和战略性作用，形成一批可复制、可推广的新区标准化经验模式。以经略海洋、自贸试验区为重点，以国际标准化培训基地（青岛）、2021年青岛国际标准化论坛为载体，搭建国际标准化交流平台，加大对新区企业国际标准化知识的培训力度，创造与国际、区域和国家等标准化机构合作机会，鼓励新区企业参与国际标准制修订，增强国际市场的话语权，为建设开放、现代的国际化新区增添动力。发挥标准化在重点领域的基础性作用，配合做好国家相关标准化创新基地（青岛）的创建工作。</w:t>
      </w:r>
    </w:p>
    <w:p w14:paraId="5CB36A69">
      <w:pPr>
        <w:ind w:firstLine="640" w:firstLineChars="200"/>
        <w:contextualSpacing/>
        <w:rPr>
          <w:rFonts w:ascii="仿宋_GB2312" w:eastAsia="仿宋_GB2312"/>
          <w:snapToGrid w:val="0"/>
          <w:kern w:val="0"/>
          <w:sz w:val="32"/>
          <w:szCs w:val="32"/>
        </w:rPr>
      </w:pPr>
      <w:r>
        <w:rPr>
          <w:rFonts w:hint="eastAsia" w:ascii="楷体_GB2312" w:hAnsi="楷体_GB2312" w:eastAsia="楷体_GB2312" w:cs="楷体_GB2312"/>
          <w:snapToGrid w:val="0"/>
          <w:kern w:val="0"/>
          <w:sz w:val="32"/>
          <w:szCs w:val="32"/>
        </w:rPr>
        <w:t>责任领导：</w:t>
      </w:r>
      <w:r>
        <w:rPr>
          <w:rFonts w:hint="eastAsia" w:ascii="仿宋_GB2312" w:hAnsi="Times New Roman" w:eastAsia="仿宋_GB2312" w:cs="Times New Roman"/>
          <w:snapToGrid w:val="0"/>
          <w:kern w:val="0"/>
          <w:sz w:val="32"/>
          <w:szCs w:val="32"/>
        </w:rPr>
        <w:t>刘瑞进</w:t>
      </w:r>
      <w:r>
        <w:rPr>
          <w:rFonts w:hint="eastAsia" w:ascii="楷体_GB2312" w:hAnsi="楷体_GB2312" w:eastAsia="楷体_GB2312" w:cs="楷体_GB2312"/>
          <w:snapToGrid w:val="0"/>
          <w:kern w:val="0"/>
          <w:sz w:val="32"/>
          <w:szCs w:val="32"/>
        </w:rPr>
        <w:t>、</w:t>
      </w:r>
      <w:r>
        <w:rPr>
          <w:rFonts w:hint="eastAsia" w:ascii="仿宋_GB2312" w:hAnsi="Times New Roman" w:eastAsia="仿宋_GB2312" w:cs="Times New Roman"/>
          <w:snapToGrid w:val="0"/>
          <w:kern w:val="0"/>
          <w:sz w:val="32"/>
          <w:szCs w:val="32"/>
        </w:rPr>
        <w:t>娄树溪、付玉华、逄淑星、王定森、任敦文</w:t>
      </w:r>
    </w:p>
    <w:p w14:paraId="7575D36B">
      <w:pPr>
        <w:ind w:firstLine="640" w:firstLineChars="200"/>
        <w:contextualSpacing/>
        <w:rPr>
          <w:rFonts w:ascii="楷体_GB2312" w:eastAsia="楷体_GB2312"/>
          <w:sz w:val="32"/>
          <w:szCs w:val="32"/>
        </w:rPr>
      </w:pPr>
      <w:r>
        <w:rPr>
          <w:rFonts w:hint="eastAsia" w:ascii="楷体_GB2312" w:hAnsi="楷体_GB2312" w:eastAsia="楷体_GB2312" w:cs="楷体_GB2312"/>
          <w:snapToGrid w:val="0"/>
          <w:kern w:val="0"/>
          <w:sz w:val="32"/>
          <w:szCs w:val="32"/>
        </w:rPr>
        <w:t>责任部门：</w:t>
      </w:r>
      <w:r>
        <w:rPr>
          <w:rFonts w:hint="eastAsia" w:ascii="仿宋_GB2312" w:eastAsia="仿宋_GB2312"/>
          <w:snapToGrid w:val="0"/>
          <w:kern w:val="0"/>
          <w:sz w:val="32"/>
          <w:szCs w:val="32"/>
        </w:rPr>
        <w:t>法规科、信用科、市场主体科、商广科、质量科、标准化科、综合监管改革办、风险预警办，各市场监管所</w:t>
      </w:r>
    </w:p>
    <w:p w14:paraId="0C39816F">
      <w:pPr>
        <w:ind w:firstLine="640" w:firstLineChars="200"/>
        <w:contextualSpacing/>
        <w:rPr>
          <w:rFonts w:ascii="仿宋_GB2312" w:hAnsi="仿宋_GB2312" w:eastAsia="仿宋_GB2312" w:cs="仿宋_GB2312"/>
          <w:b/>
          <w:bCs/>
          <w:sz w:val="32"/>
          <w:szCs w:val="32"/>
        </w:rPr>
      </w:pPr>
      <w:r>
        <w:rPr>
          <w:rFonts w:hint="eastAsia" w:ascii="楷体_GB2312" w:eastAsia="楷体_GB2312"/>
          <w:sz w:val="32"/>
          <w:szCs w:val="32"/>
        </w:rPr>
        <w:t>（七）强化市场环境规范。</w:t>
      </w:r>
      <w:r>
        <w:rPr>
          <w:rFonts w:hint="eastAsia" w:ascii="仿宋_GB2312" w:hAnsi="仿宋_GB2312" w:eastAsia="仿宋_GB2312" w:cs="仿宋_GB2312"/>
          <w:sz w:val="32"/>
          <w:szCs w:val="32"/>
        </w:rPr>
        <w:t>着眼反不正当竞争形势要求，加大执法监管力度，维护公平有序竞争环境。</w:t>
      </w:r>
    </w:p>
    <w:p w14:paraId="35B2A160">
      <w:pPr>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25.加强反不正当竞争整治。</w:t>
      </w:r>
      <w:r>
        <w:rPr>
          <w:rFonts w:hint="eastAsia" w:ascii="仿宋_GB2312" w:eastAsia="仿宋_GB2312"/>
          <w:sz w:val="32"/>
          <w:szCs w:val="32"/>
        </w:rPr>
        <w:t>加大对市场混淆、商业贿赂、虚假宣传、商业诋毁等重大复杂案件的分析研判力度，建立竞争执法人才库，为全局执法办案提供智力支持。</w:t>
      </w:r>
      <w:r>
        <w:rPr>
          <w:rFonts w:hint="eastAsia" w:ascii="仿宋_GB2312" w:hAnsi="仿宋" w:eastAsia="仿宋_GB2312" w:cs="仿宋_GB2312"/>
          <w:sz w:val="32"/>
          <w:szCs w:val="32"/>
        </w:rPr>
        <w:t>全面开展不正当竞争行为查处工作；继续做好打击传销联席会议办公室工作，加强协调督办，联合公安部门和镇街进一步深化打击传销工作，同时继续做好打击传销宣传工作，为全区经济社会发展营造良好的市场环境。继续做好</w:t>
      </w:r>
      <w:r>
        <w:rPr>
          <w:rFonts w:hint="eastAsia" w:ascii="仿宋_GB2312" w:hAnsi="仿宋_GB2312" w:eastAsia="仿宋_GB2312" w:cs="仿宋_GB2312"/>
          <w:sz w:val="32"/>
          <w:szCs w:val="32"/>
        </w:rPr>
        <w:t>区公平竞争审查工作联席会议办公室有关公平竞争审查工作。</w:t>
      </w:r>
    </w:p>
    <w:p w14:paraId="46857D68">
      <w:pPr>
        <w:ind w:firstLine="643" w:firstLineChars="200"/>
        <w:contextualSpacing/>
        <w:rPr>
          <w:rFonts w:ascii="仿宋_GB2312" w:eastAsia="仿宋_GB2312"/>
          <w:sz w:val="32"/>
          <w:szCs w:val="32"/>
        </w:rPr>
      </w:pPr>
      <w:r>
        <w:rPr>
          <w:rFonts w:hint="eastAsia" w:ascii="仿宋_GB2312" w:hAnsi="仿宋_GB2312" w:eastAsia="仿宋_GB2312" w:cs="仿宋_GB2312"/>
          <w:b/>
          <w:sz w:val="32"/>
          <w:szCs w:val="32"/>
        </w:rPr>
        <w:t>26.加强重点领域整治。</w:t>
      </w:r>
      <w:r>
        <w:rPr>
          <w:rFonts w:hint="eastAsia" w:ascii="仿宋_GB2312" w:hAnsi="黑体" w:eastAsia="仿宋_GB2312"/>
          <w:sz w:val="32"/>
          <w:szCs w:val="32"/>
        </w:rPr>
        <w:t>加强媒体广告监测，掌控广告发布动态，及时制止违法广告行为；</w:t>
      </w:r>
      <w:r>
        <w:rPr>
          <w:rFonts w:hint="eastAsia" w:ascii="仿宋_GB2312" w:eastAsia="仿宋_GB2312"/>
          <w:sz w:val="32"/>
          <w:szCs w:val="32"/>
        </w:rPr>
        <w:t>针对房地产、医药、教育培训等行业违法广告多发的现象，加大日常监管，做到早发现，早预防。</w:t>
      </w:r>
      <w:r>
        <w:rPr>
          <w:rFonts w:hint="eastAsia" w:ascii="仿宋_GB2312" w:hAnsi="黑体" w:eastAsia="仿宋_GB2312"/>
          <w:sz w:val="32"/>
          <w:szCs w:val="32"/>
        </w:rPr>
        <w:t>紧扣双十一等重要时间节点，加强法制宣传和以案说法，规范电子商务经营行为；开展网络直播经纪公司约谈，推进网络直播营销活动健康有序发展。探索网络交易市场主体第三方监测机构的合作机制，提高网络交易市场专项行动的靶向性和精准度。</w:t>
      </w:r>
      <w:r>
        <w:rPr>
          <w:rFonts w:hint="eastAsia" w:ascii="仿宋_GB2312" w:hAnsi="仿宋_GB2312" w:eastAsia="仿宋_GB2312" w:cs="仿宋_GB2312"/>
          <w:sz w:val="32"/>
          <w:szCs w:val="32"/>
        </w:rPr>
        <w:t>开展定量包装商品、加油机、眼镜制配等民生计量专项检查；</w:t>
      </w:r>
      <w:r>
        <w:rPr>
          <w:rFonts w:hint="eastAsia" w:ascii="仿宋_GB2312" w:eastAsia="仿宋_GB2312"/>
          <w:sz w:val="32"/>
          <w:szCs w:val="32"/>
        </w:rPr>
        <w:t>突出重点区域、重点行业、重点仪器管理，确保重点领域在安全防护计量器具安全监管工作落实到位。继续推进能源计量管理。完善能源计量器具量值溯源体系、能源计量管理体系；用好能源计量数据采集平台、能源计量检测平台、行政审批许可系统；做好能源计量新技术的推广和应用、提高能源计量管理水平、推进重点用能单位能源计量人才队伍的建设，提高能源计量管理水平。</w:t>
      </w:r>
    </w:p>
    <w:p w14:paraId="1888A160">
      <w:pPr>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27</w:t>
      </w:r>
      <w:r>
        <w:rPr>
          <w:rFonts w:hint="eastAsia" w:ascii="仿宋_GB2312" w:eastAsia="仿宋_GB2312"/>
          <w:b/>
          <w:sz w:val="32"/>
          <w:szCs w:val="32"/>
        </w:rPr>
        <w:t xml:space="preserve">. </w:t>
      </w:r>
      <w:r>
        <w:rPr>
          <w:rFonts w:hint="eastAsia" w:ascii="仿宋_GB2312" w:eastAsia="仿宋_GB2312"/>
          <w:b/>
          <w:bCs/>
          <w:sz w:val="32"/>
          <w:szCs w:val="32"/>
        </w:rPr>
        <w:t>加强价格秩序整治。</w:t>
      </w:r>
      <w:r>
        <w:rPr>
          <w:rFonts w:hint="eastAsia" w:ascii="仿宋_GB2312" w:eastAsia="仿宋_GB2312"/>
          <w:bCs/>
          <w:sz w:val="32"/>
          <w:szCs w:val="32"/>
        </w:rPr>
        <w:t>做好疫情防控价格监管，加强民生和涉企领域价格收费日常监管，加强节假日、重大活动等重点时段市场价格监管，打击价格违法行为，规范市场价格秩序。</w:t>
      </w:r>
    </w:p>
    <w:p w14:paraId="629ECF30">
      <w:pPr>
        <w:pStyle w:val="9"/>
        <w:spacing w:line="560" w:lineRule="exact"/>
      </w:pPr>
      <w:r>
        <w:rPr>
          <w:rFonts w:hint="eastAsia" w:ascii="楷体_GB2312" w:hAnsi="楷体_GB2312" w:eastAsia="楷体_GB2312" w:cs="楷体_GB2312"/>
          <w:szCs w:val="32"/>
        </w:rPr>
        <w:t>责任领导：</w:t>
      </w:r>
      <w:r>
        <w:rPr>
          <w:rFonts w:hint="eastAsia"/>
        </w:rPr>
        <w:t>娄树溪、张金国、王定森</w:t>
      </w:r>
    </w:p>
    <w:p w14:paraId="134168A2">
      <w:pPr>
        <w:pStyle w:val="9"/>
        <w:spacing w:line="560" w:lineRule="exact"/>
      </w:pPr>
      <w:r>
        <w:rPr>
          <w:rFonts w:hint="eastAsia" w:ascii="楷体_GB2312" w:hAnsi="楷体_GB2312" w:eastAsia="楷体_GB2312" w:cs="楷体_GB2312"/>
          <w:szCs w:val="32"/>
        </w:rPr>
        <w:t>责任部门：</w:t>
      </w:r>
      <w:r>
        <w:rPr>
          <w:rFonts w:hint="eastAsia"/>
        </w:rPr>
        <w:t>价监科、反不正当竞争科、网监科、商广科、计量科，各市场监管所</w:t>
      </w:r>
    </w:p>
    <w:p w14:paraId="71C17C38">
      <w:pPr>
        <w:ind w:firstLine="640" w:firstLineChars="200"/>
        <w:contextualSpacing/>
        <w:rPr>
          <w:rFonts w:ascii="仿宋_GB2312" w:hAnsi="仿宋_GB2312" w:eastAsia="仿宋_GB2312" w:cs="仿宋_GB2312"/>
          <w:b/>
          <w:sz w:val="32"/>
          <w:szCs w:val="32"/>
        </w:rPr>
      </w:pPr>
      <w:r>
        <w:rPr>
          <w:rFonts w:hint="eastAsia" w:ascii="楷体_GB2312" w:eastAsia="楷体_GB2312"/>
          <w:sz w:val="32"/>
          <w:szCs w:val="32"/>
        </w:rPr>
        <w:t>（八）不断优化消费环境。</w:t>
      </w:r>
      <w:r>
        <w:rPr>
          <w:rFonts w:hint="eastAsia" w:ascii="仿宋_GB2312" w:hAnsi="仿宋_GB2312" w:eastAsia="仿宋_GB2312" w:cs="仿宋_GB2312"/>
          <w:sz w:val="32"/>
          <w:szCs w:val="32"/>
        </w:rPr>
        <w:t>把握扩容、提质、增效三大关键点，全面深化放心消费创建。</w:t>
      </w:r>
    </w:p>
    <w:p w14:paraId="37A6DFDF">
      <w:pPr>
        <w:ind w:firstLine="643" w:firstLineChars="200"/>
        <w:contextualSpacing/>
        <w:rPr>
          <w:rFonts w:ascii="仿宋_GB2312" w:eastAsia="仿宋_GB2312"/>
          <w:sz w:val="32"/>
          <w:szCs w:val="32"/>
        </w:rPr>
      </w:pPr>
      <w:r>
        <w:rPr>
          <w:rFonts w:hint="eastAsia" w:ascii="仿宋_GB2312" w:hAnsi="仿宋_GB2312" w:eastAsia="仿宋_GB2312" w:cs="仿宋_GB2312"/>
          <w:b/>
          <w:sz w:val="32"/>
          <w:szCs w:val="32"/>
        </w:rPr>
        <w:t>28.抓好消费示范创建。</w:t>
      </w:r>
      <w:r>
        <w:rPr>
          <w:rFonts w:hint="eastAsia" w:ascii="仿宋_GB2312" w:hAnsi="仿宋_GB2312" w:eastAsia="仿宋_GB2312" w:cs="仿宋_GB2312"/>
          <w:sz w:val="32"/>
          <w:szCs w:val="32"/>
        </w:rPr>
        <w:t>推进示范单体、示范区域、示范行业创建，新创建各类放心消费示范区域2处，年内全区示范创建单位不低于4600家；</w:t>
      </w:r>
      <w:r>
        <w:rPr>
          <w:rFonts w:hint="eastAsia" w:ascii="仿宋_GB2312" w:eastAsia="仿宋_GB2312"/>
          <w:sz w:val="32"/>
          <w:szCs w:val="32"/>
        </w:rPr>
        <w:t>探索扩大消费投诉公示范围，增加消费维权典型案例、预收款消费投诉黑名单、消费警示等内容，以局微信公众号和新闻媒体为平台，定期推送消费投诉公示内容，充分发挥社会监督和舆论监督作用。探索开展2021年“新区好礼”特色产品评测，服务打造新区消费品牌，引导和促进消费。</w:t>
      </w:r>
    </w:p>
    <w:p w14:paraId="2A5220D9">
      <w:pPr>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29.抓好消费权益保护。</w:t>
      </w:r>
      <w:r>
        <w:rPr>
          <w:rFonts w:hint="eastAsia" w:ascii="仿宋_GB2312" w:hAnsi="仿宋_GB2312" w:eastAsia="仿宋_GB2312" w:cs="仿宋_GB2312"/>
          <w:sz w:val="32"/>
          <w:szCs w:val="32"/>
        </w:rPr>
        <w:t>新创建放心消费服务站10处，开展星级消费维权服务站评选，力争服务站一般消费纠纷及时办结率、和解成功率“双100%”。完善ODR单位监管制度，提高平台运行效能，推动ODR企业数量、质量“双提升”，推进在线协商和解消费争议。认真落实首问负责制，</w:t>
      </w:r>
      <w:r>
        <w:rPr>
          <w:rFonts w:hint="eastAsia" w:ascii="仿宋_GB2312" w:eastAsia="仿宋_GB2312" w:cs="仿宋_GB2312"/>
          <w:bCs/>
          <w:sz w:val="32"/>
          <w:szCs w:val="32"/>
        </w:rPr>
        <w:t>综合运用行政指导、行政执法等手段，进一步强化消费纠纷调处机制，规范市场经营行为，打击违法侵权现象。以消费舆情易发的预付卡消费等领域为重点，及时发现，提前介入，通过约谈负责人、妥善处置消费纠纷，避免引发群体投诉和网络舆情。</w:t>
      </w:r>
      <w:r>
        <w:rPr>
          <w:rFonts w:hint="eastAsia" w:ascii="仿宋_GB2312" w:hAnsi="仿宋_GB2312" w:eastAsia="仿宋_GB2312" w:cs="仿宋_GB2312"/>
          <w:sz w:val="32"/>
          <w:szCs w:val="32"/>
        </w:rPr>
        <w:t>完善严重侵害消费者权益“黑名单”制度，健全联合惩戒机制。</w:t>
      </w:r>
    </w:p>
    <w:p w14:paraId="79512025">
      <w:pPr>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30.抓好消费产品监管。</w:t>
      </w:r>
      <w:r>
        <w:rPr>
          <w:rFonts w:hint="eastAsia" w:ascii="仿宋_GB2312" w:eastAsia="仿宋_GB2312" w:cs="仿宋_GB2312"/>
          <w:bCs/>
          <w:sz w:val="32"/>
          <w:szCs w:val="32"/>
        </w:rPr>
        <w:t>认真贯彻落实《产品质量监督抽查管理暂行办法》，以消费投诉举报数据为指导，继续做好纺织服装、家用电器、家具等重点商品的质量监管，做好不合格产品的后处理工作，严厉打击销售质量不合格违法行为。依据职责做好生态环境保护相关工作，组织好中央、省环保督察迎检和整改，确保环保督察各项工作要求落实到位；深入推进“四减四增”三年行动，确保完成各项目标任务；加强煤炭市场监管，严厉打击无照经营、销售高污染燃料和质量不合格煤炭的违法行为。</w:t>
      </w:r>
    </w:p>
    <w:p w14:paraId="69F27826">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责任领导：</w:t>
      </w:r>
      <w:r>
        <w:rPr>
          <w:rFonts w:hint="eastAsia" w:ascii="仿宋_GB2312" w:hAnsi="黑体" w:eastAsia="仿宋_GB2312"/>
          <w:sz w:val="32"/>
          <w:szCs w:val="32"/>
        </w:rPr>
        <w:t>付玉华、逄淑星</w:t>
      </w:r>
    </w:p>
    <w:p w14:paraId="1C9B8662">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hAnsi="黑体" w:eastAsia="仿宋_GB2312"/>
          <w:sz w:val="32"/>
          <w:szCs w:val="32"/>
        </w:rPr>
        <w:t>消保科、风险预警办，各市场监管所</w:t>
      </w:r>
    </w:p>
    <w:p w14:paraId="440D5255">
      <w:pPr>
        <w:ind w:firstLine="800" w:firstLineChars="250"/>
        <w:contextualSpacing/>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、推进“</w:t>
      </w:r>
      <w:r>
        <w:rPr>
          <w:rFonts w:hint="eastAsia" w:ascii="黑体" w:hAnsi="黑体" w:eastAsia="黑体"/>
          <w:sz w:val="32"/>
          <w:szCs w:val="32"/>
        </w:rPr>
        <w:t>五项创新</w:t>
      </w:r>
      <w:r>
        <w:rPr>
          <w:rFonts w:ascii="黑体" w:hAnsi="黑体" w:eastAsia="黑体"/>
          <w:sz w:val="32"/>
          <w:szCs w:val="32"/>
        </w:rPr>
        <w:t>”</w:t>
      </w:r>
      <w:r>
        <w:rPr>
          <w:rFonts w:hint="eastAsia" w:ascii="黑体" w:hAnsi="黑体" w:eastAsia="黑体"/>
          <w:sz w:val="32"/>
          <w:szCs w:val="32"/>
        </w:rPr>
        <w:t>，赋能</w:t>
      </w:r>
      <w:r>
        <w:rPr>
          <w:rFonts w:ascii="黑体" w:hAnsi="黑体" w:eastAsia="黑体"/>
          <w:sz w:val="32"/>
          <w:szCs w:val="32"/>
        </w:rPr>
        <w:t>高质量发展</w:t>
      </w:r>
    </w:p>
    <w:p w14:paraId="3D5BF5E7">
      <w:pPr>
        <w:ind w:firstLine="640" w:firstLineChars="200"/>
        <w:contextualSpacing/>
        <w:rPr>
          <w:rFonts w:ascii="楷体_GB2312" w:eastAsia="楷体_GB2312"/>
          <w:b/>
          <w:sz w:val="32"/>
          <w:szCs w:val="32"/>
        </w:rPr>
      </w:pPr>
      <w:r>
        <w:rPr>
          <w:rFonts w:hint="eastAsia" w:ascii="楷体_GB2312" w:eastAsia="楷体_GB2312"/>
          <w:sz w:val="32"/>
          <w:szCs w:val="32"/>
        </w:rPr>
        <w:t>（九）升级完善“三大平台”。</w:t>
      </w:r>
      <w:r>
        <w:rPr>
          <w:rFonts w:hint="eastAsia" w:ascii="仿宋_GB2312" w:hAnsi="Calibri" w:eastAsia="仿宋_GB2312"/>
          <w:sz w:val="32"/>
          <w:szCs w:val="32"/>
        </w:rPr>
        <w:t>善于“化危为机”，做到“纲举目张”，有效解决监管形势复杂与监管人员严重不足的突出矛盾，确保监管有章法。</w:t>
      </w:r>
    </w:p>
    <w:p w14:paraId="78DCB40D">
      <w:pPr>
        <w:ind w:firstLine="643" w:firstLineChars="200"/>
        <w:contextualSpacing/>
        <w:rPr>
          <w:rFonts w:ascii="仿宋_GB2312" w:eastAsia="仿宋_GB2312"/>
          <w:sz w:val="32"/>
          <w:szCs w:val="32"/>
        </w:rPr>
      </w:pPr>
      <w:r>
        <w:rPr>
          <w:rFonts w:hint="eastAsia" w:ascii="楷体_GB2312" w:eastAsia="楷体_GB2312"/>
          <w:b/>
          <w:sz w:val="32"/>
          <w:szCs w:val="32"/>
        </w:rPr>
        <w:t>31.</w:t>
      </w:r>
      <w:r>
        <w:rPr>
          <w:rFonts w:hint="eastAsia" w:ascii="仿宋_GB2312" w:eastAsia="仿宋_GB2312"/>
          <w:sz w:val="32"/>
          <w:szCs w:val="32"/>
        </w:rPr>
        <w:t>更好发挥</w:t>
      </w:r>
      <w:r>
        <w:rPr>
          <w:rFonts w:hint="eastAsia" w:ascii="仿宋_GB2312" w:hAnsi="Calibri" w:eastAsia="仿宋_GB2312"/>
          <w:sz w:val="32"/>
          <w:szCs w:val="32"/>
        </w:rPr>
        <w:t>风险预警平台</w:t>
      </w:r>
      <w:r>
        <w:rPr>
          <w:rFonts w:hint="eastAsia" w:ascii="仿宋_GB2312" w:eastAsia="仿宋_GB2312"/>
          <w:sz w:val="32"/>
          <w:szCs w:val="32"/>
        </w:rPr>
        <w:t>指挥棒的作用</w:t>
      </w:r>
      <w:r>
        <w:rPr>
          <w:rFonts w:hint="eastAsia" w:ascii="仿宋_GB2312" w:hAnsi="Calibri" w:eastAsia="仿宋_GB2312"/>
          <w:sz w:val="32"/>
          <w:szCs w:val="32"/>
        </w:rPr>
        <w:t>，扩充数据渠道，继续接入市局相关平台，</w:t>
      </w:r>
      <w:r>
        <w:rPr>
          <w:rFonts w:hint="eastAsia" w:ascii="仿宋_GB2312" w:eastAsia="仿宋_GB2312"/>
          <w:sz w:val="32"/>
          <w:szCs w:val="32"/>
        </w:rPr>
        <w:t>接入我局与余杭区局共建的“红盾云桥”网络协作监管系统和与京东集团共建的“红盾京通政企协同网”各项风险数据，</w:t>
      </w:r>
      <w:r>
        <w:rPr>
          <w:rFonts w:hint="eastAsia" w:ascii="仿宋_GB2312" w:hAnsi="Calibri" w:eastAsia="仿宋_GB2312"/>
          <w:sz w:val="32"/>
          <w:szCs w:val="32"/>
        </w:rPr>
        <w:t>推动风险</w:t>
      </w:r>
      <w:r>
        <w:rPr>
          <w:rFonts w:hint="eastAsia" w:ascii="仿宋_GB2312" w:eastAsia="仿宋_GB2312"/>
          <w:sz w:val="32"/>
          <w:szCs w:val="32"/>
        </w:rPr>
        <w:t>信息</w:t>
      </w:r>
      <w:r>
        <w:rPr>
          <w:rFonts w:hint="eastAsia" w:ascii="仿宋_GB2312" w:hAnsi="Calibri" w:eastAsia="仿宋_GB2312"/>
          <w:sz w:val="32"/>
          <w:szCs w:val="32"/>
        </w:rPr>
        <w:t>“智能化”汇总分析</w:t>
      </w:r>
      <w:r>
        <w:rPr>
          <w:rFonts w:hint="eastAsia" w:ascii="仿宋_GB2312" w:eastAsia="仿宋_GB2312"/>
          <w:sz w:val="32"/>
          <w:szCs w:val="32"/>
        </w:rPr>
        <w:t>和</w:t>
      </w:r>
      <w:r>
        <w:rPr>
          <w:rFonts w:hint="eastAsia" w:ascii="仿宋_GB2312" w:hAnsi="Calibri" w:eastAsia="仿宋_GB2312"/>
          <w:sz w:val="32"/>
          <w:szCs w:val="32"/>
        </w:rPr>
        <w:t>“闭环式”</w:t>
      </w:r>
      <w:r>
        <w:rPr>
          <w:rFonts w:hint="eastAsia" w:ascii="仿宋_GB2312" w:eastAsia="仿宋_GB2312"/>
          <w:sz w:val="32"/>
          <w:szCs w:val="32"/>
        </w:rPr>
        <w:t>整改落实，推进</w:t>
      </w:r>
      <w:r>
        <w:rPr>
          <w:rFonts w:hint="eastAsia" w:ascii="仿宋_GB2312" w:hAnsi="Calibri" w:eastAsia="仿宋_GB2312"/>
          <w:sz w:val="32"/>
          <w:szCs w:val="32"/>
        </w:rPr>
        <w:t>“互联网+”智慧监管，深度对接我局“双随机”监管平台和信用公示平台，着力提升风险预警报告成果转化运用水平。</w:t>
      </w:r>
      <w:r>
        <w:rPr>
          <w:rFonts w:hint="eastAsia" w:ascii="仿宋_GB2312" w:eastAsia="仿宋_GB2312"/>
          <w:bCs/>
          <w:sz w:val="32"/>
          <w:szCs w:val="32"/>
        </w:rPr>
        <w:t>继续完善服务型“双随机”工作，积极对接“NQI”平台、</w:t>
      </w:r>
      <w:r>
        <w:rPr>
          <w:rFonts w:hint="eastAsia" w:ascii="仿宋_GB2312" w:hAnsi="仿宋_GB2312" w:eastAsia="仿宋_GB2312" w:cs="仿宋_GB2312"/>
          <w:bCs/>
          <w:sz w:val="32"/>
          <w:szCs w:val="32"/>
        </w:rPr>
        <w:t>知识产权数字公共服务平台、知识产权快维中心等平台数据，多方了解企业诉求，</w:t>
      </w:r>
      <w:r>
        <w:rPr>
          <w:rFonts w:hint="eastAsia" w:ascii="仿宋_GB2312" w:eastAsia="仿宋_GB2312"/>
          <w:sz w:val="32"/>
          <w:szCs w:val="32"/>
        </w:rPr>
        <w:t>充分发挥企业库、专家库作用，优化抽样模块，继续抽取重点企业，了解企业深层次要求，有针对性做好指导帮扶，提供有温度的服务。</w:t>
      </w:r>
      <w:r>
        <w:rPr>
          <w:rFonts w:hint="eastAsia" w:ascii="仿宋_GB2312" w:hAnsi="Calibri" w:eastAsia="仿宋_GB2312"/>
          <w:sz w:val="32"/>
          <w:szCs w:val="32"/>
        </w:rPr>
        <w:t>优化部门联合“双随机”</w:t>
      </w:r>
      <w:r>
        <w:rPr>
          <w:rFonts w:hint="eastAsia" w:ascii="仿宋_GB2312" w:eastAsia="仿宋_GB2312"/>
          <w:sz w:val="32"/>
          <w:szCs w:val="32"/>
        </w:rPr>
        <w:t>常态化</w:t>
      </w:r>
      <w:r>
        <w:rPr>
          <w:rFonts w:hint="eastAsia" w:ascii="仿宋_GB2312" w:hAnsi="Calibri" w:eastAsia="仿宋_GB2312"/>
          <w:sz w:val="32"/>
          <w:szCs w:val="32"/>
        </w:rPr>
        <w:t>监管机制，</w:t>
      </w:r>
      <w:r>
        <w:rPr>
          <w:rFonts w:hint="eastAsia" w:ascii="仿宋_GB2312" w:eastAsia="仿宋_GB2312"/>
          <w:sz w:val="32"/>
          <w:szCs w:val="32"/>
        </w:rPr>
        <w:t>继续在部门联合上下功夫，做到“能联尽联”；研究制定下发年度部门联合“双随机、一公开”监管计划，下发后各部门严格执行，争取做到“随机之外无检查、计划之外无事项、平台之外无运行”，减少对企业的过多干预；认真扎实做好内部“双随机、一公开”抽查监管和数据录入，营造宽松、公平的市场环境。继续完善信用公示平台作用，严格按程序推进信用风险分类，提高服务效能，更加突出社会共治。</w:t>
      </w:r>
    </w:p>
    <w:p w14:paraId="14E60979">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付玉华、王定森</w:t>
      </w:r>
    </w:p>
    <w:p w14:paraId="3A4DC344">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监管改革办、信用科、风险预警办、网络监管科，各相关科室，各市场监管所</w:t>
      </w:r>
    </w:p>
    <w:p w14:paraId="0EBDDE62">
      <w:pPr>
        <w:ind w:firstLine="640" w:firstLineChars="200"/>
        <w:rPr>
          <w:rFonts w:ascii="楷体_GB2312" w:hAnsi="黑体" w:eastAsia="楷体_GB2312"/>
          <w:sz w:val="32"/>
          <w:szCs w:val="32"/>
        </w:rPr>
      </w:pPr>
      <w:r>
        <w:rPr>
          <w:rFonts w:hint="eastAsia" w:ascii="楷体_GB2312" w:hAnsi="黑体" w:eastAsia="楷体_GB2312"/>
          <w:sz w:val="32"/>
          <w:szCs w:val="32"/>
        </w:rPr>
        <w:t>（十）建设国家知识产权快速维权中心。</w:t>
      </w:r>
      <w:r>
        <w:rPr>
          <w:rFonts w:hint="eastAsia" w:ascii="仿宋_GB2312" w:eastAsia="仿宋_GB2312"/>
          <w:sz w:val="32"/>
          <w:szCs w:val="32"/>
        </w:rPr>
        <w:t>积极争创国家知识产权快速维权中心和商标业务受理窗口，高标准建成“国字号”知识产权公共服务平台。</w:t>
      </w:r>
    </w:p>
    <w:p w14:paraId="649E381C">
      <w:pPr>
        <w:ind w:firstLine="643" w:firstLineChars="200"/>
        <w:rPr>
          <w:rFonts w:ascii="仿宋_GB2312" w:eastAsia="仿宋_GB2312"/>
          <w:sz w:val="32"/>
          <w:szCs w:val="32"/>
        </w:rPr>
      </w:pPr>
      <w:r>
        <w:rPr>
          <w:rFonts w:hint="eastAsia" w:ascii="楷体_GB2312" w:hAnsi="黑体" w:eastAsia="楷体_GB2312"/>
          <w:b/>
          <w:sz w:val="32"/>
          <w:szCs w:val="32"/>
        </w:rPr>
        <w:t>32</w:t>
      </w:r>
      <w:r>
        <w:rPr>
          <w:rFonts w:hint="eastAsia" w:ascii="仿宋_GB2312" w:eastAsia="仿宋_GB2312"/>
          <w:b/>
          <w:sz w:val="32"/>
          <w:szCs w:val="32"/>
        </w:rPr>
        <w:t>.</w:t>
      </w:r>
      <w:r>
        <w:rPr>
          <w:rFonts w:hint="eastAsia" w:ascii="仿宋_GB2312" w:eastAsia="仿宋_GB2312"/>
          <w:sz w:val="32"/>
          <w:szCs w:val="32"/>
        </w:rPr>
        <w:t>争创中国青岛西海岸新区（机电产品）知识产权快速维权中心，承接国家知识产权局授权的快速预审、快速维权等业务，将外观设计专利授权周期压缩70-90%，专利侵权纠纷行政处理时限和维权成本降低50-80%；高标准建成国家知识产权局青岛西海岸新区商标业务受理窗口，为区内企业提供免费、便捷的商标业务服务，提高新区知识产权服务便利化水平。会同IPwe等项目，积极探索开展知识产权证券化试点模式，力争取得突破。着力搭建政银企三方沟通交流的平台，多渠道开展知识产权评估，盘活企业无形资产，助企融资。</w:t>
      </w:r>
    </w:p>
    <w:p w14:paraId="0BE5CD9D">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娄树溪、王定森</w:t>
      </w:r>
    </w:p>
    <w:p w14:paraId="213B3B71">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知识产权快速维权中心，商广科</w:t>
      </w:r>
    </w:p>
    <w:p w14:paraId="67841839">
      <w:pPr>
        <w:ind w:firstLine="640" w:firstLineChars="200"/>
        <w:contextualSpacing/>
        <w:rPr>
          <w:rFonts w:ascii="仿宋_GB2312" w:hAnsi="黑体" w:eastAsia="仿宋_GB2312"/>
          <w:sz w:val="32"/>
          <w:szCs w:val="32"/>
        </w:rPr>
      </w:pPr>
      <w:r>
        <w:rPr>
          <w:rFonts w:hint="eastAsia" w:ascii="楷体_GB2312" w:hAnsi="黑体" w:eastAsia="楷体_GB2312"/>
          <w:sz w:val="32"/>
          <w:szCs w:val="32"/>
        </w:rPr>
        <w:t>（十一）探索农贸市场管理运营体制改革。</w:t>
      </w:r>
      <w:r>
        <w:rPr>
          <w:rFonts w:hint="eastAsia" w:ascii="仿宋_GB2312" w:hAnsi="黑体" w:eastAsia="仿宋_GB2312"/>
          <w:sz w:val="32"/>
          <w:szCs w:val="32"/>
        </w:rPr>
        <w:t>立足于农贸市场“民生性、公益性、社会性”定位，深化农贸市场管理体制改革。</w:t>
      </w:r>
    </w:p>
    <w:p w14:paraId="2BD89F58">
      <w:pPr>
        <w:ind w:firstLine="643" w:firstLineChars="200"/>
        <w:contextualSpacing/>
        <w:rPr>
          <w:rFonts w:ascii="仿宋_GB2312" w:eastAsia="仿宋_GB2312"/>
          <w:sz w:val="32"/>
          <w:szCs w:val="32"/>
        </w:rPr>
      </w:pPr>
      <w:r>
        <w:rPr>
          <w:rFonts w:hint="eastAsia" w:ascii="仿宋_GB2312" w:hAnsi="黑体" w:eastAsia="仿宋_GB2312"/>
          <w:b/>
          <w:sz w:val="32"/>
          <w:szCs w:val="32"/>
        </w:rPr>
        <w:t>33.</w:t>
      </w:r>
      <w:r>
        <w:rPr>
          <w:rFonts w:hint="eastAsia" w:ascii="仿宋_GB2312" w:hAnsi="黑体" w:eastAsia="仿宋_GB2312"/>
          <w:sz w:val="32"/>
          <w:szCs w:val="32"/>
        </w:rPr>
        <w:t>会同区供销联社等单位，加大国有资本参与和股权化提升，发挥市场的资源型交易平台作用，提升资源资本化、证券化、市场化运营水平，争取完成对4处农贸市场的分类分步改革提升工作，激发市场活力和消费潜力</w:t>
      </w:r>
      <w:r>
        <w:rPr>
          <w:rFonts w:hint="eastAsia" w:ascii="仿宋_GB2312" w:eastAsia="仿宋_GB2312"/>
          <w:sz w:val="32"/>
          <w:szCs w:val="32"/>
        </w:rPr>
        <w:t>；</w:t>
      </w:r>
      <w:r>
        <w:rPr>
          <w:rFonts w:hint="eastAsia" w:ascii="仿宋_GB2312" w:hAnsi="黑体" w:eastAsia="仿宋_GB2312"/>
          <w:sz w:val="32"/>
          <w:szCs w:val="32"/>
        </w:rPr>
        <w:t>认真组织完成农贸市场标准化改造3处；</w:t>
      </w:r>
      <w:r>
        <w:rPr>
          <w:rFonts w:hint="eastAsia" w:ascii="仿宋_GB2312" w:eastAsia="仿宋_GB2312"/>
          <w:sz w:val="32"/>
          <w:szCs w:val="32"/>
        </w:rPr>
        <w:t>设立专项资金300万元，组织评选创建“新区星级农贸市场”，促进农贸市场硬件提档、管理升级，成为环境整洁、食品安全、秩序井然、价格平实、群众满意的展现新区形象的靓丽名片。积极总结“五位一体”农贸市场标准，至少申报一处纳入省级标准化市场标准项目。市场建设服务中心牵头，</w:t>
      </w:r>
      <w:r>
        <w:rPr>
          <w:rFonts w:hint="eastAsia" w:ascii="仿宋_GB2312" w:eastAsia="仿宋_GB2312"/>
          <w:bCs/>
          <w:color w:val="000000"/>
          <w:sz w:val="32"/>
          <w:szCs w:val="32"/>
        </w:rPr>
        <w:t>以黄山路农贸市场创建星级市场和省级食品安全管理规范化市场为示范带头</w:t>
      </w:r>
      <w:r>
        <w:rPr>
          <w:rFonts w:hint="eastAsia" w:ascii="仿宋_GB2312" w:eastAsia="仿宋_GB2312"/>
          <w:sz w:val="32"/>
          <w:szCs w:val="32"/>
        </w:rPr>
        <w:t>，强化“双创”市场示范引领，</w:t>
      </w:r>
      <w:r>
        <w:rPr>
          <w:rFonts w:hint="eastAsia" w:ascii="仿宋_GB2312" w:eastAsia="仿宋_GB2312"/>
          <w:color w:val="000000"/>
          <w:sz w:val="32"/>
          <w:szCs w:val="32"/>
        </w:rPr>
        <w:t>推进市场“公益性+”发展，</w:t>
      </w:r>
      <w:r>
        <w:rPr>
          <w:rFonts w:hint="eastAsia" w:ascii="仿宋_GB2312" w:eastAsia="仿宋_GB2312"/>
          <w:sz w:val="32"/>
          <w:szCs w:val="32"/>
        </w:rPr>
        <w:t>提升市场规范化管理运营水平。</w:t>
      </w:r>
    </w:p>
    <w:p w14:paraId="70309217">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刘瑞进</w:t>
      </w:r>
      <w:r>
        <w:rPr>
          <w:rFonts w:hint="eastAsia" w:ascii="楷体_GB2312" w:hAnsi="楷体_GB2312" w:eastAsia="楷体_GB2312" w:cs="楷体_GB2312"/>
          <w:sz w:val="32"/>
          <w:szCs w:val="32"/>
        </w:rPr>
        <w:t>、</w:t>
      </w:r>
      <w:r>
        <w:rPr>
          <w:rFonts w:hint="eastAsia" w:ascii="仿宋_GB2312" w:eastAsia="仿宋_GB2312"/>
          <w:sz w:val="32"/>
          <w:szCs w:val="32"/>
        </w:rPr>
        <w:t>王永进</w:t>
      </w:r>
      <w:r>
        <w:rPr>
          <w:rFonts w:hint="eastAsia" w:ascii="楷体_GB2312" w:hAnsi="楷体_GB2312" w:eastAsia="楷体_GB2312" w:cs="楷体_GB2312"/>
          <w:sz w:val="32"/>
          <w:szCs w:val="32"/>
        </w:rPr>
        <w:t>、</w:t>
      </w:r>
      <w:r>
        <w:rPr>
          <w:rFonts w:hint="eastAsia" w:ascii="仿宋_GB2312" w:eastAsia="仿宋_GB2312"/>
          <w:sz w:val="32"/>
          <w:szCs w:val="32"/>
        </w:rPr>
        <w:t>于瑞金、任敦文</w:t>
      </w:r>
    </w:p>
    <w:p w14:paraId="6CB5A6A7">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市场科、标准化科，市场建设服务中心，各相关市场监管所</w:t>
      </w:r>
    </w:p>
    <w:p w14:paraId="77F09B95">
      <w:pPr>
        <w:ind w:firstLine="640" w:firstLineChars="200"/>
        <w:contextualSpacing/>
        <w:rPr>
          <w:rFonts w:ascii="仿宋_GB2312" w:hAnsi="楷体_GB2312" w:eastAsia="仿宋_GB2312" w:cs="楷体_GB2312"/>
          <w:kern w:val="0"/>
          <w:sz w:val="32"/>
          <w:szCs w:val="32"/>
        </w:rPr>
      </w:pPr>
      <w:r>
        <w:rPr>
          <w:rFonts w:hint="eastAsia" w:ascii="楷体_GB2312" w:hAnsi="黑体" w:eastAsia="楷体_GB2312"/>
          <w:sz w:val="32"/>
          <w:szCs w:val="32"/>
        </w:rPr>
        <w:t>（十二）推进电梯监管省级试点改革。</w:t>
      </w:r>
      <w:r>
        <w:rPr>
          <w:rFonts w:hint="eastAsia" w:ascii="仿宋_GB2312" w:hAnsi="楷体_GB2312" w:eastAsia="仿宋_GB2312" w:cs="楷体_GB2312"/>
          <w:kern w:val="0"/>
          <w:sz w:val="32"/>
          <w:szCs w:val="32"/>
        </w:rPr>
        <w:t>推行电梯“自我声明+信用管理”维保模式省级改革试点。</w:t>
      </w:r>
    </w:p>
    <w:p w14:paraId="183C0344">
      <w:pPr>
        <w:ind w:firstLine="643" w:firstLineChars="200"/>
        <w:contextualSpacing/>
        <w:rPr>
          <w:rFonts w:ascii="仿宋_GB2312" w:hAnsi="楷体_GB2312" w:eastAsia="仿宋_GB2312" w:cs="楷体_GB2312"/>
          <w:kern w:val="0"/>
          <w:sz w:val="32"/>
          <w:szCs w:val="32"/>
        </w:rPr>
      </w:pPr>
      <w:r>
        <w:rPr>
          <w:rFonts w:hint="eastAsia" w:ascii="仿宋_GB2312" w:hAnsi="楷体_GB2312" w:eastAsia="仿宋_GB2312" w:cs="楷体_GB2312"/>
          <w:b/>
          <w:kern w:val="0"/>
          <w:sz w:val="32"/>
          <w:szCs w:val="32"/>
        </w:rPr>
        <w:t>34.</w:t>
      </w:r>
      <w:r>
        <w:rPr>
          <w:rFonts w:hint="eastAsia" w:ascii="仿宋_GB2312" w:hAnsi="楷体_GB2312" w:eastAsia="仿宋_GB2312" w:cs="楷体_GB2312"/>
          <w:kern w:val="0"/>
          <w:sz w:val="32"/>
          <w:szCs w:val="32"/>
        </w:rPr>
        <w:t>落实电梯使用单位自行检测和维保单位保障电梯安全性能的主体责任，推动电梯维保由“固定周期、固定项目”向“按需维保”转变，由“重过程”向“重效果”转变。扩大电梯“保险+服务”试点改革成效，在完成公共区域电梯投保率的基础上，提升居民小区电梯投保率，建立电梯安全保障的长效机制。推进电梯安全“智慧化”。依托青岛市特种设备信息化系统，进行电梯信息归集，生成“智慧电梯码”，通过扫码便可查询电梯基本信息，强化公众对电梯安全的监督作用。</w:t>
      </w:r>
    </w:p>
    <w:p w14:paraId="270C2FB5">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闫德华</w:t>
      </w:r>
    </w:p>
    <w:p w14:paraId="4E78717F">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综合执法大队，各相关市场监管所</w:t>
      </w:r>
    </w:p>
    <w:p w14:paraId="461A8EC0">
      <w:pPr>
        <w:ind w:firstLine="640" w:firstLineChars="200"/>
        <w:contextualSpacing/>
        <w:rPr>
          <w:rFonts w:ascii="仿宋_GB2312" w:hAnsi="楷体_GB2312" w:eastAsia="仿宋_GB2312" w:cs="楷体_GB2312"/>
          <w:kern w:val="0"/>
          <w:sz w:val="32"/>
          <w:szCs w:val="32"/>
        </w:rPr>
      </w:pPr>
      <w:r>
        <w:rPr>
          <w:rFonts w:hint="eastAsia" w:ascii="楷体_GB2312" w:hAnsi="黑体" w:eastAsia="楷体_GB2312"/>
          <w:sz w:val="32"/>
          <w:szCs w:val="32"/>
        </w:rPr>
        <w:t>（十三）探索推进食品“抽”“检”分离省级试点改革。</w:t>
      </w:r>
      <w:r>
        <w:rPr>
          <w:rFonts w:hint="eastAsia" w:ascii="仿宋_GB2312" w:hAnsi="楷体_GB2312" w:eastAsia="仿宋_GB2312" w:cs="楷体_GB2312"/>
          <w:kern w:val="0"/>
          <w:sz w:val="32"/>
          <w:szCs w:val="32"/>
        </w:rPr>
        <w:t>坚持问题导向，试点样品抽取和样品检测相分离的“抽”“检”分离改革工作。</w:t>
      </w:r>
    </w:p>
    <w:p w14:paraId="572B1EB8">
      <w:pPr>
        <w:ind w:firstLine="643" w:firstLineChars="200"/>
        <w:contextualSpacing/>
        <w:rPr>
          <w:rFonts w:ascii="仿宋_GB2312" w:eastAsia="仿宋_GB2312"/>
          <w:sz w:val="32"/>
          <w:szCs w:val="32"/>
        </w:rPr>
      </w:pPr>
      <w:r>
        <w:rPr>
          <w:rFonts w:hint="eastAsia" w:ascii="仿宋_GB2312" w:hAnsi="楷体_GB2312" w:eastAsia="仿宋_GB2312" w:cs="楷体_GB2312"/>
          <w:b/>
          <w:kern w:val="0"/>
          <w:sz w:val="32"/>
          <w:szCs w:val="32"/>
        </w:rPr>
        <w:t>35.</w:t>
      </w:r>
      <w:r>
        <w:rPr>
          <w:rFonts w:hint="eastAsia" w:ascii="仿宋_GB2312" w:hAnsi="楷体_GB2312" w:eastAsia="仿宋_GB2312" w:cs="楷体_GB2312"/>
          <w:kern w:val="0"/>
          <w:sz w:val="32"/>
          <w:szCs w:val="32"/>
        </w:rPr>
        <w:t>优化工作流程，探索长效机制，提高风险隐患发现率和抽检监测靶向性，健全食品抽检全程质控体系，提升抽检监测工作的权威性、公正性、科学性和规范性。发挥食品监督抽检技术支撑作用，坚持以发现问题为导向，加大对农村大集、食品摊点、小作坊等重点区域和群众消费量大的粮油菜、肉蛋奶以及“五毛”零食等重点品种的抽检力度，及时发现问题，消除安全风险隐患。监督抽检不合格食品核查处置完成率达到100%。对不合格食品严格按照“‘六率</w:t>
      </w:r>
      <w:r>
        <w:rPr>
          <w:rFonts w:hint="eastAsia" w:ascii="仿宋_GB2312" w:hAnsi="仿宋_GB2312" w:eastAsia="仿宋_GB2312" w:cs="仿宋_GB2312"/>
          <w:color w:val="000000"/>
          <w:sz w:val="32"/>
          <w:szCs w:val="32"/>
        </w:rPr>
        <w:t>’闭环管理”和“四个最严”要求开展核查处置。</w:t>
      </w:r>
      <w:r>
        <w:rPr>
          <w:rFonts w:hint="eastAsia" w:ascii="仿宋_GB2312" w:eastAsia="仿宋_GB2312"/>
          <w:sz w:val="32"/>
          <w:szCs w:val="32"/>
        </w:rPr>
        <w:t>用好用足快检试剂，运用测试结果保障食品安全。强化技术机构能力建设，围绕食品监管需求，实施检验能力扩项和技术标准变更，开展资质认定证书换证复评审工作；按照省局关于县区法定计量技术机构建立标准指导意见进行社会公用计量标准项目调整，新建2项标准。</w:t>
      </w:r>
    </w:p>
    <w:p w14:paraId="2C48E04F">
      <w:pPr>
        <w:ind w:firstLine="640" w:firstLineChars="200"/>
        <w:contextualSpacing/>
        <w:rPr>
          <w:rFonts w:ascii="仿宋_GB2312" w:eastAsia="仿宋_GB2312"/>
          <w:sz w:val="32"/>
          <w:szCs w:val="32"/>
        </w:rPr>
      </w:pPr>
      <w:r>
        <w:rPr>
          <w:rFonts w:hint="eastAsia" w:ascii="楷体_GB2312" w:hAnsi="楷体_GB2312" w:eastAsia="楷体_GB2312" w:cs="楷体_GB2312"/>
          <w:sz w:val="32"/>
          <w:szCs w:val="32"/>
        </w:rPr>
        <w:t>责任领导：</w:t>
      </w:r>
      <w:r>
        <w:rPr>
          <w:rFonts w:hint="eastAsia" w:ascii="仿宋_GB2312" w:eastAsia="仿宋_GB2312"/>
          <w:sz w:val="32"/>
          <w:szCs w:val="32"/>
        </w:rPr>
        <w:t>刘瑞进</w:t>
      </w:r>
      <w:r>
        <w:rPr>
          <w:rFonts w:hint="eastAsia" w:ascii="楷体_GB2312" w:hAnsi="楷体_GB2312" w:eastAsia="楷体_GB2312" w:cs="楷体_GB2312"/>
          <w:sz w:val="32"/>
          <w:szCs w:val="32"/>
        </w:rPr>
        <w:t>、</w:t>
      </w:r>
      <w:r>
        <w:rPr>
          <w:rFonts w:hint="eastAsia" w:ascii="仿宋_GB2312" w:eastAsia="仿宋_GB2312"/>
          <w:sz w:val="32"/>
          <w:szCs w:val="32"/>
        </w:rPr>
        <w:t>于瑞金、张金国</w:t>
      </w:r>
    </w:p>
    <w:p w14:paraId="2561B71A">
      <w:pPr>
        <w:ind w:firstLine="640" w:firstLineChars="200"/>
        <w:contextualSpacing/>
        <w:rPr>
          <w:rFonts w:ascii="仿宋_GB2312" w:hAnsi="黑体" w:eastAsia="仿宋_GB2312"/>
          <w:sz w:val="32"/>
          <w:szCs w:val="32"/>
        </w:rPr>
      </w:pPr>
      <w:r>
        <w:rPr>
          <w:rFonts w:hint="eastAsia" w:ascii="楷体_GB2312" w:hAnsi="楷体_GB2312" w:eastAsia="楷体_GB2312" w:cs="楷体_GB2312"/>
          <w:sz w:val="32"/>
          <w:szCs w:val="32"/>
        </w:rPr>
        <w:t>责任部门：</w:t>
      </w:r>
      <w:r>
        <w:rPr>
          <w:rFonts w:hint="eastAsia" w:ascii="仿宋_GB2312" w:eastAsia="仿宋_GB2312"/>
          <w:sz w:val="32"/>
          <w:szCs w:val="32"/>
        </w:rPr>
        <w:t>食品抽检和特食科、药检所，市场监管综合保障中心（检验检测中心），各市场监管所，</w:t>
      </w:r>
      <w:r>
        <w:rPr>
          <w:rFonts w:hint="eastAsia" w:ascii="仿宋_GB2312" w:hAnsi="黑体" w:eastAsia="仿宋_GB2312"/>
          <w:sz w:val="32"/>
          <w:szCs w:val="32"/>
        </w:rPr>
        <w:t xml:space="preserve"> </w:t>
      </w:r>
    </w:p>
    <w:p w14:paraId="660DF8B7">
      <w:pPr>
        <w:ind w:firstLine="640" w:firstLineChars="200"/>
        <w:contextualSpacing/>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坚持党建</w:t>
      </w:r>
      <w:r>
        <w:rPr>
          <w:rFonts w:ascii="黑体" w:hAnsi="黑体" w:eastAsia="黑体"/>
          <w:sz w:val="32"/>
          <w:szCs w:val="32"/>
        </w:rPr>
        <w:t>统领，</w:t>
      </w:r>
      <w:r>
        <w:rPr>
          <w:rFonts w:hint="eastAsia" w:ascii="黑体" w:hAnsi="黑体" w:eastAsia="黑体"/>
          <w:sz w:val="32"/>
          <w:szCs w:val="32"/>
        </w:rPr>
        <w:t>建设高素质队伍</w:t>
      </w:r>
    </w:p>
    <w:p w14:paraId="52817A30">
      <w:pPr>
        <w:ind w:firstLine="627" w:firstLineChars="196"/>
        <w:rPr>
          <w:rFonts w:ascii="仿宋_GB2312" w:eastAsia="仿宋_GB2312"/>
          <w:b/>
          <w:sz w:val="32"/>
          <w:szCs w:val="32"/>
        </w:rPr>
      </w:pPr>
      <w:r>
        <w:rPr>
          <w:rFonts w:hint="eastAsia" w:ascii="楷体_GB2312" w:hAnsi="黑体" w:eastAsia="楷体_GB2312"/>
          <w:sz w:val="32"/>
          <w:szCs w:val="32"/>
        </w:rPr>
        <w:t>（十四）丰富载体抓好党建。</w:t>
      </w:r>
      <w:r>
        <w:rPr>
          <w:rFonts w:hint="eastAsia" w:ascii="仿宋_GB2312" w:eastAsia="仿宋_GB2312"/>
          <w:sz w:val="32"/>
          <w:szCs w:val="32"/>
        </w:rPr>
        <w:t>坚持党建统领，坚持</w:t>
      </w:r>
      <w:r>
        <w:rPr>
          <w:rFonts w:hint="eastAsia" w:ascii="仿宋_GB2312" w:eastAsia="仿宋_GB2312"/>
          <w:sz w:val="32"/>
          <w:szCs w:val="32"/>
          <w:lang w:val="en-US" w:eastAsia="zh-CN"/>
        </w:rPr>
        <w:t>全面</w:t>
      </w:r>
      <w:bookmarkStart w:id="0" w:name="_GoBack"/>
      <w:bookmarkEnd w:id="0"/>
      <w:r>
        <w:rPr>
          <w:rFonts w:hint="eastAsia" w:ascii="仿宋_GB2312" w:eastAsia="仿宋_GB2312"/>
          <w:sz w:val="32"/>
          <w:szCs w:val="32"/>
        </w:rPr>
        <w:t>从严治党，引导党员干部深入学习习近平新时代中国特色社会主义思想，切实增强“四个意识”、坚定“四个自信”、做到“两个维护”，自觉同上级部署要求对标对表，始终保持市场监管事业正确的政治方向。</w:t>
      </w:r>
    </w:p>
    <w:p w14:paraId="2EA5DD65">
      <w:pPr>
        <w:ind w:firstLine="630" w:firstLineChars="196"/>
        <w:rPr>
          <w:rFonts w:ascii="仿宋_GB2312" w:hAnsi="Calibri" w:eastAsia="仿宋_GB2312"/>
          <w:sz w:val="32"/>
          <w:szCs w:val="32"/>
        </w:rPr>
      </w:pPr>
      <w:r>
        <w:rPr>
          <w:rFonts w:hint="eastAsia" w:ascii="仿宋_GB2312" w:eastAsia="仿宋_GB2312"/>
          <w:b/>
          <w:sz w:val="32"/>
          <w:szCs w:val="32"/>
        </w:rPr>
        <w:t>36.</w:t>
      </w:r>
      <w:r>
        <w:rPr>
          <w:rFonts w:hint="eastAsia" w:ascii="仿宋_GB2312" w:hAnsi="黑体" w:eastAsia="仿宋_GB2312"/>
          <w:b/>
          <w:sz w:val="32"/>
          <w:szCs w:val="32"/>
        </w:rPr>
        <w:t>积极创建“红旗党组织”。</w:t>
      </w:r>
      <w:r>
        <w:rPr>
          <w:rFonts w:hint="eastAsia" w:ascii="仿宋_GB2312" w:hAnsi="Calibri" w:eastAsia="仿宋_GB2312"/>
          <w:sz w:val="32"/>
          <w:szCs w:val="32"/>
        </w:rPr>
        <w:t>在打造党建展馆的基础上，对照“红旗党组织”创建标准，设计一条观摩线路，确定一套解说词，培养一名解说人员，制作一套组织架构图、制度体系和宣传展板，进行全方位打造，创建“红旗党组织”。</w:t>
      </w:r>
    </w:p>
    <w:p w14:paraId="7CECAE22">
      <w:pPr>
        <w:ind w:firstLine="630" w:firstLineChars="196"/>
        <w:rPr>
          <w:rFonts w:ascii="仿宋_GB2312" w:eastAsia="仿宋_GB2312"/>
          <w:sz w:val="32"/>
          <w:szCs w:val="32"/>
        </w:rPr>
      </w:pPr>
      <w:r>
        <w:rPr>
          <w:rFonts w:hint="eastAsia" w:ascii="仿宋_GB2312" w:hAnsi="黑体" w:eastAsia="仿宋_GB2312"/>
          <w:b/>
          <w:sz w:val="32"/>
          <w:szCs w:val="32"/>
        </w:rPr>
        <w:t>37.积极打造党建品牌。</w:t>
      </w:r>
      <w:r>
        <w:rPr>
          <w:rFonts w:hint="eastAsia" w:ascii="仿宋_GB2312" w:eastAsia="仿宋_GB2312"/>
          <w:sz w:val="32"/>
          <w:szCs w:val="32"/>
        </w:rPr>
        <w:t>以“监管为民、护航发展”为底版，进一步打造提升我局党建品牌，叫响市场监管党建口号，擦靓市场监管党建名片，使党建品牌建设成为提升党建工作水平、深化党组织标准化建设的重要抓手。</w:t>
      </w:r>
    </w:p>
    <w:p w14:paraId="608101C4">
      <w:pPr>
        <w:ind w:firstLine="630" w:firstLineChars="196"/>
        <w:rPr>
          <w:rFonts w:ascii="仿宋_GB2312" w:eastAsia="仿宋_GB2312" w:cs="仿宋_GB2312"/>
          <w:kern w:val="0"/>
          <w:sz w:val="32"/>
          <w:szCs w:val="32"/>
        </w:rPr>
      </w:pPr>
      <w:r>
        <w:rPr>
          <w:rFonts w:hint="eastAsia" w:ascii="仿宋_GB2312" w:hAnsi="黑体" w:eastAsia="仿宋_GB2312"/>
          <w:b/>
          <w:sz w:val="32"/>
          <w:szCs w:val="32"/>
        </w:rPr>
        <w:t>38.做好建党100周年系列活动。</w:t>
      </w:r>
      <w:r>
        <w:rPr>
          <w:rFonts w:hint="eastAsia" w:ascii="仿宋_GB2312" w:hAnsi="文星标宋" w:eastAsia="仿宋_GB2312" w:cs="文星标宋"/>
          <w:sz w:val="32"/>
          <w:szCs w:val="32"/>
        </w:rPr>
        <w:t>结合上级决策部署，以“庆祝建党100周年”为主题</w:t>
      </w:r>
      <w:r>
        <w:rPr>
          <w:rFonts w:hint="eastAsia" w:ascii="仿宋_GB2312" w:eastAsia="仿宋_GB2312" w:cs="仿宋_GB2312"/>
          <w:kern w:val="0"/>
          <w:sz w:val="32"/>
          <w:szCs w:val="32"/>
        </w:rPr>
        <w:t>，精心设计活动载体，创新活动形式，找准活动重点，开展系列活动，进一步教育引导党员坚守入党初心，坚定理想信念。</w:t>
      </w:r>
    </w:p>
    <w:p w14:paraId="0A03416A">
      <w:pPr>
        <w:ind w:firstLine="630" w:firstLineChars="196"/>
        <w:rPr>
          <w:rFonts w:ascii="仿宋_GB2312" w:eastAsia="仿宋_GB2312"/>
          <w:sz w:val="32"/>
          <w:szCs w:val="32"/>
        </w:rPr>
      </w:pPr>
      <w:r>
        <w:rPr>
          <w:rFonts w:hint="eastAsia" w:ascii="仿宋_GB2312" w:hAnsi="黑体" w:eastAsia="仿宋_GB2312"/>
          <w:b/>
          <w:sz w:val="32"/>
          <w:szCs w:val="32"/>
        </w:rPr>
        <w:t>39.积极创建模范机关。</w:t>
      </w:r>
      <w:r>
        <w:rPr>
          <w:rFonts w:hint="eastAsia" w:ascii="仿宋_GB2312" w:eastAsia="仿宋_GB2312"/>
          <w:sz w:val="32"/>
          <w:szCs w:val="32"/>
        </w:rPr>
        <w:t>按照上级部署安排，积极创建模范机关，以党建统领模范机关创建，以模范机关创建工作推动机关党建工作更高水平发展。积极塑造具有部门特色的党内政治文化，发挥示范辐射作用，引领机关文化建设。</w:t>
      </w:r>
    </w:p>
    <w:p w14:paraId="4979E047">
      <w:pPr>
        <w:ind w:firstLine="630" w:firstLineChars="196"/>
        <w:rPr>
          <w:rFonts w:ascii="仿宋_GB2312" w:eastAsia="仿宋_GB2312"/>
          <w:sz w:val="32"/>
          <w:szCs w:val="32"/>
        </w:rPr>
      </w:pPr>
      <w:r>
        <w:rPr>
          <w:rFonts w:hint="eastAsia" w:ascii="仿宋_GB2312" w:hAnsi="黑体" w:eastAsia="仿宋_GB2312"/>
          <w:b/>
          <w:sz w:val="32"/>
          <w:szCs w:val="32"/>
        </w:rPr>
        <w:t>40.继续开展选树典型和技能竞赛系列活动。</w:t>
      </w:r>
      <w:r>
        <w:rPr>
          <w:rFonts w:hint="eastAsia" w:ascii="仿宋_GB2312" w:eastAsia="仿宋_GB2312"/>
          <w:sz w:val="32"/>
          <w:szCs w:val="32"/>
        </w:rPr>
        <w:t>继续深入开展“优秀共产党员”“党员先锋”评选等系列活动，进一步</w:t>
      </w:r>
      <w:r>
        <w:rPr>
          <w:rFonts w:hint="eastAsia" w:ascii="仿宋_GB2312" w:eastAsia="仿宋_GB2312"/>
          <w:kern w:val="0"/>
          <w:sz w:val="32"/>
          <w:szCs w:val="32"/>
        </w:rPr>
        <w:t>发挥党组织的政治核心作用和党员的先锋模范引领作用。继续开展市场监管执法技能竞赛，</w:t>
      </w:r>
      <w:r>
        <w:rPr>
          <w:rFonts w:hint="eastAsia" w:ascii="仿宋_GB2312" w:eastAsia="仿宋_GB2312"/>
          <w:sz w:val="32"/>
          <w:szCs w:val="32"/>
        </w:rPr>
        <w:t>提升干部职工业务素质和工作能力，营造“学业务、强技能、创一流”的浓厚氛围。</w:t>
      </w:r>
    </w:p>
    <w:p w14:paraId="26B14037">
      <w:pPr>
        <w:ind w:firstLine="630" w:firstLineChars="196"/>
        <w:rPr>
          <w:rFonts w:ascii="仿宋_GB2312" w:eastAsia="仿宋_GB2312"/>
          <w:sz w:val="32"/>
          <w:szCs w:val="32"/>
        </w:rPr>
      </w:pPr>
      <w:r>
        <w:rPr>
          <w:rFonts w:hint="eastAsia" w:ascii="仿宋_GB2312" w:hAnsi="黑体" w:eastAsia="仿宋_GB2312"/>
          <w:b/>
          <w:sz w:val="32"/>
          <w:szCs w:val="32"/>
        </w:rPr>
        <w:t>41.开展多样化组织生活。</w:t>
      </w:r>
      <w:r>
        <w:rPr>
          <w:rFonts w:hint="eastAsia" w:ascii="仿宋_GB2312" w:eastAsia="仿宋_GB2312"/>
          <w:kern w:val="0"/>
          <w:sz w:val="32"/>
          <w:szCs w:val="32"/>
        </w:rPr>
        <w:t>继续开展“内联互补、外联提升”联建工作，加强与结对单位的联建共建，通过相互观摩阵地建设、交流工作，分享先进经验和做法，提升党建工作水平；继续加强各党支部的结对联建，推进党支部“三级联创”标准化规范化建设。组织党员</w:t>
      </w:r>
      <w:r>
        <w:rPr>
          <w:rFonts w:hint="eastAsia" w:ascii="仿宋_GB2312" w:eastAsia="仿宋_GB2312"/>
          <w:sz w:val="32"/>
        </w:rPr>
        <w:t>干部参观红色教育基地和廉政教育基地，强化党员干部政治责任和历史使命，进一步提升干部队伍素质和支部党建质量。</w:t>
      </w:r>
    </w:p>
    <w:p w14:paraId="145D50C2">
      <w:pPr>
        <w:ind w:firstLine="640" w:firstLineChars="200"/>
        <w:contextualSpacing/>
        <w:rPr>
          <w:rFonts w:ascii="仿宋_GB2312" w:eastAsia="仿宋_GB2312"/>
          <w:sz w:val="32"/>
          <w:szCs w:val="32"/>
        </w:rPr>
      </w:pPr>
      <w:r>
        <w:rPr>
          <w:rFonts w:hint="eastAsia" w:ascii="楷体_GB2312" w:hAnsi="楷体_GB2312" w:eastAsia="楷体_GB2312" w:cs="楷体_GB2312"/>
          <w:snapToGrid w:val="0"/>
          <w:kern w:val="0"/>
          <w:sz w:val="32"/>
          <w:szCs w:val="32"/>
        </w:rPr>
        <w:t>责任领导：</w:t>
      </w:r>
      <w:r>
        <w:rPr>
          <w:rFonts w:hint="eastAsia" w:ascii="仿宋_GB2312" w:eastAsia="仿宋_GB2312"/>
          <w:sz w:val="32"/>
          <w:szCs w:val="32"/>
        </w:rPr>
        <w:t>赵向东、王定森</w:t>
      </w:r>
    </w:p>
    <w:p w14:paraId="595538CA">
      <w:pPr>
        <w:ind w:firstLine="640" w:firstLineChars="200"/>
        <w:contextualSpacing/>
        <w:rPr>
          <w:rFonts w:ascii="仿宋_GB2312" w:eastAsia="仿宋_GB2312"/>
          <w:sz w:val="32"/>
          <w:szCs w:val="32"/>
        </w:rPr>
      </w:pPr>
      <w:r>
        <w:rPr>
          <w:rFonts w:hint="eastAsia" w:ascii="楷体_GB2312" w:hAnsi="楷体_GB2312" w:eastAsia="楷体_GB2312" w:cs="楷体_GB2312"/>
          <w:snapToGrid w:val="0"/>
          <w:kern w:val="0"/>
          <w:sz w:val="32"/>
          <w:szCs w:val="32"/>
        </w:rPr>
        <w:t>责任部门：</w:t>
      </w:r>
      <w:r>
        <w:rPr>
          <w:rFonts w:hint="eastAsia" w:ascii="仿宋_GB2312" w:eastAsia="仿宋_GB2312"/>
          <w:sz w:val="32"/>
          <w:szCs w:val="32"/>
        </w:rPr>
        <w:t>机关党委、办公室、人事科，各直属单位，各市场监管所</w:t>
      </w:r>
    </w:p>
    <w:p w14:paraId="681D4A70">
      <w:pPr>
        <w:ind w:firstLine="640" w:firstLineChars="200"/>
        <w:contextualSpacing/>
        <w:rPr>
          <w:rFonts w:ascii="仿宋_GB2312" w:hAnsi="仿宋_GB2312" w:eastAsia="仿宋_GB2312" w:cs="仿宋_GB2312"/>
          <w:b/>
          <w:sz w:val="32"/>
          <w:szCs w:val="32"/>
        </w:rPr>
      </w:pPr>
      <w:r>
        <w:rPr>
          <w:rFonts w:hint="eastAsia" w:ascii="楷体_GB2312" w:hAnsi="楷体_GB2312" w:eastAsia="楷体_GB2312" w:cs="楷体_GB2312"/>
          <w:sz w:val="32"/>
          <w:szCs w:val="32"/>
        </w:rPr>
        <w:t>（十五）强化保障提升队伍建设水平</w:t>
      </w:r>
    </w:p>
    <w:p w14:paraId="786D3424">
      <w:pPr>
        <w:ind w:firstLine="643"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42.加强教育培训保障。</w:t>
      </w:r>
      <w:r>
        <w:rPr>
          <w:rFonts w:hint="eastAsia" w:ascii="仿宋_GB2312" w:hAnsi="宋体" w:eastAsia="仿宋_GB2312" w:cs="宋体"/>
          <w:kern w:val="0"/>
          <w:sz w:val="32"/>
          <w:szCs w:val="32"/>
        </w:rPr>
        <w:t>以工作需求为导向，</w:t>
      </w:r>
      <w:r>
        <w:rPr>
          <w:rFonts w:hint="eastAsia" w:ascii="仿宋_GB2312" w:eastAsia="仿宋_GB2312"/>
          <w:sz w:val="32"/>
          <w:szCs w:val="32"/>
        </w:rPr>
        <w:t>以</w:t>
      </w:r>
      <w:r>
        <w:rPr>
          <w:rFonts w:hint="eastAsia" w:ascii="仿宋_GB2312" w:hAnsi="宋体" w:eastAsia="仿宋_GB2312"/>
          <w:sz w:val="32"/>
          <w:szCs w:val="32"/>
        </w:rPr>
        <w:t>推进业务融合为主线，</w:t>
      </w:r>
      <w:r>
        <w:rPr>
          <w:rFonts w:hint="eastAsia" w:ascii="仿宋_GB2312" w:eastAsia="仿宋_GB2312"/>
          <w:sz w:val="32"/>
          <w:szCs w:val="32"/>
        </w:rPr>
        <w:t>开设“科长讲堂”，以科长和业务骨干讲业务、讲政策、晒工作的方式，提高队伍理论素养、业务水平和履职能力。积极组织“走出去、请进来”，参加上级组织的各类培训，分批次组织外出培训和</w:t>
      </w:r>
      <w:r>
        <w:rPr>
          <w:rFonts w:hint="eastAsia" w:ascii="仿宋_GB2312" w:hAnsi="仿宋_GB2312" w:eastAsia="仿宋_GB2312" w:cs="仿宋_GB2312"/>
          <w:sz w:val="32"/>
          <w:szCs w:val="32"/>
        </w:rPr>
        <w:t>体悟实训</w:t>
      </w:r>
      <w:r>
        <w:rPr>
          <w:rFonts w:hint="eastAsia" w:ascii="仿宋_GB2312" w:eastAsia="仿宋_GB2312"/>
          <w:sz w:val="32"/>
          <w:szCs w:val="32"/>
        </w:rPr>
        <w:t>，邀请各领域专家能手授课，扩展视野。建立部门内轮岗制度，在部门内部进行换岗或者AB角互换，掌握部门内各项业务工作，重点培养“全才”和多面手</w:t>
      </w:r>
      <w:r>
        <w:rPr>
          <w:rFonts w:hint="eastAsia" w:ascii="仿宋_GB2312" w:hAnsi="仿宋_GB2312" w:eastAsia="仿宋_GB2312" w:cs="仿宋_GB2312"/>
          <w:sz w:val="32"/>
          <w:szCs w:val="32"/>
        </w:rPr>
        <w:t>，加快培育“三化一型”市场监管干部队伍。</w:t>
      </w:r>
    </w:p>
    <w:p w14:paraId="1E988BB1">
      <w:pPr>
        <w:ind w:firstLine="643" w:firstLineChars="200"/>
        <w:contextualSpacing/>
        <w:rPr>
          <w:rFonts w:ascii="仿宋_GB2312" w:eastAsia="仿宋_GB2312"/>
          <w:sz w:val="32"/>
          <w:szCs w:val="32"/>
        </w:rPr>
      </w:pPr>
      <w:r>
        <w:rPr>
          <w:rFonts w:hint="eastAsia" w:ascii="仿宋_GB2312" w:hAnsi="仿宋_GB2312" w:eastAsia="仿宋_GB2312" w:cs="仿宋_GB2312"/>
          <w:b/>
          <w:sz w:val="32"/>
          <w:szCs w:val="32"/>
        </w:rPr>
        <w:t>43.加强法治化保障。</w:t>
      </w:r>
      <w:r>
        <w:rPr>
          <w:rFonts w:hint="eastAsia" w:ascii="仿宋_GB2312" w:eastAsia="仿宋_GB2312"/>
          <w:sz w:val="32"/>
          <w:szCs w:val="32"/>
        </w:rPr>
        <w:t>做好全局执法人员的执法培训，及时分析、调研、汇总日常执法办案中发现的难点、堵点、风险点等问题，综合研判分析、请示汇报，做好执法业务指导。</w:t>
      </w:r>
      <w:r>
        <w:rPr>
          <w:rFonts w:hint="eastAsia" w:ascii="仿宋_GB2312" w:hAnsi="仿宋_GB2312" w:eastAsia="仿宋_GB2312" w:cs="仿宋_GB2312"/>
          <w:bCs/>
          <w:sz w:val="32"/>
          <w:szCs w:val="32"/>
        </w:rPr>
        <w:t>进一步做好以案释法工作。对行政复议、诉讼的案件进行全面分析，系统性的归集</w:t>
      </w:r>
      <w:r>
        <w:rPr>
          <w:rFonts w:hint="eastAsia" w:ascii="仿宋_GB2312" w:eastAsia="仿宋_GB2312"/>
          <w:sz w:val="32"/>
          <w:szCs w:val="32"/>
        </w:rPr>
        <w:t>无证无照、质量计量、特种设备、食品安全、药品安全、消费维权等易发、多发违法行为的领域的典型案例，通过以案释法对全局执法办案工作予以指导。充分利用我局开发的案件管理系统，对文书编号实行统一管理，同时依托该系统实现临期、到期提醒，确保案件不出现超期未办结、超期未申请法院强制执行等问题。采取严格案件审核、规范案卷评查、加强执法办案督导等多种方式，严格规范执法办案程序，认真查找纠正行政执法过程中程序不规范、适法不准确、裁量不严格、处理不适当等问题。严格落实旁听庭审常态化，结合实际建立工作人员旁听庭审制度，把旁听庭审活动作为党组中心组学法的重要形式，计入人员法治培训学时学分，力争全局执法人员每年能至少旁听庭审一次，实现旁听庭审活动全覆盖。</w:t>
      </w:r>
    </w:p>
    <w:p w14:paraId="72E18849">
      <w:pPr>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44.加强综合服务保障。</w:t>
      </w:r>
      <w:r>
        <w:rPr>
          <w:rFonts w:hint="eastAsia" w:ascii="仿宋_GB2312" w:eastAsia="仿宋_GB2312"/>
          <w:sz w:val="32"/>
          <w:szCs w:val="32"/>
        </w:rPr>
        <w:t>进一步优化考核办法，将“考业务”和“考人员”有机结合，将优秀名额向基层倾斜、向急难险重岗位倾斜，客观评价工作业绩。探索实施基层建设规范化，根据各级要求，尽快统一标识、规范、着装，明确基层所软硬件设施标准，打造基层市场监管样板所。用足用好各类固定资产办公设备，不断加强财务管理和内审工作，确保依法依规。</w:t>
      </w:r>
      <w:r>
        <w:rPr>
          <w:rFonts w:hint="eastAsia" w:ascii="仿宋_GB2312" w:hAnsi="仿宋_GB2312" w:eastAsia="仿宋_GB2312" w:cs="仿宋_GB2312"/>
          <w:sz w:val="32"/>
          <w:szCs w:val="32"/>
        </w:rPr>
        <w:t>聚焦中心工作和民生热点，培育挖掘宣传典型人物、典型亮点，加强宣传策划，积极联系系统内外媒体，讲好市场监管故事。充分释放新媒体传播效应，提升局公众号等新媒体影响力，传播市场监管好声音。健全舆情引导机制，对各类热点问题和重大突发事件，做到快速反应、及时引导、有效管控。</w:t>
      </w:r>
    </w:p>
    <w:p w14:paraId="5232B946">
      <w:pPr>
        <w:ind w:firstLine="640" w:firstLineChars="200"/>
        <w:contextualSpacing/>
        <w:rPr>
          <w:rFonts w:ascii="仿宋_GB2312" w:eastAsia="仿宋_GB2312"/>
          <w:sz w:val="32"/>
          <w:szCs w:val="32"/>
        </w:rPr>
      </w:pPr>
      <w:r>
        <w:rPr>
          <w:rFonts w:hint="eastAsia" w:ascii="楷体_GB2312" w:hAnsi="楷体_GB2312" w:eastAsia="楷体_GB2312" w:cs="楷体_GB2312"/>
          <w:snapToGrid w:val="0"/>
          <w:kern w:val="0"/>
          <w:sz w:val="32"/>
          <w:szCs w:val="32"/>
        </w:rPr>
        <w:t>责任领导：</w:t>
      </w:r>
      <w:r>
        <w:rPr>
          <w:rFonts w:hint="eastAsia" w:ascii="仿宋_GB2312" w:eastAsia="仿宋_GB2312"/>
          <w:sz w:val="32"/>
          <w:szCs w:val="32"/>
        </w:rPr>
        <w:t>刘瑞进</w:t>
      </w:r>
      <w:r>
        <w:rPr>
          <w:rFonts w:hint="eastAsia" w:ascii="楷体_GB2312" w:hAnsi="楷体_GB2312" w:eastAsia="楷体_GB2312" w:cs="楷体_GB2312"/>
          <w:snapToGrid w:val="0"/>
          <w:kern w:val="0"/>
          <w:sz w:val="32"/>
          <w:szCs w:val="32"/>
        </w:rPr>
        <w:t>、</w:t>
      </w:r>
      <w:r>
        <w:rPr>
          <w:rFonts w:hint="eastAsia" w:ascii="仿宋_GB2312" w:eastAsia="仿宋_GB2312"/>
          <w:sz w:val="32"/>
          <w:szCs w:val="32"/>
        </w:rPr>
        <w:t>赵向东、逄淑星、王定森、任敦文</w:t>
      </w:r>
    </w:p>
    <w:p w14:paraId="4419E223">
      <w:pPr>
        <w:ind w:firstLine="640" w:firstLineChars="200"/>
        <w:contextualSpacing/>
        <w:rPr>
          <w:rFonts w:ascii="仿宋_GB2312" w:hAnsi="黑体" w:eastAsia="仿宋_GB2312"/>
          <w:sz w:val="32"/>
          <w:szCs w:val="32"/>
        </w:rPr>
      </w:pPr>
      <w:r>
        <w:rPr>
          <w:rFonts w:hint="eastAsia" w:ascii="楷体_GB2312" w:hAnsi="楷体_GB2312" w:eastAsia="楷体_GB2312" w:cs="楷体_GB2312"/>
          <w:snapToGrid w:val="0"/>
          <w:kern w:val="0"/>
          <w:sz w:val="32"/>
          <w:szCs w:val="32"/>
        </w:rPr>
        <w:t>责任部门：</w:t>
      </w:r>
      <w:r>
        <w:rPr>
          <w:rFonts w:hint="eastAsia" w:ascii="仿宋_GB2312" w:eastAsia="仿宋_GB2312"/>
          <w:sz w:val="32"/>
          <w:szCs w:val="32"/>
        </w:rPr>
        <w:t>办公室、人事科、法规科、督查科、科技和财务科、机关党委，各直属单位，各市场监管所</w:t>
      </w:r>
    </w:p>
    <w:p w14:paraId="59C61539">
      <w:pPr>
        <w:ind w:firstLine="640" w:firstLineChars="200"/>
        <w:contextualSpacing/>
        <w:rPr>
          <w:rFonts w:ascii="仿宋_GB2312" w:hAnsi="楷体_GB2312" w:eastAsia="仿宋_GB2312" w:cs="楷体_GB2312"/>
          <w:b/>
          <w:sz w:val="32"/>
          <w:szCs w:val="32"/>
        </w:rPr>
      </w:pPr>
      <w:r>
        <w:rPr>
          <w:rFonts w:hint="eastAsia" w:ascii="楷体_GB2312" w:hAnsi="楷体_GB2312" w:eastAsia="楷体_GB2312" w:cs="楷体_GB2312"/>
          <w:sz w:val="32"/>
          <w:szCs w:val="32"/>
        </w:rPr>
        <w:t>（十六）加强纪律作风建设</w:t>
      </w:r>
    </w:p>
    <w:p w14:paraId="5BC7768A">
      <w:pPr>
        <w:ind w:firstLine="643" w:firstLineChars="200"/>
        <w:contextualSpacing/>
        <w:rPr>
          <w:rFonts w:ascii="仿宋_GB2312" w:eastAsia="仿宋_GB2312"/>
          <w:color w:val="000000"/>
          <w:sz w:val="32"/>
          <w:szCs w:val="32"/>
        </w:rPr>
      </w:pPr>
      <w:r>
        <w:rPr>
          <w:rFonts w:hint="eastAsia" w:ascii="仿宋_GB2312" w:eastAsia="仿宋_GB2312"/>
          <w:b/>
          <w:color w:val="000000"/>
          <w:sz w:val="32"/>
          <w:szCs w:val="32"/>
        </w:rPr>
        <w:t>45.压实主体责任。</w:t>
      </w:r>
      <w:r>
        <w:rPr>
          <w:rFonts w:hint="eastAsia" w:ascii="仿宋_GB2312" w:eastAsia="仿宋_GB2312"/>
          <w:color w:val="000000"/>
          <w:sz w:val="32"/>
          <w:szCs w:val="32"/>
        </w:rPr>
        <w:t>发挥党纪政纪的刚性作用，时刻绷紧“责任弦”和“廉政弦”，坚定不移扛起主体责任，及时发现问题、纠正偏差、推动工作；持之以恒落实中央八项规定精神、把纠正“四风”往深里抓、实里做，聚焦享乐奢靡、紧盯隐形变异，突出节假日，严肃查处违</w:t>
      </w:r>
      <w:r>
        <w:rPr>
          <w:rFonts w:hint="eastAsia" w:ascii="仿宋_GB2312" w:eastAsia="仿宋_GB2312"/>
          <w:color w:val="000000"/>
          <w:sz w:val="32"/>
          <w:szCs w:val="32"/>
          <w:lang w:val="en-US" w:eastAsia="zh-CN"/>
        </w:rPr>
        <w:t>反</w:t>
      </w:r>
      <w:r>
        <w:rPr>
          <w:rFonts w:hint="eastAsia" w:ascii="仿宋_GB2312" w:eastAsia="仿宋_GB2312"/>
          <w:color w:val="000000"/>
          <w:sz w:val="32"/>
          <w:szCs w:val="32"/>
        </w:rPr>
        <w:t>中央八项规定精神行为，集中整治形式主义、官僚主义，始终保持高压姿态，坚决防止不正之风；深入组织开展漠视侵害群众利益问题整治行动，以专项整治工作撬动市场监管合力，提升工作成效；精准运用监督执纪“第一种形态”，经常开展谈心谈话、批评和自我批评，让“红红脸、出出汗”成为常态。</w:t>
      </w:r>
    </w:p>
    <w:p w14:paraId="3C159709">
      <w:pPr>
        <w:ind w:firstLine="643" w:firstLineChars="200"/>
        <w:contextualSpacing/>
        <w:rPr>
          <w:rFonts w:ascii="仿宋_GB2312" w:eastAsia="仿宋_GB2312"/>
          <w:color w:val="000000"/>
          <w:sz w:val="32"/>
          <w:szCs w:val="32"/>
        </w:rPr>
      </w:pPr>
      <w:r>
        <w:rPr>
          <w:rFonts w:hint="eastAsia" w:ascii="仿宋_GB2312" w:eastAsia="仿宋_GB2312"/>
          <w:b/>
          <w:color w:val="000000"/>
          <w:sz w:val="32"/>
          <w:szCs w:val="32"/>
        </w:rPr>
        <w:t>46.强化廉政风险防控。</w:t>
      </w:r>
      <w:r>
        <w:rPr>
          <w:rFonts w:hint="eastAsia" w:ascii="仿宋_GB2312" w:eastAsia="仿宋_GB2312"/>
          <w:color w:val="000000"/>
          <w:sz w:val="32"/>
          <w:szCs w:val="32"/>
        </w:rPr>
        <w:t>积极适应当前纪检监察新情况新要求，紧密结合我局行政执法、日常市场监管、特种设备监管等工作实际，认真开展廉政风险防控排查，制定风险防控措施，加强风险预警、风险控制和动态管理，把有效防范和化解廉政风险的责任落实到每个单位、每个岗位和每个人员，促进廉政风险防控工作常态化、制度化。</w:t>
      </w:r>
    </w:p>
    <w:p w14:paraId="70727130">
      <w:pPr>
        <w:ind w:firstLine="643" w:firstLineChars="200"/>
        <w:contextualSpacing/>
        <w:rPr>
          <w:rFonts w:ascii="仿宋_GB2312" w:eastAsia="仿宋_GB2312"/>
          <w:color w:val="000000"/>
          <w:sz w:val="32"/>
          <w:szCs w:val="32"/>
        </w:rPr>
      </w:pPr>
      <w:r>
        <w:rPr>
          <w:rFonts w:hint="eastAsia" w:ascii="仿宋_GB2312" w:eastAsia="仿宋_GB2312"/>
          <w:b/>
          <w:color w:val="000000"/>
          <w:sz w:val="32"/>
          <w:szCs w:val="32"/>
        </w:rPr>
        <w:t>47.扎实推进党建谈话。</w:t>
      </w:r>
      <w:r>
        <w:rPr>
          <w:rFonts w:hint="eastAsia" w:ascii="仿宋_GB2312" w:eastAsia="仿宋_GB2312"/>
          <w:color w:val="000000"/>
          <w:sz w:val="32"/>
          <w:szCs w:val="32"/>
        </w:rPr>
        <w:t>结合区纪委廉政谈话工作，组织开展全覆盖党建谈话，班子成员带头谈，中层干部重点谈，普通党员广泛谈，压实抓党建带全局、抓党建促发展的政治责任。在组织基层所谈话的基础上，重点针对各科室党政负责人开展“按手印式”党建谈话，通过谈政治建设、谈思想建设、谈组织建设、谈作风建设、谈廉政建设，强化党性修养，加强警示提醒，推动全面从严治党覆盖到“神经末梢”，聚力打造忠诚干净担当的市场监管干部队伍。</w:t>
      </w:r>
    </w:p>
    <w:p w14:paraId="5DF57C7F">
      <w:pPr>
        <w:ind w:firstLine="643" w:firstLineChars="200"/>
        <w:contextualSpacing/>
        <w:rPr>
          <w:rFonts w:ascii="仿宋_GB2312" w:eastAsia="仿宋_GB2312"/>
          <w:color w:val="000000"/>
          <w:sz w:val="32"/>
          <w:szCs w:val="32"/>
        </w:rPr>
      </w:pPr>
      <w:r>
        <w:rPr>
          <w:rFonts w:hint="eastAsia" w:ascii="仿宋_GB2312" w:eastAsia="仿宋_GB2312"/>
          <w:b/>
          <w:color w:val="000000"/>
          <w:sz w:val="32"/>
          <w:szCs w:val="32"/>
        </w:rPr>
        <w:t>48.开展专班作风督查行动。</w:t>
      </w:r>
      <w:r>
        <w:rPr>
          <w:rFonts w:hint="eastAsia" w:ascii="仿宋_GB2312" w:eastAsia="仿宋_GB2312"/>
          <w:color w:val="000000"/>
          <w:sz w:val="32"/>
          <w:szCs w:val="32"/>
        </w:rPr>
        <w:t>借鉴运用上级巡视巡察的工作方法,向基层派驻作风督查专班，采取“听、看、查、接”四种方式，“把脉问诊”遵守党的政治纪律、组织纪律、廉洁纪律、群众纪律、工作纪律、生活纪律情况，重点对工作贯彻落实情况开展专项督查，对发现的工作问题及时分流解决，将问题矛盾消化吸附解决在基层，以督促干、以督促效，不断强化党员干部担当作为、锐意进取、拼搏实干的优良作风，推动市场监管事业发展。</w:t>
      </w:r>
    </w:p>
    <w:p w14:paraId="60539714">
      <w:pPr>
        <w:ind w:firstLine="640" w:firstLineChars="200"/>
        <w:contextualSpacing/>
        <w:rPr>
          <w:rFonts w:ascii="仿宋_GB2312" w:eastAsia="仿宋_GB2312"/>
          <w:sz w:val="32"/>
          <w:szCs w:val="32"/>
        </w:rPr>
      </w:pPr>
      <w:r>
        <w:rPr>
          <w:rFonts w:hint="eastAsia" w:ascii="楷体_GB2312" w:hAnsi="楷体_GB2312" w:eastAsia="楷体_GB2312" w:cs="楷体_GB2312"/>
          <w:snapToGrid w:val="0"/>
          <w:kern w:val="0"/>
          <w:sz w:val="32"/>
          <w:szCs w:val="32"/>
        </w:rPr>
        <w:t>责任领导：</w:t>
      </w:r>
      <w:r>
        <w:rPr>
          <w:rFonts w:hint="eastAsia" w:ascii="仿宋_GB2312" w:eastAsia="仿宋_GB2312"/>
          <w:sz w:val="32"/>
          <w:szCs w:val="32"/>
        </w:rPr>
        <w:t>局领导</w:t>
      </w:r>
    </w:p>
    <w:p w14:paraId="73250FEB">
      <w:pPr>
        <w:ind w:firstLine="640" w:firstLineChars="200"/>
        <w:contextualSpacing/>
        <w:rPr>
          <w:rFonts w:ascii="仿宋_GB2312" w:eastAsia="仿宋_GB2312"/>
          <w:color w:val="000000"/>
          <w:sz w:val="32"/>
          <w:szCs w:val="32"/>
        </w:rPr>
      </w:pPr>
      <w:r>
        <w:rPr>
          <w:rFonts w:hint="eastAsia" w:ascii="楷体_GB2312" w:hAnsi="楷体_GB2312" w:eastAsia="楷体_GB2312" w:cs="楷体_GB2312"/>
          <w:snapToGrid w:val="0"/>
          <w:kern w:val="0"/>
          <w:sz w:val="32"/>
          <w:szCs w:val="32"/>
        </w:rPr>
        <w:t>责任部门：</w:t>
      </w:r>
      <w:r>
        <w:rPr>
          <w:rFonts w:hint="eastAsia" w:ascii="仿宋_GB2312" w:eastAsia="仿宋_GB2312"/>
          <w:color w:val="000000"/>
          <w:sz w:val="32"/>
          <w:szCs w:val="32"/>
        </w:rPr>
        <w:t>机关纪委、各科室，各直属单位，各市场监管所</w:t>
      </w:r>
    </w:p>
    <w:p w14:paraId="54D56E6A">
      <w:pPr>
        <w:ind w:firstLine="640" w:firstLineChars="200"/>
        <w:contextualSpacing/>
        <w:rPr>
          <w:rFonts w:ascii="仿宋_GB2312" w:eastAsia="仿宋_GB2312"/>
          <w:color w:val="000000"/>
          <w:sz w:val="32"/>
          <w:szCs w:val="32"/>
        </w:rPr>
      </w:pPr>
    </w:p>
    <w:p w14:paraId="03CB82F4">
      <w:pPr>
        <w:spacing w:line="260" w:lineRule="exact"/>
        <w:ind w:firstLine="640" w:firstLineChars="200"/>
        <w:contextualSpacing/>
        <w:rPr>
          <w:rFonts w:ascii="仿宋_GB2312" w:eastAsia="仿宋_GB2312"/>
          <w:color w:val="000000"/>
          <w:sz w:val="32"/>
          <w:szCs w:val="32"/>
        </w:rPr>
      </w:pPr>
    </w:p>
    <w:p w14:paraId="1D630905">
      <w:pPr>
        <w:spacing w:line="260" w:lineRule="exact"/>
        <w:ind w:firstLine="640" w:firstLineChars="200"/>
        <w:contextualSpacing/>
        <w:rPr>
          <w:rFonts w:ascii="仿宋_GB2312" w:eastAsia="仿宋_GB2312"/>
          <w:color w:val="000000"/>
          <w:sz w:val="32"/>
          <w:szCs w:val="32"/>
        </w:rPr>
      </w:pPr>
    </w:p>
    <w:p w14:paraId="71E94A74">
      <w:pPr>
        <w:spacing w:line="260" w:lineRule="exact"/>
        <w:ind w:firstLine="640" w:firstLineChars="200"/>
        <w:contextualSpacing/>
        <w:rPr>
          <w:rFonts w:ascii="仿宋_GB2312" w:eastAsia="仿宋_GB2312"/>
          <w:color w:val="000000"/>
          <w:sz w:val="32"/>
          <w:szCs w:val="32"/>
        </w:rPr>
      </w:pPr>
    </w:p>
    <w:p w14:paraId="06ED5840">
      <w:pPr>
        <w:spacing w:line="260" w:lineRule="exact"/>
        <w:ind w:firstLine="640" w:firstLineChars="200"/>
        <w:contextualSpacing/>
        <w:rPr>
          <w:rFonts w:ascii="仿宋_GB2312" w:eastAsia="仿宋_GB2312"/>
          <w:color w:val="000000"/>
          <w:sz w:val="32"/>
          <w:szCs w:val="32"/>
        </w:rPr>
      </w:pPr>
    </w:p>
    <w:p w14:paraId="56DD281A">
      <w:pPr>
        <w:spacing w:line="260" w:lineRule="exact"/>
        <w:ind w:firstLine="640" w:firstLineChars="200"/>
        <w:contextualSpacing/>
        <w:rPr>
          <w:rFonts w:ascii="仿宋_GB2312" w:eastAsia="仿宋_GB2312"/>
          <w:color w:val="000000"/>
          <w:sz w:val="32"/>
          <w:szCs w:val="32"/>
        </w:rPr>
      </w:pPr>
    </w:p>
    <w:p w14:paraId="660EEC09">
      <w:pPr>
        <w:spacing w:line="260" w:lineRule="exact"/>
        <w:ind w:firstLine="640" w:firstLineChars="200"/>
        <w:contextualSpacing/>
        <w:rPr>
          <w:rFonts w:ascii="仿宋_GB2312" w:eastAsia="仿宋_GB2312"/>
          <w:color w:val="000000"/>
          <w:sz w:val="32"/>
          <w:szCs w:val="32"/>
        </w:rPr>
      </w:pPr>
    </w:p>
    <w:p w14:paraId="3D1FDD11">
      <w:pPr>
        <w:spacing w:line="260" w:lineRule="exact"/>
        <w:ind w:firstLine="640" w:firstLineChars="200"/>
        <w:contextualSpacing/>
        <w:rPr>
          <w:rFonts w:ascii="仿宋_GB2312" w:eastAsia="仿宋_GB2312"/>
          <w:color w:val="000000"/>
          <w:sz w:val="32"/>
          <w:szCs w:val="32"/>
        </w:rPr>
      </w:pPr>
    </w:p>
    <w:p w14:paraId="66A8C608">
      <w:pPr>
        <w:spacing w:line="260" w:lineRule="exact"/>
        <w:ind w:firstLine="640" w:firstLineChars="200"/>
        <w:contextualSpacing/>
        <w:rPr>
          <w:rFonts w:ascii="仿宋_GB2312" w:eastAsia="仿宋_GB2312"/>
          <w:color w:val="000000"/>
          <w:sz w:val="32"/>
          <w:szCs w:val="32"/>
        </w:rPr>
      </w:pPr>
    </w:p>
    <w:p w14:paraId="7A894D16">
      <w:pPr>
        <w:spacing w:line="260" w:lineRule="exact"/>
        <w:ind w:firstLine="640" w:firstLineChars="200"/>
        <w:contextualSpacing/>
        <w:rPr>
          <w:rFonts w:ascii="仿宋_GB2312" w:eastAsia="仿宋_GB2312"/>
          <w:color w:val="000000"/>
          <w:sz w:val="32"/>
          <w:szCs w:val="32"/>
        </w:rPr>
      </w:pPr>
    </w:p>
    <w:p w14:paraId="2FC9B700">
      <w:pPr>
        <w:spacing w:line="260" w:lineRule="exact"/>
        <w:ind w:firstLine="640" w:firstLineChars="200"/>
        <w:contextualSpacing/>
        <w:rPr>
          <w:rFonts w:ascii="仿宋_GB2312" w:eastAsia="仿宋_GB2312"/>
          <w:color w:val="000000"/>
          <w:sz w:val="32"/>
          <w:szCs w:val="32"/>
        </w:rPr>
      </w:pPr>
    </w:p>
    <w:p w14:paraId="11932BA3">
      <w:pPr>
        <w:spacing w:line="260" w:lineRule="exact"/>
        <w:ind w:firstLine="640" w:firstLineChars="200"/>
        <w:contextualSpacing/>
        <w:rPr>
          <w:rFonts w:ascii="仿宋_GB2312" w:eastAsia="仿宋_GB2312"/>
          <w:color w:val="000000"/>
          <w:sz w:val="32"/>
          <w:szCs w:val="32"/>
        </w:rPr>
      </w:pPr>
    </w:p>
    <w:p w14:paraId="4684B0D0">
      <w:pPr>
        <w:spacing w:line="260" w:lineRule="exact"/>
        <w:ind w:firstLine="640" w:firstLineChars="200"/>
        <w:contextualSpacing/>
        <w:rPr>
          <w:rFonts w:ascii="仿宋_GB2312" w:eastAsia="仿宋_GB2312"/>
          <w:color w:val="000000"/>
          <w:sz w:val="32"/>
          <w:szCs w:val="32"/>
        </w:rPr>
      </w:pPr>
    </w:p>
    <w:p w14:paraId="4D5AAF1B">
      <w:pPr>
        <w:spacing w:line="260" w:lineRule="exact"/>
        <w:ind w:firstLine="640" w:firstLineChars="200"/>
        <w:contextualSpacing/>
        <w:rPr>
          <w:rFonts w:ascii="仿宋_GB2312" w:eastAsia="仿宋_GB2312"/>
          <w:color w:val="000000"/>
          <w:sz w:val="32"/>
          <w:szCs w:val="32"/>
        </w:rPr>
      </w:pPr>
    </w:p>
    <w:p w14:paraId="39D6DCD2">
      <w:pPr>
        <w:spacing w:line="260" w:lineRule="exact"/>
        <w:ind w:firstLine="640" w:firstLineChars="200"/>
        <w:contextualSpacing/>
        <w:rPr>
          <w:rFonts w:ascii="仿宋_GB2312" w:eastAsia="仿宋_GB2312"/>
          <w:color w:val="000000"/>
          <w:sz w:val="32"/>
          <w:szCs w:val="32"/>
        </w:rPr>
      </w:pPr>
    </w:p>
    <w:p w14:paraId="3200FE57">
      <w:pPr>
        <w:spacing w:line="260" w:lineRule="exact"/>
        <w:ind w:firstLine="640" w:firstLineChars="200"/>
        <w:contextualSpacing/>
        <w:rPr>
          <w:rFonts w:ascii="仿宋_GB2312" w:eastAsia="仿宋_GB2312"/>
          <w:color w:val="000000"/>
          <w:sz w:val="32"/>
          <w:szCs w:val="32"/>
        </w:rPr>
      </w:pPr>
    </w:p>
    <w:p w14:paraId="7761E349">
      <w:pPr>
        <w:spacing w:line="260" w:lineRule="exact"/>
        <w:ind w:firstLine="640" w:firstLineChars="200"/>
        <w:contextualSpacing/>
        <w:rPr>
          <w:rFonts w:ascii="仿宋_GB2312" w:eastAsia="仿宋_GB2312"/>
          <w:color w:val="000000"/>
          <w:sz w:val="32"/>
          <w:szCs w:val="32"/>
        </w:rPr>
      </w:pPr>
    </w:p>
    <w:p w14:paraId="4B5B3916">
      <w:pPr>
        <w:spacing w:line="260" w:lineRule="exact"/>
        <w:ind w:firstLine="640" w:firstLineChars="200"/>
        <w:contextualSpacing/>
        <w:rPr>
          <w:rFonts w:ascii="仿宋_GB2312" w:eastAsia="仿宋_GB2312"/>
          <w:color w:val="000000"/>
          <w:sz w:val="32"/>
          <w:szCs w:val="32"/>
        </w:rPr>
      </w:pPr>
    </w:p>
    <w:p w14:paraId="355674B8">
      <w:pPr>
        <w:spacing w:line="260" w:lineRule="exact"/>
        <w:ind w:firstLine="640" w:firstLineChars="200"/>
        <w:contextualSpacing/>
        <w:rPr>
          <w:rFonts w:ascii="仿宋_GB2312" w:eastAsia="仿宋_GB2312"/>
          <w:color w:val="000000"/>
          <w:sz w:val="32"/>
          <w:szCs w:val="32"/>
        </w:rPr>
      </w:pPr>
    </w:p>
    <w:p w14:paraId="49AF0858">
      <w:pPr>
        <w:ind w:firstLine="640" w:firstLineChars="200"/>
        <w:contextualSpacing/>
        <w:rPr>
          <w:rFonts w:ascii="仿宋_GB2312" w:eastAsia="仿宋_GB2312"/>
          <w:color w:val="000000"/>
          <w:sz w:val="32"/>
          <w:szCs w:val="32"/>
        </w:rPr>
      </w:pPr>
    </w:p>
    <w:p w14:paraId="05436FE9">
      <w:pPr>
        <w:ind w:firstLine="280" w:firstLineChars="100"/>
        <w:rPr>
          <w:rFonts w:ascii="仿宋_GB2312" w:eastAsia="仿宋_GB2312"/>
          <w:sz w:val="28"/>
          <w:szCs w:val="28"/>
        </w:rPr>
      </w:pPr>
      <w:r>
        <w:rPr>
          <w:rFonts w:ascii="仿宋_GB2312" w:eastAsia="仿宋_GB2312"/>
          <w:sz w:val="28"/>
          <w:szCs w:val="28"/>
        </w:rPr>
        <w:pict>
          <v:line id="_x0000_s1027" o:spid="_x0000_s1027" o:spt="20" style="position:absolute;left:0pt;margin-left:0pt;margin-top:33.85pt;height:0pt;width:440pt;z-index:251660288;mso-width-relative:page;mso-height-relative:page;" coordsize="21600,21600">
            <v:path arrowok="t"/>
            <v:fill focussize="0,0"/>
            <v:stroke weight="1pt"/>
            <v:imagedata o:title=""/>
            <o:lock v:ext="edit"/>
          </v:line>
        </w:pict>
      </w:r>
      <w:r>
        <w:rPr>
          <w:rFonts w:ascii="仿宋_GB2312" w:eastAsia="仿宋_GB2312"/>
          <w:sz w:val="28"/>
          <w:szCs w:val="28"/>
        </w:rPr>
        <w:pict>
          <v:line id="_x0000_s1028" o:spid="_x0000_s1028" o:spt="20" style="position:absolute;left:0pt;margin-left:0pt;margin-top:1.95pt;height:0pt;width:440pt;z-index:251661312;mso-width-relative:page;mso-height-relative:page;" coordsize="21600,21600">
            <v:path arrowok="t"/>
            <v:fill focussize="0,0"/>
            <v:stroke weight="1pt"/>
            <v:imagedata o:title=""/>
            <o:lock v:ext="edit"/>
          </v:line>
        </w:pict>
      </w:r>
      <w:r>
        <w:rPr>
          <w:rFonts w:hint="eastAsia" w:ascii="仿宋_GB2312" w:eastAsia="仿宋_GB2312"/>
          <w:color w:val="000000"/>
          <w:sz w:val="28"/>
          <w:szCs w:val="28"/>
        </w:rPr>
        <w:t>中共青岛西海岸新区市场监督管理局党组   2021年2月28日印发</w:t>
      </w:r>
    </w:p>
    <w:sectPr>
      <w:footerReference r:id="rId5" w:type="default"/>
      <w:footerReference r:id="rId6"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91224"/>
      <w:docPartObj>
        <w:docPartGallery w:val="autotext"/>
      </w:docPartObj>
    </w:sdtPr>
    <w:sdtContent>
      <w:p w14:paraId="19EFFFE0">
        <w:pPr>
          <w:pStyle w:val="6"/>
          <w:ind w:right="18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23096BF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BDAD">
    <w:pPr>
      <w:pStyle w:val="6"/>
      <w:ind w:firstLine="280" w:firstLineChars="100"/>
    </w:pPr>
    <w:r>
      <w:rPr>
        <w:rFonts w:hint="eastAsia" w:asciiTheme="minorEastAsia" w:hAnsiTheme="minorEastAsia"/>
        <w:sz w:val="28"/>
        <w:szCs w:val="28"/>
      </w:rPr>
      <w:t xml:space="preserve">— </w:t>
    </w:r>
    <w:sdt>
      <w:sdtPr>
        <w:rPr>
          <w:rFonts w:asciiTheme="minorEastAsia" w:hAnsiTheme="minorEastAsia"/>
          <w:sz w:val="28"/>
          <w:szCs w:val="28"/>
        </w:rPr>
        <w:id w:val="280127002"/>
        <w:docPartObj>
          <w:docPartGallery w:val="autotext"/>
        </w:docPartObj>
      </w:sdtPr>
      <w:sdtEndPr>
        <w:rPr>
          <w:rFonts w:asciiTheme="minorHAnsi" w:hAnsiTheme="minorHAnsi"/>
          <w:sz w:val="18"/>
          <w:szCs w:val="1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14:paraId="3BC0AFD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00D0"/>
    <w:rsid w:val="00010A41"/>
    <w:rsid w:val="00051D62"/>
    <w:rsid w:val="00052DBF"/>
    <w:rsid w:val="00052FC0"/>
    <w:rsid w:val="000B6EE7"/>
    <w:rsid w:val="000C0558"/>
    <w:rsid w:val="00113CC9"/>
    <w:rsid w:val="001375FD"/>
    <w:rsid w:val="0017315C"/>
    <w:rsid w:val="00184D19"/>
    <w:rsid w:val="001D0E6A"/>
    <w:rsid w:val="001F1F2F"/>
    <w:rsid w:val="001F7A1C"/>
    <w:rsid w:val="002542DD"/>
    <w:rsid w:val="0026423F"/>
    <w:rsid w:val="0029350F"/>
    <w:rsid w:val="00300864"/>
    <w:rsid w:val="00350DCE"/>
    <w:rsid w:val="0035477A"/>
    <w:rsid w:val="003548A9"/>
    <w:rsid w:val="003574E7"/>
    <w:rsid w:val="00381E91"/>
    <w:rsid w:val="003920CB"/>
    <w:rsid w:val="00392F4F"/>
    <w:rsid w:val="003936BF"/>
    <w:rsid w:val="003A08C6"/>
    <w:rsid w:val="003A155A"/>
    <w:rsid w:val="003B2471"/>
    <w:rsid w:val="003D63B6"/>
    <w:rsid w:val="00407F10"/>
    <w:rsid w:val="00416872"/>
    <w:rsid w:val="00447A94"/>
    <w:rsid w:val="00453701"/>
    <w:rsid w:val="00480DE6"/>
    <w:rsid w:val="004A7438"/>
    <w:rsid w:val="004C6805"/>
    <w:rsid w:val="004F3D66"/>
    <w:rsid w:val="00501864"/>
    <w:rsid w:val="00503A1A"/>
    <w:rsid w:val="0051215F"/>
    <w:rsid w:val="00526349"/>
    <w:rsid w:val="00564263"/>
    <w:rsid w:val="00571B1B"/>
    <w:rsid w:val="00593ED2"/>
    <w:rsid w:val="005B49A1"/>
    <w:rsid w:val="005B7804"/>
    <w:rsid w:val="005C2E86"/>
    <w:rsid w:val="0062741B"/>
    <w:rsid w:val="006743F5"/>
    <w:rsid w:val="0069607E"/>
    <w:rsid w:val="006C47E1"/>
    <w:rsid w:val="006D02E6"/>
    <w:rsid w:val="006F5B0A"/>
    <w:rsid w:val="007000F7"/>
    <w:rsid w:val="007157D1"/>
    <w:rsid w:val="00737950"/>
    <w:rsid w:val="00766277"/>
    <w:rsid w:val="00793DB3"/>
    <w:rsid w:val="007E5A16"/>
    <w:rsid w:val="007F37EC"/>
    <w:rsid w:val="008439D9"/>
    <w:rsid w:val="00852E04"/>
    <w:rsid w:val="008554D1"/>
    <w:rsid w:val="008857BE"/>
    <w:rsid w:val="00886D18"/>
    <w:rsid w:val="0088714A"/>
    <w:rsid w:val="008C6339"/>
    <w:rsid w:val="008D1210"/>
    <w:rsid w:val="00916B5E"/>
    <w:rsid w:val="00921428"/>
    <w:rsid w:val="00932781"/>
    <w:rsid w:val="009A1DA3"/>
    <w:rsid w:val="009A691E"/>
    <w:rsid w:val="009C2949"/>
    <w:rsid w:val="009C738B"/>
    <w:rsid w:val="009D5C8D"/>
    <w:rsid w:val="009F5B46"/>
    <w:rsid w:val="00A000C2"/>
    <w:rsid w:val="00A170A1"/>
    <w:rsid w:val="00A33F0E"/>
    <w:rsid w:val="00A572E2"/>
    <w:rsid w:val="00B138C6"/>
    <w:rsid w:val="00B24486"/>
    <w:rsid w:val="00B310C6"/>
    <w:rsid w:val="00B332DE"/>
    <w:rsid w:val="00B660F9"/>
    <w:rsid w:val="00B674B4"/>
    <w:rsid w:val="00B72B02"/>
    <w:rsid w:val="00BE2DDF"/>
    <w:rsid w:val="00C24F60"/>
    <w:rsid w:val="00C40893"/>
    <w:rsid w:val="00C93323"/>
    <w:rsid w:val="00CA3CF8"/>
    <w:rsid w:val="00CA562A"/>
    <w:rsid w:val="00D4615D"/>
    <w:rsid w:val="00D76408"/>
    <w:rsid w:val="00D9121B"/>
    <w:rsid w:val="00DC0EBE"/>
    <w:rsid w:val="00DE00D0"/>
    <w:rsid w:val="00EE5C4E"/>
    <w:rsid w:val="00EE7B20"/>
    <w:rsid w:val="00F1148C"/>
    <w:rsid w:val="00F912B8"/>
    <w:rsid w:val="00FA6A11"/>
    <w:rsid w:val="00FD490D"/>
    <w:rsid w:val="00FE5D4A"/>
    <w:rsid w:val="00FF3F0D"/>
    <w:rsid w:val="225D2839"/>
    <w:rsid w:val="2BCC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semiHidden/>
    <w:unhideWhenUsed/>
    <w:uiPriority w:val="99"/>
    <w:pPr>
      <w:spacing w:after="120"/>
    </w:pPr>
  </w:style>
  <w:style w:type="paragraph" w:styleId="3">
    <w:name w:val="Body Text Indent"/>
    <w:basedOn w:val="1"/>
    <w:link w:val="19"/>
    <w:semiHidden/>
    <w:unhideWhenUsed/>
    <w:uiPriority w:val="99"/>
    <w:pPr>
      <w:spacing w:after="120"/>
      <w:ind w:left="420" w:leftChars="200"/>
    </w:pPr>
  </w:style>
  <w:style w:type="paragraph" w:styleId="4">
    <w:name w:val="Date"/>
    <w:basedOn w:val="1"/>
    <w:next w:val="1"/>
    <w:link w:val="17"/>
    <w:semiHidden/>
    <w:unhideWhenUsed/>
    <w:uiPriority w:val="99"/>
    <w:pPr>
      <w:ind w:left="100" w:leftChars="2500"/>
    </w:pPr>
  </w:style>
  <w:style w:type="paragraph" w:styleId="5">
    <w:name w:val="Balloon Text"/>
    <w:basedOn w:val="1"/>
    <w:link w:val="15"/>
    <w:semiHidden/>
    <w:unhideWhenUsed/>
    <w:uiPriority w:val="99"/>
    <w:pPr>
      <w:spacing w:line="240" w:lineRule="auto"/>
    </w:pPr>
    <w:rPr>
      <w:sz w:val="18"/>
      <w:szCs w:val="18"/>
    </w:rPr>
  </w:style>
  <w:style w:type="paragraph" w:styleId="6">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link w:val="16"/>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9">
    <w:name w:val="Body Text First Indent 2"/>
    <w:basedOn w:val="2"/>
    <w:link w:val="20"/>
    <w:uiPriority w:val="0"/>
    <w:pPr>
      <w:adjustRightInd w:val="0"/>
      <w:spacing w:after="0" w:line="578" w:lineRule="exact"/>
      <w:ind w:firstLine="640" w:firstLineChars="200"/>
      <w:textAlignment w:val="center"/>
    </w:pPr>
    <w:rPr>
      <w:rFonts w:eastAsia="仿宋_GB2312"/>
      <w:sz w:val="32"/>
      <w:szCs w:val="24"/>
    </w:rPr>
  </w:style>
  <w:style w:type="table" w:styleId="11">
    <w:name w:val="Table Grid"/>
    <w:basedOn w:val="10"/>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uiPriority w:val="99"/>
    <w:rPr>
      <w:sz w:val="18"/>
      <w:szCs w:val="18"/>
    </w:rPr>
  </w:style>
  <w:style w:type="character" w:customStyle="1" w:styleId="14">
    <w:name w:val="页脚 Char"/>
    <w:basedOn w:val="12"/>
    <w:link w:val="6"/>
    <w:uiPriority w:val="99"/>
    <w:rPr>
      <w:sz w:val="18"/>
      <w:szCs w:val="18"/>
    </w:rPr>
  </w:style>
  <w:style w:type="character" w:customStyle="1" w:styleId="15">
    <w:name w:val="批注框文本 Char"/>
    <w:basedOn w:val="12"/>
    <w:link w:val="5"/>
    <w:semiHidden/>
    <w:uiPriority w:val="99"/>
    <w:rPr>
      <w:sz w:val="18"/>
      <w:szCs w:val="18"/>
    </w:rPr>
  </w:style>
  <w:style w:type="character" w:customStyle="1" w:styleId="16">
    <w:name w:val="HTML 预设格式 Char"/>
    <w:basedOn w:val="12"/>
    <w:link w:val="8"/>
    <w:uiPriority w:val="0"/>
    <w:rPr>
      <w:rFonts w:ascii="宋体" w:hAnsi="宋体" w:eastAsia="宋体" w:cs="宋体"/>
      <w:kern w:val="0"/>
      <w:sz w:val="24"/>
      <w:szCs w:val="24"/>
    </w:rPr>
  </w:style>
  <w:style w:type="character" w:customStyle="1" w:styleId="17">
    <w:name w:val="日期 Char"/>
    <w:basedOn w:val="12"/>
    <w:link w:val="4"/>
    <w:semiHidden/>
    <w:uiPriority w:val="99"/>
  </w:style>
  <w:style w:type="character" w:customStyle="1" w:styleId="18">
    <w:name w:val="正文首行缩进 2 Char"/>
    <w:basedOn w:val="12"/>
    <w:link w:val="9"/>
    <w:uiPriority w:val="0"/>
    <w:rPr>
      <w:rFonts w:eastAsia="仿宋_GB2312"/>
      <w:sz w:val="32"/>
      <w:szCs w:val="24"/>
    </w:rPr>
  </w:style>
  <w:style w:type="character" w:customStyle="1" w:styleId="19">
    <w:name w:val="正文文本缩进 Char"/>
    <w:basedOn w:val="12"/>
    <w:link w:val="3"/>
    <w:semiHidden/>
    <w:uiPriority w:val="99"/>
  </w:style>
  <w:style w:type="character" w:customStyle="1" w:styleId="20">
    <w:name w:val="正文首行缩进 2 Char1"/>
    <w:basedOn w:val="19"/>
    <w:link w:val="9"/>
    <w:semiHidden/>
    <w:uiPriority w:val="99"/>
  </w:style>
  <w:style w:type="character" w:customStyle="1" w:styleId="21">
    <w:name w:val="正文文本 Char"/>
    <w:basedOn w:val="12"/>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1816</Words>
  <Characters>10356</Characters>
  <Lines>86</Lines>
  <Paragraphs>24</Paragraphs>
  <TotalTime>1</TotalTime>
  <ScaleCrop>false</ScaleCrop>
  <LinksUpToDate>false</LinksUpToDate>
  <CharactersWithSpaces>12148</CharactersWithSpaces>
  <Application>WPS Office_12.8.2.17149_F1E327BC-269C-435d-A152-05C5408002CA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2021-03-01T08:09:00Z</dcterms:created>
  <dc:creator>gs</dc:creator>
  <cp:lastModifiedBy>Laptop</cp:lastModifiedBy>
  <cp:lastPrinted>2019-01-19T06:45:00Z</cp:lastPrinted>
  <dcterms:modified xsi:type="dcterms:W3CDTF">2025-03-27T12:17:43Z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EF84B5CF371948EB9D34FE47DB548564_12</vt:lpwstr>
  </property>
</Properties>
</file>