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835B1">
      <w:pPr>
        <w:pStyle w:val="5"/>
        <w:widowControl/>
        <w:wordWrap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eastAsia="仿宋_GB2312" w:cs="仿宋_GB2312"/>
          <w:sz w:val="31"/>
          <w:szCs w:val="31"/>
          <w:highlight w:val="none"/>
        </w:rPr>
      </w:pPr>
    </w:p>
    <w:p w14:paraId="5295FD3A">
      <w:pPr>
        <w:spacing w:line="560" w:lineRule="exact"/>
        <w:jc w:val="left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ascii="黑体" w:eastAsia="黑体"/>
          <w:color w:val="auto"/>
          <w:sz w:val="32"/>
          <w:szCs w:val="32"/>
          <w:highlight w:val="none"/>
        </w:rPr>
        <w:t>1</w:t>
      </w:r>
    </w:p>
    <w:tbl>
      <w:tblPr>
        <w:tblStyle w:val="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417"/>
        <w:gridCol w:w="979"/>
        <w:gridCol w:w="2078"/>
      </w:tblGrid>
      <w:tr w14:paraId="71D3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0" w:type="dxa"/>
            <w:gridSpan w:val="4"/>
            <w:tcBorders>
              <w:bottom w:val="single" w:color="auto" w:sz="4" w:space="0"/>
            </w:tcBorders>
            <w:vAlign w:val="center"/>
          </w:tcPr>
          <w:p w14:paraId="56078332">
            <w:pPr>
              <w:widowControl/>
              <w:jc w:val="center"/>
              <w:rPr>
                <w:rFonts w:ascii="方正小标宋_GBK" w:hAnsi="宋体" w:eastAsia="方正小标宋_GBK" w:cs="宋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sz w:val="36"/>
                <w:szCs w:val="36"/>
                <w:highlight w:val="none"/>
              </w:rPr>
              <w:t>“绿色门槛”制度落实企业自查表</w:t>
            </w:r>
          </w:p>
        </w:tc>
      </w:tr>
      <w:tr w14:paraId="52A7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30C7">
            <w:pPr>
              <w:widowControl/>
              <w:jc w:val="left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69FAA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88615">
            <w:pPr>
              <w:widowControl/>
              <w:jc w:val="left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统一社会信用代码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04B5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71AD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5863D0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请企业自查是否存在以下情形（审查时间为截至项目申报日两年内）</w:t>
            </w:r>
          </w:p>
        </w:tc>
      </w:tr>
      <w:tr w14:paraId="5B81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1A31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C8B5B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审查事项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197E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是否存在该情形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8E2B6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</w:rPr>
              <w:t>情况说明</w:t>
            </w:r>
          </w:p>
        </w:tc>
      </w:tr>
      <w:tr w14:paraId="0AA6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DE04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8200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因污染环境被生态环境部门挂牌督办，未按时整改的企业等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F2A7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是</w:t>
            </w: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否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30B40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如“是”，请填写具体违法违规行为，注明处罚时间、处罚原因、是否整改等。</w:t>
            </w:r>
          </w:p>
        </w:tc>
      </w:tr>
      <w:tr w14:paraId="6895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5618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739B2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C17AE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0D678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28D1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A000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3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8B8C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经生态环境主管部门、公安部门认定或经法院判决，构成环境违法违规的企业。主要包括：因为违规用能、环境违法构成环境犯罪的企业；非法排放、倾倒、处置水污染物、大气污染物或者危险废物的企业；篡改、伪造自行监测数据，排放各类污染物的企业等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69F1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8712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0287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4E56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4</w:t>
            </w:r>
          </w:p>
        </w:tc>
        <w:tc>
          <w:tcPr>
            <w:tcW w:w="5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AEFD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      </w:r>
            <w:r>
              <w:rPr>
                <w:rFonts w:ascii="宋体" w:hAnsi="宋体" w:cs="宋体"/>
                <w:color w:val="auto"/>
                <w:sz w:val="22"/>
                <w:highlight w:val="none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1E681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57AF8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4214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98AB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5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02DE4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被列入国家和地方企业环境信用“黑名单”的企业。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BCDAA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FD8EE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6921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507B">
            <w:pPr>
              <w:widowControl/>
              <w:jc w:val="center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highlight w:val="none"/>
              </w:rPr>
              <w:t>6</w:t>
            </w:r>
          </w:p>
        </w:tc>
        <w:tc>
          <w:tcPr>
            <w:tcW w:w="5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92C1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经业务主管部门认定的其他应列入不予支持范围的企业。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81D92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A79A1">
            <w:pPr>
              <w:widowControl/>
              <w:jc w:val="left"/>
              <w:rPr>
                <w:rFonts w:asci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　</w:t>
            </w:r>
          </w:p>
        </w:tc>
      </w:tr>
      <w:tr w14:paraId="2D71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AC5CA7">
            <w:pPr>
              <w:widowControl/>
              <w:ind w:firstLine="450"/>
              <w:jc w:val="left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绿色门槛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制度落实查询，我单位不存在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绿色门槛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制度不予支持的情况。</w:t>
            </w:r>
          </w:p>
          <w:p w14:paraId="70ADF370"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auto"/>
                <w:sz w:val="24"/>
                <w:highlight w:val="none"/>
              </w:rPr>
            </w:pPr>
          </w:p>
          <w:p w14:paraId="508A4131"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auto"/>
                <w:sz w:val="24"/>
                <w:highlight w:val="none"/>
              </w:rPr>
            </w:pPr>
          </w:p>
          <w:p w14:paraId="67DB293B">
            <w:pPr>
              <w:ind w:firstLine="2640" w:firstLineChars="1100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申报单位（盖章）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                     </w:t>
            </w:r>
          </w:p>
          <w:p w14:paraId="054EA6BF">
            <w:pPr>
              <w:adjustRightInd w:val="0"/>
              <w:snapToGrid w:val="0"/>
              <w:ind w:firstLine="400" w:firstLineChars="200"/>
              <w:jc w:val="center"/>
              <w:rPr>
                <w:rFonts w:asci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spacing w:val="-20"/>
                <w:sz w:val="24"/>
                <w:highlight w:val="none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</w:p>
        </w:tc>
      </w:tr>
    </w:tbl>
    <w:p w14:paraId="387F11B2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6EDC0ED7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617840DC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2C80CF1B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  <w:bookmarkStart w:id="0" w:name="_GoBack"/>
      <w:bookmarkEnd w:id="0"/>
    </w:p>
    <w:p w14:paraId="1A6603FC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1936FD35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11E0DBA1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p w14:paraId="1CD3238C">
      <w:pPr>
        <w:spacing w:line="560" w:lineRule="exact"/>
        <w:jc w:val="left"/>
        <w:rPr>
          <w:rFonts w:ascii="黑体" w:eastAsia="黑体"/>
          <w:color w:val="auto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MwZDZmYjVlMGVjZWNmZWUzZmEzNTYxOTRkMjlkNDUifQ=="/>
  </w:docVars>
  <w:rsids>
    <w:rsidRoot w:val="100D43C6"/>
    <w:rsid w:val="09E3076D"/>
    <w:rsid w:val="100D43C6"/>
    <w:rsid w:val="33D2B20A"/>
    <w:rsid w:val="357C4150"/>
    <w:rsid w:val="3FEF0CAB"/>
    <w:rsid w:val="4377A99C"/>
    <w:rsid w:val="4DCA52CD"/>
    <w:rsid w:val="4EEF177C"/>
    <w:rsid w:val="5A101F46"/>
    <w:rsid w:val="6D7A5EA3"/>
    <w:rsid w:val="6E6FFAA9"/>
    <w:rsid w:val="7B16599E"/>
    <w:rsid w:val="7FF9ACF9"/>
    <w:rsid w:val="95DFA789"/>
    <w:rsid w:val="BEEFC56D"/>
    <w:rsid w:val="BF79C766"/>
    <w:rsid w:val="BFC86C9C"/>
    <w:rsid w:val="DFAB5DBB"/>
    <w:rsid w:val="E5AC32EC"/>
    <w:rsid w:val="EDC9D2E5"/>
    <w:rsid w:val="FAD93C4E"/>
    <w:rsid w:val="FD5F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2538</Words>
  <Characters>2662</Characters>
  <Lines>0</Lines>
  <Paragraphs>0</Paragraphs>
  <TotalTime>31</TotalTime>
  <ScaleCrop>false</ScaleCrop>
  <LinksUpToDate>false</LinksUpToDate>
  <CharactersWithSpaces>2877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2024-04-12T18:32:00Z</dcterms:created>
  <dc:creator>Hp</dc:creator>
  <cp:lastModifiedBy>刘勃</cp:lastModifiedBy>
  <cp:lastPrinted>2024-11-22T22:44:00Z</cp:lastPrinted>
  <dcterms:modified xsi:type="dcterms:W3CDTF">2024-11-26T12:37:40Z</dcterms:modified>
  <dc:title>关于2024年度青岛市科技创新券兑付申请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51B95311D7BA4513B24BB26CF140F53E_13</vt:lpwstr>
  </property>
</Properties>
</file>