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D5E0" w14:textId="77777777" w:rsidR="005E627B" w:rsidRDefault="00000000">
      <w:pPr>
        <w:rPr>
          <w:rFonts w:ascii="黑体" w:eastAsia="黑体" w:hAnsi="黑体" w:hint="eastAsia"/>
          <w:sz w:val="32"/>
          <w:szCs w:val="32"/>
        </w:rPr>
      </w:pPr>
      <w:r>
        <w:rPr>
          <w:rFonts w:ascii="黑体" w:eastAsia="黑体" w:hAnsi="黑体" w:hint="eastAsia"/>
          <w:sz w:val="32"/>
          <w:szCs w:val="32"/>
        </w:rPr>
        <w:t>附件</w:t>
      </w:r>
    </w:p>
    <w:p w14:paraId="4272E936" w14:textId="77777777" w:rsidR="005E627B"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青岛西海岸新区支持OPC发展政策清单</w:t>
      </w:r>
    </w:p>
    <w:p w14:paraId="4D69999A" w14:textId="77777777" w:rsidR="005E627B" w:rsidRDefault="00000000">
      <w:pPr>
        <w:spacing w:line="560" w:lineRule="exact"/>
        <w:jc w:val="center"/>
        <w:rPr>
          <w:rFonts w:ascii="楷体_GB2312" w:eastAsia="楷体_GB2312" w:hAnsi="方正小标宋简体" w:cs="方正小标宋简体" w:hint="eastAsia"/>
          <w:sz w:val="32"/>
          <w:szCs w:val="32"/>
        </w:rPr>
      </w:pPr>
      <w:r>
        <w:rPr>
          <w:rFonts w:ascii="楷体_GB2312" w:eastAsia="楷体_GB2312" w:hAnsi="方正小标宋简体" w:cs="方正小标宋简体" w:hint="eastAsia"/>
          <w:sz w:val="32"/>
          <w:szCs w:val="32"/>
        </w:rPr>
        <w:t>（第一批）（征求意见稿）</w:t>
      </w:r>
    </w:p>
    <w:p w14:paraId="673692BE" w14:textId="77777777" w:rsidR="005E627B" w:rsidRDefault="005E627B">
      <w:pPr>
        <w:spacing w:after="120"/>
        <w:ind w:leftChars="200" w:left="420" w:firstLineChars="200" w:firstLine="420"/>
        <w:rPr>
          <w:rFonts w:ascii="Times New Roman" w:eastAsia="宋体" w:hAnsi="Times New Roman" w:cs="Times New Roman"/>
          <w:szCs w:val="24"/>
        </w:rPr>
      </w:pPr>
    </w:p>
    <w:p w14:paraId="33A86F25" w14:textId="77777777" w:rsidR="005E627B"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一、OPC注册一站式专窗。</w:t>
      </w:r>
      <w:r>
        <w:rPr>
          <w:rFonts w:ascii="仿宋_GB2312" w:eastAsia="仿宋_GB2312" w:hAnsi="仿宋_GB2312" w:cs="仿宋_GB2312" w:hint="eastAsia"/>
          <w:sz w:val="32"/>
          <w:szCs w:val="32"/>
        </w:rPr>
        <w:t>开通行政审批绿色通道，为符合条件的OPC创业主体提供一窗受理、集成服务、并联审批的便利化服务，推动企业注册一日办结、高效落地。</w:t>
      </w:r>
    </w:p>
    <w:p w14:paraId="6BE72564" w14:textId="77777777" w:rsidR="005E627B"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二、企业租金优惠。</w:t>
      </w:r>
      <w:r>
        <w:rPr>
          <w:rFonts w:ascii="仿宋_GB2312" w:eastAsia="仿宋_GB2312" w:hAnsi="仿宋_GB2312" w:cs="仿宋_GB2312" w:hint="eastAsia"/>
          <w:sz w:val="32"/>
          <w:szCs w:val="32"/>
        </w:rPr>
        <w:t>提供融合科技大厦等9栋总面积10万平方米试点楼宇，对符合条件的OPC企业，根据其在西海岸新区新增参保缴费的正式员工人数，按每人15平方米(租赁面积)标准，给予房租减免优惠。</w:t>
      </w:r>
    </w:p>
    <w:p w14:paraId="2D52AF63" w14:textId="77777777" w:rsidR="005E627B"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仿宋_GB2312" w:hint="eastAsia"/>
          <w:sz w:val="32"/>
          <w:szCs w:val="32"/>
        </w:rPr>
        <w:t>三、实施“模型券”奖补政策。</w:t>
      </w:r>
      <w:r>
        <w:rPr>
          <w:rFonts w:ascii="仿宋_GB2312" w:eastAsia="仿宋_GB2312" w:hAnsi="仿宋_GB2312" w:cs="仿宋_GB2312" w:hint="eastAsia"/>
          <w:sz w:val="32"/>
          <w:szCs w:val="32"/>
        </w:rPr>
        <w:t>鼓励参与全省垂直领域行业大模型“揭榜挂帅”,统筹省资金对开展大模型推理或训练优化并通过国家级专业评测机构水平评测的垂直领域大模型产品按规定进行奖补,每个给予最高100万元补助。</w:t>
      </w:r>
    </w:p>
    <w:p w14:paraId="6AD59FF4" w14:textId="77777777" w:rsidR="005E627B" w:rsidRDefault="00000000">
      <w:pPr>
        <w:spacing w:line="560" w:lineRule="exact"/>
        <w:ind w:firstLineChars="200" w:firstLine="640"/>
        <w:rPr>
          <w:rFonts w:ascii="黑体" w:eastAsia="黑体" w:hAnsi="黑体" w:cs="黑体" w:hint="eastAsia"/>
          <w:sz w:val="32"/>
          <w:szCs w:val="32"/>
        </w:rPr>
      </w:pPr>
      <w:r>
        <w:rPr>
          <w:rFonts w:ascii="黑体" w:eastAsia="黑体" w:hAnsi="黑体" w:cs="仿宋_GB2312" w:hint="eastAsia"/>
          <w:sz w:val="32"/>
          <w:szCs w:val="32"/>
        </w:rPr>
        <w:t>四、实施“语料券”奖补政策。</w:t>
      </w:r>
      <w:r>
        <w:rPr>
          <w:rFonts w:ascii="仿宋_GB2312" w:eastAsia="仿宋_GB2312" w:hAnsi="仿宋_GB2312" w:cs="仿宋_GB2312" w:hint="eastAsia"/>
          <w:sz w:val="32"/>
          <w:szCs w:val="32"/>
        </w:rPr>
        <w:t>支持实施人工智能语料库“聚智凝源”工程,加快汇聚工业通用知</w:t>
      </w:r>
      <w:r>
        <w:rPr>
          <w:rFonts w:ascii="仿宋_GB2312" w:eastAsia="仿宋_GB2312" w:hAnsi="Times New Roman" w:cs="Times New Roman" w:hint="eastAsia"/>
          <w:sz w:val="32"/>
          <w:szCs w:val="32"/>
        </w:rPr>
        <w:t>识语料和工业研发、设计、生产、管理、服务等关键环节的特定语料资源,推动形成开放式语料合作生态,统筹省资金对用于大模型开发、训练和微调的高质量语料库按规定进行奖补,每个给予最高150万元补助。</w:t>
      </w:r>
    </w:p>
    <w:p w14:paraId="1CA9F2E0" w14:textId="77777777" w:rsidR="005E627B" w:rsidRDefault="00000000">
      <w:pPr>
        <w:spacing w:line="560"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五、强化场景需求牵引。</w:t>
      </w:r>
      <w:r>
        <w:rPr>
          <w:rFonts w:ascii="仿宋_GB2312" w:eastAsia="仿宋_GB2312" w:hAnsi="仿宋_GB2312" w:cs="仿宋_GB2312" w:hint="eastAsia"/>
          <w:sz w:val="32"/>
          <w:szCs w:val="32"/>
        </w:rPr>
        <w:t>建立OPC企业能力与场景需求常态化梳理发布机制，促进供需精准对接、资源高效配置，持续激发</w:t>
      </w:r>
      <w:r>
        <w:rPr>
          <w:rFonts w:ascii="仿宋_GB2312" w:eastAsia="仿宋_GB2312" w:hAnsi="仿宋_GB2312" w:cs="仿宋_GB2312" w:hint="eastAsia"/>
          <w:sz w:val="32"/>
          <w:szCs w:val="32"/>
        </w:rPr>
        <w:lastRenderedPageBreak/>
        <w:t>市场主体活力，培育壮大新业态新模式。</w:t>
      </w:r>
    </w:p>
    <w:p w14:paraId="56ABC361" w14:textId="77777777" w:rsidR="005E627B" w:rsidRDefault="00000000">
      <w:pPr>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六、强化技能人才支撑。</w:t>
      </w:r>
      <w:r>
        <w:rPr>
          <w:rFonts w:ascii="仿宋_GB2312" w:eastAsia="仿宋_GB2312" w:hAnsi="仿宋_GB2312" w:cs="仿宋_GB2312" w:hint="eastAsia"/>
          <w:sz w:val="32"/>
          <w:szCs w:val="32"/>
        </w:rPr>
        <w:t>健全OPC创业主体常态化技能培训机制，精准开展订单式、场景化培训。加强高校学生培育与实习实训对接，深化产教融合、校企合作，夯实产业发展人才基础。</w:t>
      </w:r>
    </w:p>
    <w:p w14:paraId="758BFE43" w14:textId="77777777" w:rsidR="005E627B" w:rsidRDefault="00000000">
      <w:pPr>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七、研究生实习生活补贴。</w:t>
      </w:r>
      <w:r>
        <w:rPr>
          <w:rFonts w:ascii="仿宋_GB2312" w:eastAsia="仿宋_GB2312" w:hAnsi="Times New Roman" w:cs="Times New Roman" w:hint="eastAsia"/>
          <w:sz w:val="32"/>
          <w:szCs w:val="32"/>
        </w:rPr>
        <w:t>集聚青年人才后备力量,鼓励高校在校生来青实习,对全日制在校硕博研究生来青在企业实习的,按每人每月3000元标准给予实习生活补贴，在读期间每人累计最长发放3个月。</w:t>
      </w:r>
    </w:p>
    <w:p w14:paraId="44E16E2F" w14:textId="77777777" w:rsidR="005E627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八、高校毕业生住房补贴。</w:t>
      </w:r>
      <w:r>
        <w:rPr>
          <w:rFonts w:ascii="仿宋_GB2312" w:eastAsia="仿宋_GB2312" w:hAnsi="Times New Roman" w:cs="Times New Roman" w:hint="eastAsia"/>
          <w:sz w:val="32"/>
          <w:szCs w:val="32"/>
        </w:rPr>
        <w:t>对在青就业落户的国内普通高校全日制毕业生和国(境)外高等院校毕业生,按照博士每月1200元、硕士每月800元、本科每月500元标准,发放不超过36个月的住房补贴。</w:t>
      </w:r>
    </w:p>
    <w:p w14:paraId="40F9DE6E" w14:textId="77777777" w:rsidR="005E627B"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九、青年人才一次性安家费。</w:t>
      </w:r>
      <w:r>
        <w:rPr>
          <w:rFonts w:ascii="仿宋_GB2312" w:eastAsia="仿宋_GB2312" w:hAnsi="仿宋_GB2312" w:cs="Times New Roman" w:hint="eastAsia"/>
          <w:sz w:val="32"/>
          <w:szCs w:val="32"/>
        </w:rPr>
        <w:t>对在青创新创业落户并购买唯一商品住房的40周岁以下博士、35周岁以下硕士,分别给予15万元、10万元一次性安家费。</w:t>
      </w:r>
    </w:p>
    <w:p w14:paraId="6F29E902" w14:textId="77777777" w:rsidR="005E627B" w:rsidRDefault="00000000">
      <w:pPr>
        <w:spacing w:line="560" w:lineRule="exact"/>
        <w:ind w:firstLineChars="200" w:firstLine="640"/>
        <w:rPr>
          <w:rFonts w:ascii="仿宋_GB2312" w:eastAsia="仿宋_GB2312" w:hAnsi="Times New Roman" w:cs="Times New Roman"/>
          <w:sz w:val="32"/>
          <w:szCs w:val="32"/>
        </w:rPr>
      </w:pPr>
      <w:r>
        <w:rPr>
          <w:rFonts w:ascii="黑体" w:eastAsia="黑体" w:hAnsi="黑体" w:cs="黑体" w:hint="eastAsia"/>
          <w:sz w:val="32"/>
          <w:szCs w:val="32"/>
        </w:rPr>
        <w:t>十、提供创业政策支持。</w:t>
      </w:r>
      <w:r>
        <w:rPr>
          <w:rFonts w:ascii="仿宋_GB2312" w:eastAsia="仿宋_GB2312" w:hAnsi="Times New Roman" w:cs="Times New Roman" w:hint="eastAsia"/>
          <w:sz w:val="32"/>
          <w:szCs w:val="32"/>
        </w:rPr>
        <w:t>鼓励各类人才在青创新创业。在青岛首次创办小微企业等创业实体，最高可申领1.2万元创业补贴；符合条件的还可申请最高30万元创业担保贷款，合伙创业最高99万元，并给予全额贴息；创办小微企业可申请最高400万元创业担保贷款，给予50%贴息。</w:t>
      </w:r>
    </w:p>
    <w:p w14:paraId="0D3D7F64" w14:textId="77777777" w:rsidR="005E627B" w:rsidRDefault="005E627B">
      <w:pPr>
        <w:spacing w:line="560" w:lineRule="exact"/>
        <w:ind w:firstLineChars="200" w:firstLine="640"/>
        <w:rPr>
          <w:rFonts w:ascii="仿宋_GB2312" w:eastAsia="仿宋_GB2312" w:hAnsi="Times New Roman" w:cs="Times New Roman"/>
          <w:sz w:val="32"/>
          <w:szCs w:val="32"/>
        </w:rPr>
      </w:pPr>
    </w:p>
    <w:p w14:paraId="0B4CC89E" w14:textId="77777777" w:rsidR="005E627B" w:rsidRDefault="00000000">
      <w:pPr>
        <w:spacing w:line="560" w:lineRule="exact"/>
        <w:ind w:firstLineChars="200" w:firstLine="640"/>
        <w:rPr>
          <w:rFonts w:ascii="仿宋_GB2312" w:eastAsia="仿宋_GB2312"/>
          <w:sz w:val="32"/>
          <w:szCs w:val="32"/>
        </w:rPr>
      </w:pPr>
      <w:r>
        <w:rPr>
          <w:rFonts w:ascii="仿宋_GB2312" w:eastAsia="仿宋_GB2312" w:hAnsi="Times New Roman" w:cs="Times New Roman"/>
          <w:sz w:val="32"/>
          <w:szCs w:val="32"/>
        </w:rPr>
        <w:t>政策具体实施期限按照相关规定执行。有效期内遇中央、省</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lastRenderedPageBreak/>
        <w:t>市</w:t>
      </w:r>
      <w:r>
        <w:rPr>
          <w:rFonts w:ascii="仿宋_GB2312" w:eastAsia="仿宋_GB2312" w:hAnsi="Times New Roman" w:cs="Times New Roman"/>
          <w:sz w:val="32"/>
          <w:szCs w:val="32"/>
        </w:rPr>
        <w:t>有关政策调整的，按上级有关政策执行。</w:t>
      </w:r>
    </w:p>
    <w:p w14:paraId="1BB90C19" w14:textId="77777777" w:rsidR="005E627B" w:rsidRDefault="005E627B">
      <w:pPr>
        <w:spacing w:line="560" w:lineRule="exact"/>
        <w:jc w:val="center"/>
      </w:pPr>
    </w:p>
    <w:sectPr w:rsidR="005E627B">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59BE" w14:textId="77777777" w:rsidR="007358A1" w:rsidRDefault="007358A1">
      <w:r>
        <w:separator/>
      </w:r>
    </w:p>
  </w:endnote>
  <w:endnote w:type="continuationSeparator" w:id="0">
    <w:p w14:paraId="0F94759A" w14:textId="77777777" w:rsidR="007358A1" w:rsidRDefault="0073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4086"/>
    </w:sdtPr>
    <w:sdtContent>
      <w:p w14:paraId="39A42C5E" w14:textId="77777777" w:rsidR="005E627B" w:rsidRDefault="00000000">
        <w:pPr>
          <w:pStyle w:val="a3"/>
        </w:pPr>
        <w:r>
          <w:rPr>
            <w:rFonts w:asciiTheme="minorEastAsia" w:hAnsiTheme="minorEastAsia" w:hint="eastAsia"/>
            <w:sz w:val="28"/>
            <w:szCs w:val="28"/>
          </w:rPr>
          <w:t>—</w:t>
        </w:r>
        <w:r>
          <w:t xml:space="preserve"> </w:t>
        </w:r>
        <w:r>
          <w:rPr>
            <w:rFonts w:hint="eastAsia"/>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14:paraId="6A46D894" w14:textId="77777777" w:rsidR="005E627B" w:rsidRDefault="005E627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4085"/>
    </w:sdtPr>
    <w:sdtContent>
      <w:p w14:paraId="15437DD7" w14:textId="77777777" w:rsidR="005E627B" w:rsidRDefault="00000000">
        <w:pPr>
          <w:pStyle w:val="a3"/>
          <w:jc w:val="right"/>
        </w:pPr>
        <w:r>
          <w:rPr>
            <w:rFonts w:asciiTheme="minorEastAsia" w:hAnsiTheme="minorEastAsia" w:hint="eastAsia"/>
            <w:sz w:val="28"/>
            <w:szCs w:val="28"/>
          </w:rPr>
          <w:t>—</w:t>
        </w:r>
        <w:r>
          <w:t xml:space="preserve"> </w:t>
        </w:r>
        <w:r>
          <w:rPr>
            <w:rFonts w:hint="eastAsia"/>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14:paraId="593F5B06" w14:textId="77777777" w:rsidR="005E627B" w:rsidRDefault="005E62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DA59" w14:textId="77777777" w:rsidR="007358A1" w:rsidRDefault="007358A1">
      <w:r>
        <w:separator/>
      </w:r>
    </w:p>
  </w:footnote>
  <w:footnote w:type="continuationSeparator" w:id="0">
    <w:p w14:paraId="49444E60" w14:textId="77777777" w:rsidR="007358A1" w:rsidRDefault="00735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YyYzIzMjBiOWM0YTVmZjhjN2ViYzQ0MmRjODUwMzcifQ=="/>
  </w:docVars>
  <w:rsids>
    <w:rsidRoot w:val="0058578F"/>
    <w:rsid w:val="000937D8"/>
    <w:rsid w:val="00142707"/>
    <w:rsid w:val="001648B6"/>
    <w:rsid w:val="0023696A"/>
    <w:rsid w:val="002512B1"/>
    <w:rsid w:val="003B3CCE"/>
    <w:rsid w:val="00406E1E"/>
    <w:rsid w:val="004614EC"/>
    <w:rsid w:val="0058578F"/>
    <w:rsid w:val="005B519A"/>
    <w:rsid w:val="005E627B"/>
    <w:rsid w:val="007358A1"/>
    <w:rsid w:val="0076793F"/>
    <w:rsid w:val="007E4520"/>
    <w:rsid w:val="008310B8"/>
    <w:rsid w:val="00836904"/>
    <w:rsid w:val="009C45BE"/>
    <w:rsid w:val="00B64B6C"/>
    <w:rsid w:val="00B656B7"/>
    <w:rsid w:val="00E6090A"/>
    <w:rsid w:val="00F75F69"/>
    <w:rsid w:val="01AB2A30"/>
    <w:rsid w:val="066A1827"/>
    <w:rsid w:val="07B538A5"/>
    <w:rsid w:val="0955056D"/>
    <w:rsid w:val="0A765F4E"/>
    <w:rsid w:val="0F0C7BEB"/>
    <w:rsid w:val="12392815"/>
    <w:rsid w:val="19BB3EAE"/>
    <w:rsid w:val="1C993BFA"/>
    <w:rsid w:val="26D00393"/>
    <w:rsid w:val="3115026D"/>
    <w:rsid w:val="31A15D7C"/>
    <w:rsid w:val="320A1F29"/>
    <w:rsid w:val="33F00AC4"/>
    <w:rsid w:val="365E1EC3"/>
    <w:rsid w:val="3E6F4D7B"/>
    <w:rsid w:val="3FB9540B"/>
    <w:rsid w:val="3FBA46A3"/>
    <w:rsid w:val="41996994"/>
    <w:rsid w:val="43B43349"/>
    <w:rsid w:val="4631143E"/>
    <w:rsid w:val="504B5D95"/>
    <w:rsid w:val="5880361B"/>
    <w:rsid w:val="5A655B9F"/>
    <w:rsid w:val="5B7B5D04"/>
    <w:rsid w:val="5EB97FA5"/>
    <w:rsid w:val="664B08D3"/>
    <w:rsid w:val="670D6C1F"/>
    <w:rsid w:val="67E00163"/>
    <w:rsid w:val="6FF71DF4"/>
    <w:rsid w:val="70AB3FDA"/>
    <w:rsid w:val="72AE039D"/>
    <w:rsid w:val="78B02C8E"/>
    <w:rsid w:val="7A735D91"/>
    <w:rsid w:val="7B186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693848"/>
  <w15:docId w15:val="{6C89C66F-7D7E-409E-9BB6-41019A44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522</Words>
  <Characters>523</Characters>
  <Application>Microsoft Office Word</Application>
  <DocSecurity>0</DocSecurity>
  <Lines>523</Lines>
  <Paragraphs>174</Paragraphs>
  <ScaleCrop>false</ScaleCrop>
  <Company>微软中国</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3</cp:revision>
  <dcterms:created xsi:type="dcterms:W3CDTF">2026-06-30T03:32:00Z</dcterms:created>
  <dcterms:modified xsi:type="dcterms:W3CDTF">2026-06-30T06:44:00Z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65BB54B643E142C182D0D3F255F282CF_13</vt:lpwstr>
  </property>
  <property fmtid="{D5CDD505-2E9C-101B-9397-08002B2CF9AE}" pid="4" name="KSOTemplateDocerSaveRecord">
    <vt:lpwstr>eyJoZGlkIjoiNTMyYjU5NTU0MTg5ZjRmOGE4YTM0MjdjYzNmN2UyYmEiLCJ1c2VySWQiOiIzNzU4ODgxMDQifQ==</vt:lpwstr>
  </property>
</Properties>
</file>