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64" w:beforeLines="50" w:line="6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关于规范工程建设项目审批服务事项</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特殊程序管理的通知</w:t>
      </w:r>
    </w:p>
    <w:p>
      <w:pPr>
        <w:spacing w:line="540" w:lineRule="exact"/>
        <w:ind w:firstLine="640" w:firstLineChars="200"/>
        <w:jc w:val="both"/>
        <w:rPr>
          <w:rFonts w:ascii="仿宋_GB2312" w:hAnsi="仿宋_GB2312" w:eastAsia="仿宋_GB2312" w:cs="仿宋_GB2312"/>
          <w:sz w:val="32"/>
          <w:szCs w:val="32"/>
          <w:lang w:eastAsia="zh-CN"/>
        </w:rPr>
      </w:pPr>
    </w:p>
    <w:p>
      <w:pPr>
        <w:spacing w:line="540" w:lineRule="exact"/>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区工程建设项目审批制度改革领导小组各成员单位，</w:t>
      </w:r>
      <w:r>
        <w:rPr>
          <w:rFonts w:hint="eastAsia" w:ascii="仿宋_GB2312" w:hAnsi="仿宋_GB2312" w:eastAsia="仿宋_GB2312" w:cs="仿宋_GB2312"/>
          <w:sz w:val="32"/>
          <w:szCs w:val="32"/>
          <w:lang w:val="en-US" w:eastAsia="zh-CN"/>
        </w:rPr>
        <w:t>各大功能区管委，泊里镇政府</w:t>
      </w:r>
      <w:r>
        <w:rPr>
          <w:rFonts w:hint="eastAsia" w:ascii="仿宋_GB2312" w:hAnsi="仿宋_GB2312" w:eastAsia="仿宋_GB2312" w:cs="仿宋_GB2312"/>
          <w:sz w:val="32"/>
          <w:szCs w:val="32"/>
          <w:lang w:eastAsia="zh-CN"/>
        </w:rPr>
        <w:t>：</w:t>
      </w:r>
    </w:p>
    <w:p>
      <w:pPr>
        <w:spacing w:line="540" w:lineRule="exact"/>
        <w:ind w:firstLine="640" w:firstLineChars="200"/>
        <w:jc w:val="both"/>
        <w:rPr>
          <w:rFonts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为进一步加强工程建设项目审批服务全过程管理，根据青岛市工程建设项目审批制度改革领导小组办公室《关于规范工程建设项目审批服务事项特殊程序管理的通知》（青建审办字〔2022〕3号）</w:t>
      </w:r>
      <w:r>
        <w:rPr>
          <w:rFonts w:hint="eastAsia" w:ascii="仿宋_GB2312" w:hAnsi="宋体" w:eastAsia="仿宋_GB2312" w:cs="宋体"/>
          <w:kern w:val="2"/>
          <w:sz w:val="32"/>
          <w:szCs w:val="32"/>
          <w:lang w:eastAsia="zh-CN"/>
        </w:rPr>
        <w:t>等文件要求,</w:t>
      </w:r>
      <w:r>
        <w:rPr>
          <w:rFonts w:hint="eastAsia" w:ascii="仿宋_GB2312" w:hAnsi="仿宋_GB2312" w:eastAsia="仿宋_GB2312" w:cs="仿宋_GB2312"/>
          <w:bCs/>
          <w:sz w:val="32"/>
          <w:szCs w:val="32"/>
          <w:lang w:eastAsia="zh-CN"/>
        </w:rPr>
        <w:t>现就规范我区相关审批服务事项特殊程序管理通知如下。</w:t>
      </w:r>
    </w:p>
    <w:p>
      <w:pPr>
        <w:spacing w:line="540" w:lineRule="exact"/>
        <w:ind w:firstLine="640" w:firstLineChars="200"/>
        <w:jc w:val="both"/>
        <w:rPr>
          <w:rFonts w:ascii="黑体" w:hAnsi="黑体" w:eastAsia="黑体" w:cs="仿宋_GB2312"/>
          <w:bCs/>
          <w:sz w:val="32"/>
          <w:szCs w:val="32"/>
          <w:lang w:eastAsia="zh-CN"/>
        </w:rPr>
      </w:pPr>
      <w:r>
        <w:rPr>
          <w:rFonts w:hint="eastAsia" w:ascii="黑体" w:hAnsi="黑体" w:eastAsia="黑体" w:cs="仿宋_GB2312"/>
          <w:bCs/>
          <w:sz w:val="32"/>
          <w:szCs w:val="32"/>
          <w:lang w:eastAsia="zh-CN"/>
        </w:rPr>
        <w:t>一、规范特殊程序设置</w:t>
      </w:r>
    </w:p>
    <w:p>
      <w:pPr>
        <w:spacing w:line="540" w:lineRule="exact"/>
        <w:ind w:firstLine="640" w:firstLineChars="200"/>
        <w:jc w:val="both"/>
        <w:rPr>
          <w:rFonts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本通知所称“特殊程序”是指符合《行政许可法》第四十五条规定的“听证、招标、拍卖、检验、检测、检疫、鉴定和专家评审”8类程序，以及其他相关法律、法规、部门规章和规范性文件规定的，在审批服务办结前由审批服务部门实施的特定程序。主要包括技术审查、会议审查、专家审查、公示公告、现场核验、听证等，不包括建设单位补齐补正申请材料、现场整改、自行委托中介服务、审批服务部门内部流转、审签等环节。</w:t>
      </w:r>
      <w:r>
        <w:rPr>
          <w:rFonts w:hint="eastAsia" w:ascii="仿宋_GB2312" w:hAnsi="仿宋_GB2312" w:eastAsia="仿宋_GB2312" w:cs="仿宋_GB2312"/>
          <w:sz w:val="32"/>
          <w:szCs w:val="32"/>
          <w:lang w:eastAsia="zh-CN"/>
        </w:rPr>
        <w:t>法律法规规定由下级部门受理，报送上级部门审批的事项，可参照本通知优化内部流程、科学规范管理。</w:t>
      </w:r>
    </w:p>
    <w:p>
      <w:pPr>
        <w:spacing w:line="54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工程建设项目审批服务特殊程序实行清单制管理，相关审批服务事项涉及的特殊程序具体类型、设定依据、法定时限、承诺时限等详见《青岛西海岸新区工程建设项目主要审批服务事项特殊程序清单》（以下简称《清单》，详见附件）。《清单》实行动态管理，根据有关法律法规“立改废”、行政许可事项清单、政务服务事项目录梳理等情况及时调整公布。</w:t>
      </w:r>
      <w:r>
        <w:rPr>
          <w:rFonts w:hint="eastAsia" w:ascii="仿宋_GB2312" w:hAnsi="仿宋_GB2312" w:eastAsia="仿宋_GB2312" w:cs="仿宋_GB2312"/>
          <w:sz w:val="32"/>
          <w:szCs w:val="32"/>
          <w:lang w:eastAsia="zh-CN"/>
        </w:rPr>
        <w:t>各相关审批服务部门不得擅自设置、实施无相关依据的特殊程序。</w:t>
      </w:r>
    </w:p>
    <w:p>
      <w:pPr>
        <w:spacing w:line="540" w:lineRule="exact"/>
        <w:ind w:firstLine="640" w:firstLineChars="200"/>
        <w:jc w:val="both"/>
        <w:rPr>
          <w:rFonts w:ascii="黑体" w:hAnsi="黑体" w:eastAsia="黑体" w:cs="仿宋_GB2312"/>
          <w:bCs/>
          <w:sz w:val="32"/>
          <w:szCs w:val="32"/>
          <w:lang w:eastAsia="zh-CN"/>
        </w:rPr>
      </w:pPr>
      <w:r>
        <w:rPr>
          <w:rFonts w:hint="eastAsia" w:ascii="黑体" w:hAnsi="黑体" w:eastAsia="黑体" w:cs="仿宋_GB2312"/>
          <w:bCs/>
          <w:sz w:val="32"/>
          <w:szCs w:val="32"/>
          <w:lang w:eastAsia="zh-CN"/>
        </w:rPr>
        <w:t>二、严格特殊程序实施</w:t>
      </w:r>
    </w:p>
    <w:p>
      <w:pPr>
        <w:spacing w:line="540" w:lineRule="exact"/>
        <w:ind w:firstLine="640" w:firstLineChars="200"/>
        <w:jc w:val="both"/>
        <w:rPr>
          <w:rFonts w:ascii="仿宋_GB2312" w:hAnsi="仿宋_GB2312" w:eastAsia="仿宋_GB2312" w:cs="仿宋_GB2312"/>
          <w:sz w:val="32"/>
          <w:szCs w:val="32"/>
          <w:lang w:eastAsia="zh-CN"/>
        </w:rPr>
      </w:pPr>
      <w:r>
        <w:rPr>
          <w:rFonts w:hint="eastAsia" w:ascii="楷体_GB2312" w:hAnsi="仿宋_GB2312" w:eastAsia="楷体_GB2312" w:cs="仿宋_GB2312"/>
          <w:sz w:val="32"/>
          <w:szCs w:val="32"/>
          <w:lang w:eastAsia="zh-CN"/>
        </w:rPr>
        <w:t>（一）实行限时办结制</w:t>
      </w:r>
      <w:r>
        <w:rPr>
          <w:rFonts w:hint="eastAsia" w:ascii="楷体_GB2312" w:hAnsi="仿宋_GB2312" w:eastAsia="楷体_GB2312" w:cs="仿宋_GB2312"/>
          <w:bCs/>
          <w:sz w:val="32"/>
          <w:szCs w:val="32"/>
          <w:lang w:eastAsia="zh-CN"/>
        </w:rPr>
        <w:t>。</w:t>
      </w:r>
      <w:r>
        <w:rPr>
          <w:rFonts w:hint="eastAsia" w:ascii="仿宋_GB2312" w:hAnsi="仿宋_GB2312" w:eastAsia="仿宋_GB2312" w:cs="仿宋_GB2312"/>
          <w:bCs/>
          <w:sz w:val="32"/>
          <w:szCs w:val="32"/>
          <w:lang w:eastAsia="zh-CN"/>
        </w:rPr>
        <w:t>除政策法规做出明确规定外，特殊程序一般不计入审批用时，但纳入工程建设项目全过程审批时间管理。各部门</w:t>
      </w:r>
      <w:r>
        <w:rPr>
          <w:rFonts w:hint="eastAsia" w:ascii="仿宋_GB2312" w:hAnsi="仿宋_GB2312" w:eastAsia="仿宋_GB2312" w:cs="仿宋_GB2312"/>
          <w:sz w:val="32"/>
          <w:szCs w:val="32"/>
          <w:lang w:eastAsia="zh-CN"/>
        </w:rPr>
        <w:t>在审批服务过程中如需启动特殊程序，应告知申请人特殊程序具体类型和承诺时限。</w:t>
      </w:r>
    </w:p>
    <w:p>
      <w:pPr>
        <w:spacing w:line="540" w:lineRule="exact"/>
        <w:ind w:firstLine="640" w:firstLineChars="200"/>
        <w:jc w:val="both"/>
        <w:rPr>
          <w:rFonts w:ascii="仿宋_GB2312" w:hAnsi="仿宋_GB2312" w:eastAsia="仿宋_GB2312" w:cs="仿宋_GB2312"/>
          <w:bCs/>
          <w:sz w:val="32"/>
          <w:szCs w:val="32"/>
          <w:lang w:eastAsia="zh-CN"/>
        </w:rPr>
      </w:pPr>
      <w:r>
        <w:rPr>
          <w:rFonts w:hint="eastAsia" w:ascii="楷体_GB2312" w:hAnsi="仿宋_GB2312" w:eastAsia="楷体_GB2312" w:cs="仿宋_GB2312"/>
          <w:sz w:val="32"/>
          <w:szCs w:val="32"/>
          <w:lang w:eastAsia="zh-CN"/>
        </w:rPr>
        <w:t>（二）纳入平台管理。</w:t>
      </w:r>
      <w:r>
        <w:rPr>
          <w:rFonts w:hint="eastAsia" w:ascii="仿宋_GB2312" w:hAnsi="仿宋_GB2312" w:eastAsia="仿宋_GB2312" w:cs="仿宋_GB2312"/>
          <w:bCs/>
          <w:sz w:val="32"/>
          <w:szCs w:val="32"/>
          <w:lang w:eastAsia="zh-CN"/>
        </w:rPr>
        <w:t>相关审批服务部门要按照</w:t>
      </w:r>
      <w:r>
        <w:rPr>
          <w:rFonts w:hint="eastAsia" w:ascii="仿宋_GB2312" w:hAnsi="仿宋_GB2312" w:eastAsia="仿宋_GB2312" w:cs="仿宋_GB2312"/>
          <w:sz w:val="32"/>
          <w:szCs w:val="32"/>
          <w:lang w:eastAsia="zh-CN"/>
        </w:rPr>
        <w:t>住房城乡建设部《关于进一步深化工程建设项目审批制度改革推进全流程在线审批的通知》（建办〔2020〕97号）</w:t>
      </w:r>
      <w:r>
        <w:rPr>
          <w:rFonts w:hint="eastAsia" w:ascii="仿宋_GB2312" w:hAnsi="仿宋_GB2312" w:eastAsia="仿宋_GB2312" w:cs="仿宋_GB2312"/>
          <w:sz w:val="32"/>
          <w:szCs w:val="32"/>
          <w:lang w:val="en-US" w:eastAsia="zh-CN"/>
        </w:rPr>
        <w:t>和本通知</w:t>
      </w:r>
      <w:r>
        <w:rPr>
          <w:rFonts w:hint="eastAsia" w:ascii="仿宋_GB2312" w:hAnsi="仿宋_GB2312" w:eastAsia="仿宋_GB2312" w:cs="仿宋_GB2312"/>
          <w:sz w:val="32"/>
          <w:szCs w:val="32"/>
          <w:lang w:eastAsia="zh-CN"/>
        </w:rPr>
        <w:t>要求，通过工程审批平台</w:t>
      </w:r>
      <w:r>
        <w:rPr>
          <w:rFonts w:hint="eastAsia" w:ascii="仿宋_GB2312" w:hAnsi="仿宋_GB2312" w:eastAsia="仿宋_GB2312" w:cs="仿宋_GB2312"/>
          <w:bCs/>
          <w:sz w:val="32"/>
          <w:szCs w:val="32"/>
          <w:lang w:eastAsia="zh-CN"/>
        </w:rPr>
        <w:t>规范特殊程序发起、结束等流程管理。</w:t>
      </w:r>
    </w:p>
    <w:p>
      <w:pPr>
        <w:spacing w:line="540" w:lineRule="exact"/>
        <w:ind w:firstLine="640" w:firstLineChars="200"/>
        <w:jc w:val="both"/>
        <w:rPr>
          <w:rFonts w:ascii="仿宋_GB2312" w:hAnsi="仿宋_GB2312" w:eastAsia="仿宋_GB2312" w:cs="仿宋_GB2312"/>
          <w:bCs/>
          <w:sz w:val="32"/>
          <w:szCs w:val="32"/>
          <w:lang w:eastAsia="zh-CN"/>
        </w:rPr>
      </w:pPr>
      <w:r>
        <w:rPr>
          <w:rFonts w:hint="eastAsia" w:ascii="楷体_GB2312" w:hAnsi="仿宋_GB2312" w:eastAsia="楷体_GB2312" w:cs="仿宋_GB2312"/>
          <w:sz w:val="32"/>
          <w:szCs w:val="32"/>
          <w:lang w:eastAsia="zh-CN"/>
        </w:rPr>
        <w:t>（三）做好部门衔接。</w:t>
      </w:r>
      <w:r>
        <w:rPr>
          <w:rFonts w:hint="eastAsia" w:ascii="仿宋_GB2312" w:hAnsi="仿宋_GB2312" w:eastAsia="仿宋_GB2312" w:cs="仿宋_GB2312"/>
          <w:bCs/>
          <w:sz w:val="32"/>
          <w:szCs w:val="32"/>
          <w:lang w:eastAsia="zh-CN"/>
        </w:rPr>
        <w:t>对于已划转至行政审批服务部门集中实施的审批服务事项，应明确特殊程序实施的职责边界。对于特殊程序仍由行业主管部门负责实施或参与实施的审批服务事项，要细化职责分工、加强部门衔接、优化办理程序，切实提高市场主体办事便利度。各部门不得将特殊程序作为单独审批服务事项办理，不得将完成相关特殊程序作为审批服务事项的受理条件。</w:t>
      </w:r>
    </w:p>
    <w:p>
      <w:pPr>
        <w:spacing w:line="540" w:lineRule="exact"/>
        <w:ind w:firstLine="640" w:firstLineChars="200"/>
        <w:jc w:val="both"/>
        <w:rPr>
          <w:rFonts w:ascii="黑体" w:hAnsi="黑体" w:eastAsia="黑体" w:cs="仿宋_GB2312"/>
          <w:bCs/>
          <w:sz w:val="32"/>
          <w:szCs w:val="32"/>
          <w:lang w:eastAsia="zh-CN"/>
        </w:rPr>
      </w:pPr>
      <w:r>
        <w:rPr>
          <w:rFonts w:hint="eastAsia" w:ascii="黑体" w:hAnsi="黑体" w:eastAsia="黑体" w:cs="仿宋_GB2312"/>
          <w:bCs/>
          <w:sz w:val="32"/>
          <w:szCs w:val="32"/>
          <w:lang w:eastAsia="zh-CN"/>
        </w:rPr>
        <w:t>三、工作要求</w:t>
      </w:r>
    </w:p>
    <w:p>
      <w:pPr>
        <w:spacing w:line="540" w:lineRule="exact"/>
        <w:ind w:firstLine="640" w:firstLineChars="200"/>
        <w:jc w:val="both"/>
        <w:rPr>
          <w:rFonts w:ascii="仿宋_GB2312" w:hAnsi="仿宋_GB2312" w:eastAsia="仿宋_GB2312" w:cs="仿宋_GB2312"/>
          <w:sz w:val="32"/>
          <w:szCs w:val="32"/>
          <w:lang w:eastAsia="zh-CN"/>
        </w:rPr>
      </w:pPr>
      <w:r>
        <w:rPr>
          <w:rFonts w:hint="eastAsia" w:ascii="楷体_GB2312" w:hAnsi="仿宋_GB2312" w:eastAsia="楷体_GB2312" w:cs="仿宋_GB2312"/>
          <w:sz w:val="32"/>
          <w:szCs w:val="32"/>
          <w:lang w:eastAsia="zh-CN"/>
        </w:rPr>
        <w:t>（一）切实提高思想认识。</w:t>
      </w:r>
      <w:r>
        <w:rPr>
          <w:rFonts w:hint="eastAsia" w:ascii="仿宋_GB2312" w:hAnsi="仿宋_GB2312" w:eastAsia="仿宋_GB2312" w:cs="仿宋_GB2312"/>
          <w:sz w:val="32"/>
          <w:szCs w:val="32"/>
          <w:lang w:eastAsia="zh-CN"/>
        </w:rPr>
        <w:t>规范特殊程序管理是推进工程建设项目审批领域营商环境创新提升的重要举措，是提升工程建设项目审批服务规范化水平的重要要求。各部门要充分认识这项工作的重要意义，切实加强组织领导，压紧压实工作责任。</w:t>
      </w:r>
    </w:p>
    <w:p>
      <w:pPr>
        <w:spacing w:line="540" w:lineRule="exact"/>
        <w:ind w:firstLine="640" w:firstLineChars="200"/>
        <w:jc w:val="both"/>
        <w:rPr>
          <w:rFonts w:ascii="仿宋_GB2312" w:hAnsi="仿宋_GB2312" w:eastAsia="仿宋_GB2312" w:cs="仿宋_GB2312"/>
          <w:sz w:val="32"/>
          <w:szCs w:val="32"/>
          <w:lang w:eastAsia="zh-CN"/>
        </w:rPr>
      </w:pPr>
      <w:r>
        <w:rPr>
          <w:rFonts w:hint="eastAsia" w:ascii="楷体_GB2312" w:hAnsi="仿宋_GB2312" w:eastAsia="楷体_GB2312" w:cs="仿宋_GB2312"/>
          <w:sz w:val="32"/>
          <w:szCs w:val="32"/>
          <w:lang w:eastAsia="zh-CN"/>
        </w:rPr>
        <w:t>（二）强化特殊程序监督检查。</w:t>
      </w:r>
      <w:r>
        <w:rPr>
          <w:rFonts w:hint="eastAsia" w:ascii="仿宋_GB2312" w:hAnsi="仿宋_GB2312" w:eastAsia="仿宋_GB2312" w:cs="仿宋_GB2312"/>
          <w:sz w:val="32"/>
          <w:szCs w:val="32"/>
          <w:lang w:eastAsia="zh-CN"/>
        </w:rPr>
        <w:t>各部门在办理工程建设项目审批服务过程中，不得实施《清单》之外的特殊程序。对于耗时较长的专家评审，要根据项目类型与规模，分类压减办理承诺时限。要按照线上线下一致的原则，通过工程审批平台如实记录特殊程序实施过程，不得随意“挂起”、暂停计时，不得通过先线下审查再线上补录、预审查等方式规避特殊程序监管，坚决杜绝“体外循环”“隐性审批”等行为。区工程建设项目审批制度改革领导小组办公室将通过工程审批平台监测分析，定期通报情况。对发现违规设置、实施特殊程序，影响市场主体获得感的，按照工程建设项目“体外循环”“隐性审批”专项整治有关要求处理。</w:t>
      </w:r>
    </w:p>
    <w:p>
      <w:pPr>
        <w:spacing w:line="540" w:lineRule="exact"/>
        <w:ind w:firstLine="640" w:firstLineChars="200"/>
        <w:jc w:val="both"/>
        <w:rPr>
          <w:rFonts w:ascii="仿宋_GB2312" w:hAnsi="仿宋_GB2312" w:eastAsia="仿宋_GB2312" w:cs="仿宋_GB2312"/>
          <w:bCs/>
          <w:sz w:val="32"/>
          <w:szCs w:val="32"/>
          <w:lang w:eastAsia="zh-CN"/>
        </w:rPr>
      </w:pPr>
      <w:r>
        <w:rPr>
          <w:rFonts w:hint="eastAsia" w:ascii="楷体_GB2312" w:hAnsi="仿宋_GB2312" w:eastAsia="楷体_GB2312" w:cs="仿宋_GB2312"/>
          <w:sz w:val="32"/>
          <w:szCs w:val="32"/>
          <w:lang w:eastAsia="zh-CN"/>
        </w:rPr>
        <w:t>（三）创新特殊程序实施方式。</w:t>
      </w:r>
      <w:r>
        <w:rPr>
          <w:rFonts w:hint="eastAsia" w:ascii="仿宋_GB2312" w:hAnsi="仿宋_GB2312" w:eastAsia="仿宋_GB2312" w:cs="仿宋_GB2312"/>
          <w:bCs/>
          <w:sz w:val="32"/>
          <w:szCs w:val="32"/>
          <w:lang w:eastAsia="zh-CN"/>
        </w:rPr>
        <w:t>在严格执行法定审批程序、审批条件的同时，</w:t>
      </w:r>
      <w:r>
        <w:rPr>
          <w:rFonts w:hint="eastAsia" w:ascii="仿宋_GB2312" w:hAnsi="仿宋_GB2312" w:eastAsia="仿宋_GB2312" w:cs="仿宋_GB2312"/>
          <w:sz w:val="32"/>
          <w:szCs w:val="32"/>
          <w:lang w:eastAsia="zh-CN"/>
        </w:rPr>
        <w:t>各部门</w:t>
      </w:r>
      <w:r>
        <w:rPr>
          <w:rFonts w:hint="eastAsia" w:ascii="仿宋_GB2312" w:hAnsi="仿宋_GB2312" w:eastAsia="仿宋_GB2312" w:cs="仿宋_GB2312"/>
          <w:bCs/>
          <w:sz w:val="32"/>
          <w:szCs w:val="32"/>
          <w:lang w:eastAsia="zh-CN"/>
        </w:rPr>
        <w:t>要按照深化“放管服”改革要求，通过加强部门协作、推行告知承诺、集成服务、一网通办等措施，更好满足市场主体办事需求。技术审查、会议审查、现场核验等涉及两个及以上部门的，应明确一个牵头部门，组织相关部门联合开展，避免市场主体“多头对接”“意见打架”。鼓励</w:t>
      </w:r>
      <w:r>
        <w:rPr>
          <w:rFonts w:hint="eastAsia" w:ascii="仿宋_GB2312" w:hAnsi="仿宋_GB2312" w:eastAsia="仿宋_GB2312" w:cs="仿宋_GB2312"/>
          <w:sz w:val="32"/>
          <w:szCs w:val="32"/>
          <w:lang w:eastAsia="zh-CN"/>
        </w:rPr>
        <w:t>各部门</w:t>
      </w:r>
      <w:r>
        <w:rPr>
          <w:rFonts w:hint="eastAsia" w:ascii="仿宋_GB2312" w:hAnsi="仿宋_GB2312" w:eastAsia="仿宋_GB2312" w:cs="仿宋_GB2312"/>
          <w:bCs/>
          <w:sz w:val="32"/>
          <w:szCs w:val="32"/>
          <w:lang w:eastAsia="zh-CN"/>
        </w:rPr>
        <w:t>充分应用信息化技术，在保证审批质量的基础上，通过视频踏勘、线上评审、函审等方式实施特殊程序，实现“不接触”“零跑腿”。</w:t>
      </w:r>
    </w:p>
    <w:p>
      <w:pPr>
        <w:spacing w:line="540" w:lineRule="exact"/>
        <w:ind w:firstLine="640" w:firstLineChars="200"/>
        <w:jc w:val="both"/>
        <w:rPr>
          <w:rFonts w:ascii="仿宋_GB2312" w:hAnsi="仿宋_GB2312" w:eastAsia="仿宋_GB2312" w:cs="仿宋_GB2312"/>
          <w:bCs/>
          <w:sz w:val="32"/>
          <w:szCs w:val="32"/>
          <w:lang w:eastAsia="zh-CN"/>
        </w:rPr>
      </w:pPr>
    </w:p>
    <w:p>
      <w:pPr>
        <w:spacing w:line="540" w:lineRule="exact"/>
        <w:ind w:firstLine="640" w:firstLineChars="2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附件：青岛西海岸新区工程建设项目主要审批服务事项特殊程序清单</w:t>
      </w:r>
    </w:p>
    <w:p>
      <w:pPr>
        <w:spacing w:line="540" w:lineRule="exact"/>
        <w:ind w:firstLine="640" w:firstLineChars="200"/>
        <w:jc w:val="both"/>
        <w:rPr>
          <w:rFonts w:ascii="仿宋_GB2312" w:hAnsi="仿宋_GB2312" w:eastAsia="仿宋_GB2312" w:cs="仿宋_GB2312"/>
          <w:sz w:val="32"/>
          <w:szCs w:val="32"/>
          <w:lang w:eastAsia="zh-CN"/>
        </w:rPr>
      </w:pPr>
    </w:p>
    <w:p>
      <w:pPr>
        <w:spacing w:line="540" w:lineRule="exact"/>
        <w:ind w:firstLine="640" w:firstLineChars="200"/>
        <w:jc w:val="right"/>
        <w:rPr>
          <w:rFonts w:ascii="仿宋_GB2312" w:hAnsi="仿宋_GB2312" w:eastAsia="仿宋_GB2312" w:cs="仿宋_GB2312"/>
          <w:sz w:val="32"/>
          <w:szCs w:val="32"/>
          <w:lang w:eastAsia="zh-CN"/>
        </w:rPr>
      </w:pPr>
      <w:r>
        <w:rPr>
          <w:rFonts w:hint="eastAsia" w:ascii="仿宋_GB2312" w:eastAsia="仿宋_GB2312"/>
          <w:sz w:val="32"/>
          <w:szCs w:val="32"/>
          <w:lang w:eastAsia="zh-CN"/>
        </w:rPr>
        <w:t>青岛西海岸新</w:t>
      </w:r>
      <w:r>
        <w:rPr>
          <w:rFonts w:hint="eastAsia" w:ascii="仿宋_GB2312" w:hAnsi="仿宋_GB2312" w:eastAsia="仿宋_GB2312" w:cs="仿宋_GB2312"/>
          <w:sz w:val="32"/>
          <w:szCs w:val="32"/>
          <w:lang w:eastAsia="zh-CN"/>
        </w:rPr>
        <w:t>区工程建设项目</w:t>
      </w:r>
    </w:p>
    <w:p>
      <w:pPr>
        <w:spacing w:line="540" w:lineRule="exact"/>
        <w:ind w:firstLine="640" w:firstLineChars="200"/>
        <w:jc w:val="righ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审批制度改革领导小组办公室</w:t>
      </w:r>
    </w:p>
    <w:p>
      <w:pPr>
        <w:spacing w:after="240" w:afterLines="100" w:line="540" w:lineRule="exact"/>
        <w:ind w:right="318" w:firstLine="640" w:firstLineChars="200"/>
        <w:jc w:val="righ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w:t>
      </w:r>
      <w:r>
        <w:rPr>
          <w:rFonts w:ascii="仿宋_GB2312" w:hAnsi="仿宋_GB2312" w:eastAsia="仿宋_GB2312" w:cs="仿宋_GB2312"/>
          <w:sz w:val="32"/>
          <w:szCs w:val="32"/>
          <w:lang w:eastAsia="zh-CN"/>
        </w:rPr>
        <w:t>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日</w:t>
      </w:r>
    </w:p>
    <w:p>
      <w:pPr>
        <w:spacing w:line="20" w:lineRule="exact"/>
        <w:ind w:right="318" w:firstLine="260" w:firstLineChars="200"/>
        <w:jc w:val="right"/>
        <w:rPr>
          <w:rFonts w:ascii="仿宋_GB2312" w:hAnsi="仿宋_GB2312" w:eastAsia="仿宋_GB2312" w:cs="仿宋_GB2312"/>
          <w:sz w:val="13"/>
          <w:szCs w:val="13"/>
          <w:lang w:eastAsia="zh-CN"/>
        </w:rPr>
      </w:pPr>
    </w:p>
    <w:p>
      <w:pPr>
        <w:adjustRightInd w:val="0"/>
        <w:snapToGrid w:val="0"/>
        <w:spacing w:line="560" w:lineRule="exact"/>
        <w:rPr>
          <w:rFonts w:ascii="仿宋_GB2312" w:hAnsi="宋体" w:eastAsia="仿宋_GB2312"/>
          <w:w w:val="90"/>
          <w:sz w:val="28"/>
          <w:szCs w:val="28"/>
          <w:lang w:eastAsia="zh-CN"/>
        </w:rPr>
      </w:pPr>
    </w:p>
    <w:p>
      <w:pPr>
        <w:adjustRightInd w:val="0"/>
        <w:snapToGrid w:val="0"/>
        <w:spacing w:line="560" w:lineRule="exact"/>
        <w:rPr>
          <w:rFonts w:ascii="仿宋_GB2312" w:hAnsi="宋体" w:eastAsia="仿宋_GB2312"/>
          <w:w w:val="90"/>
          <w:sz w:val="28"/>
          <w:szCs w:val="28"/>
          <w:lang w:eastAsia="zh-CN"/>
        </w:rPr>
        <w:sectPr>
          <w:footerReference r:id="rId3" w:type="default"/>
          <w:footerReference r:id="rId4" w:type="even"/>
          <w:pgSz w:w="11910" w:h="16840"/>
          <w:pgMar w:top="2098" w:right="1474" w:bottom="1985" w:left="1588" w:header="0" w:footer="941" w:gutter="0"/>
          <w:pgNumType w:start="6"/>
          <w:cols w:space="720" w:num="1"/>
          <w:titlePg/>
          <w:docGrid w:linePitch="326" w:charSpace="0"/>
        </w:sectPr>
      </w:pPr>
    </w:p>
    <w:p>
      <w:pPr>
        <w:adjustRightInd w:val="0"/>
        <w:snapToGrid w:val="0"/>
        <w:spacing w:line="560" w:lineRule="exact"/>
        <w:ind w:firstLine="180" w:firstLineChars="100"/>
        <w:rPr>
          <w:rFonts w:ascii="黑体" w:eastAsia="黑体"/>
          <w:sz w:val="18"/>
          <w:lang w:eastAsia="zh-CN"/>
        </w:rPr>
      </w:pPr>
      <w:r>
        <w:rPr>
          <w:rFonts w:hint="eastAsia" w:ascii="黑体" w:eastAsia="黑体"/>
          <w:sz w:val="18"/>
          <w:lang w:eastAsia="zh-CN"/>
        </w:rPr>
        <w:t>附件</w:t>
      </w:r>
    </w:p>
    <w:p>
      <w:pPr>
        <w:spacing w:line="515" w:lineRule="exact"/>
        <w:ind w:left="3691" w:right="3789"/>
        <w:jc w:val="center"/>
        <w:rPr>
          <w:rFonts w:ascii="方正小标宋简体" w:eastAsia="方正小标宋简体"/>
          <w:sz w:val="32"/>
          <w:lang w:eastAsia="zh-CN"/>
        </w:rPr>
      </w:pPr>
      <w:r>
        <mc:AlternateContent>
          <mc:Choice Requires="wps">
            <w:drawing>
              <wp:anchor distT="0" distB="0" distL="114300" distR="114300" simplePos="0" relativeHeight="251660288" behindDoc="0" locked="0" layoutInCell="1" allowOverlap="1">
                <wp:simplePos x="0" y="0"/>
                <wp:positionH relativeFrom="page">
                  <wp:posOffset>688340</wp:posOffset>
                </wp:positionH>
                <wp:positionV relativeFrom="page">
                  <wp:posOffset>1676400</wp:posOffset>
                </wp:positionV>
                <wp:extent cx="9408160" cy="56178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9408160" cy="5617845"/>
                        </a:xfrm>
                        <a:prstGeom prst="rect">
                          <a:avLst/>
                        </a:prstGeom>
                        <a:noFill/>
                        <a:ln w="9525">
                          <a:noFill/>
                        </a:ln>
                      </wps:spPr>
                      <wps:txbx>
                        <w:txbxContent>
                          <w:tbl>
                            <w:tblPr>
                              <w:tblStyle w:val="10"/>
                              <w:tblW w:w="142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3"/>
                              <w:gridCol w:w="792"/>
                              <w:gridCol w:w="1031"/>
                              <w:gridCol w:w="1082"/>
                              <w:gridCol w:w="7447"/>
                              <w:gridCol w:w="1624"/>
                              <w:gridCol w:w="946"/>
                              <w:gridCol w:w="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9" w:hRule="atLeast"/>
                                <w:jc w:val="center"/>
                              </w:trPr>
                              <w:tc>
                                <w:tcPr>
                                  <w:tcW w:w="333" w:type="dxa"/>
                                </w:tcPr>
                                <w:p>
                                  <w:pPr>
                                    <w:pStyle w:val="20"/>
                                    <w:spacing w:before="11"/>
                                    <w:jc w:val="center"/>
                                    <w:rPr>
                                      <w:rFonts w:ascii="方正小标宋简体"/>
                                      <w:sz w:val="20"/>
                                    </w:rPr>
                                  </w:pPr>
                                </w:p>
                                <w:p>
                                  <w:pPr>
                                    <w:pStyle w:val="20"/>
                                    <w:ind w:left="23"/>
                                    <w:jc w:val="center"/>
                                    <w:rPr>
                                      <w:rFonts w:ascii="黑体" w:eastAsia="黑体"/>
                                      <w:sz w:val="14"/>
                                    </w:rPr>
                                  </w:pPr>
                                  <w:r>
                                    <w:rPr>
                                      <w:rFonts w:hint="eastAsia" w:ascii="黑体" w:eastAsia="黑体"/>
                                      <w:w w:val="105"/>
                                      <w:sz w:val="14"/>
                                    </w:rPr>
                                    <w:t>序号</w:t>
                                  </w:r>
                                </w:p>
                              </w:tc>
                              <w:tc>
                                <w:tcPr>
                                  <w:tcW w:w="792" w:type="dxa"/>
                                </w:tcPr>
                                <w:p>
                                  <w:pPr>
                                    <w:pStyle w:val="20"/>
                                    <w:spacing w:before="11"/>
                                    <w:jc w:val="center"/>
                                    <w:rPr>
                                      <w:rFonts w:ascii="方正小标宋简体"/>
                                      <w:sz w:val="20"/>
                                    </w:rPr>
                                  </w:pPr>
                                </w:p>
                                <w:p>
                                  <w:pPr>
                                    <w:pStyle w:val="20"/>
                                    <w:ind w:left="117"/>
                                    <w:jc w:val="center"/>
                                    <w:rPr>
                                      <w:rFonts w:ascii="黑体" w:eastAsia="黑体"/>
                                      <w:sz w:val="14"/>
                                    </w:rPr>
                                  </w:pPr>
                                  <w:r>
                                    <w:rPr>
                                      <w:rFonts w:hint="eastAsia" w:ascii="黑体" w:eastAsia="黑体"/>
                                      <w:w w:val="105"/>
                                      <w:sz w:val="14"/>
                                    </w:rPr>
                                    <w:t>事项名称</w:t>
                                  </w:r>
                                </w:p>
                              </w:tc>
                              <w:tc>
                                <w:tcPr>
                                  <w:tcW w:w="1031" w:type="dxa"/>
                                </w:tcPr>
                                <w:p>
                                  <w:pPr>
                                    <w:pStyle w:val="20"/>
                                    <w:spacing w:before="10"/>
                                    <w:jc w:val="center"/>
                                    <w:rPr>
                                      <w:rFonts w:ascii="方正小标宋简体"/>
                                      <w:sz w:val="9"/>
                                    </w:rPr>
                                  </w:pPr>
                                </w:p>
                                <w:p>
                                  <w:pPr>
                                    <w:pStyle w:val="20"/>
                                    <w:spacing w:before="1"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082" w:type="dxa"/>
                                </w:tcPr>
                                <w:p>
                                  <w:pPr>
                                    <w:pStyle w:val="20"/>
                                    <w:spacing w:before="11"/>
                                    <w:jc w:val="center"/>
                                    <w:rPr>
                                      <w:rFonts w:ascii="方正小标宋简体"/>
                                      <w:sz w:val="20"/>
                                    </w:rPr>
                                  </w:pPr>
                                </w:p>
                                <w:p>
                                  <w:pPr>
                                    <w:pStyle w:val="20"/>
                                    <w:ind w:left="32" w:right="15"/>
                                    <w:jc w:val="center"/>
                                    <w:rPr>
                                      <w:rFonts w:ascii="黑体" w:eastAsia="黑体"/>
                                      <w:sz w:val="14"/>
                                    </w:rPr>
                                  </w:pPr>
                                  <w:r>
                                    <w:rPr>
                                      <w:rFonts w:hint="eastAsia" w:ascii="黑体" w:eastAsia="黑体"/>
                                      <w:w w:val="105"/>
                                      <w:sz w:val="14"/>
                                    </w:rPr>
                                    <w:t>特殊程序名称</w:t>
                                  </w:r>
                                </w:p>
                              </w:tc>
                              <w:tc>
                                <w:tcPr>
                                  <w:tcW w:w="7447" w:type="dxa"/>
                                </w:tcPr>
                                <w:p>
                                  <w:pPr>
                                    <w:pStyle w:val="20"/>
                                    <w:spacing w:before="11"/>
                                    <w:rPr>
                                      <w:rFonts w:ascii="方正小标宋简体"/>
                                      <w:sz w:val="20"/>
                                    </w:rPr>
                                  </w:pPr>
                                </w:p>
                                <w:p>
                                  <w:pPr>
                                    <w:pStyle w:val="20"/>
                                    <w:ind w:left="2655" w:right="2645"/>
                                    <w:jc w:val="center"/>
                                    <w:rPr>
                                      <w:rFonts w:ascii="黑体" w:eastAsia="黑体"/>
                                      <w:sz w:val="14"/>
                                    </w:rPr>
                                  </w:pPr>
                                  <w:r>
                                    <w:rPr>
                                      <w:rFonts w:hint="eastAsia" w:ascii="黑体" w:eastAsia="黑体"/>
                                      <w:w w:val="105"/>
                                      <w:sz w:val="14"/>
                                    </w:rPr>
                                    <w:t>特殊程序主要依据</w:t>
                                  </w:r>
                                </w:p>
                              </w:tc>
                              <w:tc>
                                <w:tcPr>
                                  <w:tcW w:w="1624" w:type="dxa"/>
                                  <w:vAlign w:val="center"/>
                                </w:tcPr>
                                <w:p>
                                  <w:pPr>
                                    <w:pStyle w:val="20"/>
                                    <w:spacing w:line="244" w:lineRule="auto"/>
                                    <w:jc w:val="center"/>
                                    <w:rPr>
                                      <w:rFonts w:ascii="黑体" w:eastAsia="黑体"/>
                                      <w:w w:val="105"/>
                                      <w:sz w:val="14"/>
                                    </w:rPr>
                                  </w:pPr>
                                  <w:r>
                                    <w:rPr>
                                      <w:rFonts w:hint="eastAsia" w:ascii="黑体" w:eastAsia="黑体"/>
                                      <w:w w:val="105"/>
                                      <w:sz w:val="14"/>
                                    </w:rPr>
                                    <w:t>特殊程序</w:t>
                                  </w:r>
                                </w:p>
                                <w:p>
                                  <w:pPr>
                                    <w:pStyle w:val="20"/>
                                    <w:spacing w:line="244" w:lineRule="auto"/>
                                    <w:jc w:val="center"/>
                                    <w:rPr>
                                      <w:rFonts w:ascii="黑体" w:eastAsia="黑体"/>
                                      <w:sz w:val="14"/>
                                    </w:rPr>
                                  </w:pPr>
                                  <w:r>
                                    <w:rPr>
                                      <w:rFonts w:hint="eastAsia" w:ascii="黑体" w:eastAsia="黑体"/>
                                      <w:w w:val="105"/>
                                      <w:sz w:val="14"/>
                                    </w:rPr>
                                    <w:t>适用条件</w:t>
                                  </w:r>
                                </w:p>
                              </w:tc>
                              <w:tc>
                                <w:tcPr>
                                  <w:tcW w:w="946" w:type="dxa"/>
                                </w:tcPr>
                                <w:p>
                                  <w:pPr>
                                    <w:pStyle w:val="20"/>
                                    <w:spacing w:before="10"/>
                                    <w:jc w:val="center"/>
                                    <w:rPr>
                                      <w:rFonts w:ascii="方正小标宋简体"/>
                                      <w:sz w:val="9"/>
                                    </w:rPr>
                                  </w:pPr>
                                </w:p>
                                <w:p>
                                  <w:pPr>
                                    <w:pStyle w:val="20"/>
                                    <w:spacing w:before="1"/>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71" w:type="dxa"/>
                                </w:tcPr>
                                <w:p>
                                  <w:pPr>
                                    <w:pStyle w:val="20"/>
                                    <w:spacing w:before="4"/>
                                    <w:rPr>
                                      <w:rFonts w:ascii="方正小标宋简体"/>
                                      <w:sz w:val="15"/>
                                    </w:rPr>
                                  </w:pPr>
                                </w:p>
                                <w:p>
                                  <w:pPr>
                                    <w:pStyle w:val="20"/>
                                    <w:spacing w:before="1" w:line="244" w:lineRule="auto"/>
                                    <w:ind w:left="391" w:right="61" w:hanging="303"/>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04" w:hRule="atLeast"/>
                                <w:jc w:val="center"/>
                              </w:trPr>
                              <w:tc>
                                <w:tcPr>
                                  <w:tcW w:w="333" w:type="dxa"/>
                                  <w:vMerge w:val="restart"/>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spacing w:before="2"/>
                                    <w:jc w:val="center"/>
                                    <w:rPr>
                                      <w:rFonts w:ascii="方正小标宋简体"/>
                                      <w:sz w:val="16"/>
                                    </w:rPr>
                                  </w:pPr>
                                </w:p>
                                <w:p>
                                  <w:pPr>
                                    <w:pStyle w:val="20"/>
                                    <w:ind w:left="29"/>
                                    <w:jc w:val="center"/>
                                    <w:rPr>
                                      <w:rFonts w:hint="eastAsia" w:eastAsia="宋体"/>
                                      <w:sz w:val="14"/>
                                      <w:lang w:val="en-US" w:eastAsia="zh-CN"/>
                                    </w:rPr>
                                  </w:pPr>
                                  <w:r>
                                    <w:rPr>
                                      <w:rFonts w:hint="eastAsia"/>
                                      <w:sz w:val="14"/>
                                      <w:lang w:val="en-US" w:eastAsia="zh-CN"/>
                                    </w:rPr>
                                    <w:t>1</w:t>
                                  </w:r>
                                </w:p>
                              </w:tc>
                              <w:tc>
                                <w:tcPr>
                                  <w:tcW w:w="792" w:type="dxa"/>
                                  <w:vMerge w:val="restart"/>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spacing w:before="13"/>
                                    <w:jc w:val="center"/>
                                    <w:rPr>
                                      <w:rFonts w:ascii="方正小标宋简体"/>
                                      <w:sz w:val="10"/>
                                    </w:rPr>
                                  </w:pPr>
                                </w:p>
                                <w:p>
                                  <w:pPr>
                                    <w:pStyle w:val="20"/>
                                    <w:spacing w:line="242" w:lineRule="auto"/>
                                    <w:ind w:left="40" w:right="28"/>
                                    <w:jc w:val="center"/>
                                    <w:rPr>
                                      <w:sz w:val="14"/>
                                    </w:rPr>
                                  </w:pPr>
                                  <w:r>
                                    <w:rPr>
                                      <w:w w:val="105"/>
                                      <w:sz w:val="14"/>
                                    </w:rPr>
                                    <w:t>固定资产投资项目核准</w:t>
                                  </w:r>
                                </w:p>
                              </w:tc>
                              <w:tc>
                                <w:tcPr>
                                  <w:tcW w:w="1031" w:type="dxa"/>
                                  <w:vMerge w:val="restart"/>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spacing w:before="13"/>
                                    <w:jc w:val="center"/>
                                    <w:rPr>
                                      <w:rFonts w:ascii="方正小标宋简体"/>
                                      <w:sz w:val="10"/>
                                    </w:rPr>
                                  </w:pPr>
                                </w:p>
                                <w:p>
                                  <w:pPr>
                                    <w:pStyle w:val="20"/>
                                    <w:spacing w:line="242" w:lineRule="auto"/>
                                    <w:ind w:left="27" w:right="79"/>
                                    <w:jc w:val="center"/>
                                    <w:rPr>
                                      <w:sz w:val="14"/>
                                    </w:rPr>
                                  </w:pPr>
                                  <w:r>
                                    <w:rPr>
                                      <w:w w:val="105"/>
                                      <w:sz w:val="14"/>
                                    </w:rPr>
                                    <w:t>固定资产投资项目核准（3日）</w:t>
                                  </w:r>
                                </w:p>
                              </w:tc>
                              <w:tc>
                                <w:tcPr>
                                  <w:tcW w:w="1082" w:type="dxa"/>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0"/>
                                    </w:rPr>
                                  </w:pPr>
                                </w:p>
                                <w:p>
                                  <w:pPr>
                                    <w:pStyle w:val="20"/>
                                    <w:spacing w:line="252" w:lineRule="auto"/>
                                    <w:jc w:val="center"/>
                                    <w:rPr>
                                      <w:sz w:val="14"/>
                                    </w:rPr>
                                  </w:pPr>
                                  <w:r>
                                    <w:rPr>
                                      <w:w w:val="105"/>
                                      <w:sz w:val="14"/>
                                    </w:rPr>
                                    <w:t>征求部门或地方政府意见</w:t>
                                  </w:r>
                                </w:p>
                              </w:tc>
                              <w:tc>
                                <w:tcPr>
                                  <w:tcW w:w="7447" w:type="dxa"/>
                                </w:tcPr>
                                <w:p>
                                  <w:pPr>
                                    <w:pStyle w:val="20"/>
                                    <w:spacing w:before="96" w:line="249" w:lineRule="auto"/>
                                    <w:ind w:left="27" w:right="30"/>
                                    <w:rPr>
                                      <w:sz w:val="14"/>
                                    </w:rPr>
                                  </w:pPr>
                                  <w:r>
                                    <w:rPr>
                                      <w:w w:val="105"/>
                                      <w:sz w:val="14"/>
                                    </w:rPr>
                                    <w:t>【部门规章】 《企业投资项目核准和备案管理办法》（中华人民共和国国家发展和改革委员会令第2号）</w:t>
                                  </w:r>
                                </w:p>
                                <w:p>
                                  <w:pPr>
                                    <w:pStyle w:val="20"/>
                                    <w:spacing w:before="1" w:line="249" w:lineRule="auto"/>
                                    <w:ind w:left="27" w:right="15"/>
                                    <w:rPr>
                                      <w:sz w:val="14"/>
                                    </w:rPr>
                                  </w:pPr>
                                  <w:r>
                                    <w:rPr>
                                      <w:w w:val="105"/>
                                      <w:sz w:val="14"/>
                                    </w:rPr>
                                    <w:t>第二十七条 项目涉及有关行业管理部门或者项目所在地地方政府职责的，项目核准机关应当商请有关行业管理部门或地方人民政府在 7个工作日内出具书面审查意见。有关行业管理部门或地方人民政府逾期没有反馈书面审查意见的，视为同意。</w:t>
                                  </w:r>
                                </w:p>
                                <w:p>
                                  <w:pPr>
                                    <w:pStyle w:val="20"/>
                                    <w:spacing w:line="177" w:lineRule="exact"/>
                                    <w:ind w:left="27"/>
                                    <w:rPr>
                                      <w:sz w:val="14"/>
                                    </w:rPr>
                                  </w:pPr>
                                  <w:r>
                                    <w:rPr>
                                      <w:w w:val="105"/>
                                      <w:sz w:val="14"/>
                                    </w:rPr>
                                    <w:t>【政府规章】《山东省企业投资项目核准和备案管理办法》（山东省人民政府令第326号）</w:t>
                                  </w:r>
                                </w:p>
                                <w:p>
                                  <w:pPr>
                                    <w:pStyle w:val="20"/>
                                    <w:tabs>
                                      <w:tab w:val="left" w:leader="dot" w:pos="1107"/>
                                    </w:tabs>
                                    <w:spacing w:before="7"/>
                                    <w:ind w:left="27"/>
                                    <w:rPr>
                                      <w:sz w:val="14"/>
                                    </w:rPr>
                                  </w:pPr>
                                  <w:r>
                                    <w:rPr>
                                      <w:spacing w:val="5"/>
                                      <w:w w:val="105"/>
                                      <w:sz w:val="14"/>
                                    </w:rPr>
                                    <w:t>第十三</w:t>
                                  </w:r>
                                  <w:r>
                                    <w:rPr>
                                      <w:w w:val="105"/>
                                      <w:sz w:val="14"/>
                                    </w:rPr>
                                    <w:t xml:space="preserve">条 </w:t>
                                  </w:r>
                                  <w:r>
                                    <w:rPr>
                                      <w:spacing w:val="5"/>
                                      <w:w w:val="105"/>
                                      <w:sz w:val="14"/>
                                    </w:rPr>
                                    <w:t>核准机关根据工作需要可以征求有关部门或者</w:t>
                                  </w:r>
                                  <w:r>
                                    <w:rPr>
                                      <w:spacing w:val="6"/>
                                      <w:w w:val="105"/>
                                      <w:sz w:val="14"/>
                                    </w:rPr>
                                    <w:t>项目所在地县级以上人民政府的</w:t>
                                  </w:r>
                                  <w:r>
                                    <w:rPr>
                                      <w:w w:val="105"/>
                                      <w:sz w:val="14"/>
                                    </w:rPr>
                                    <w:t>意见，被征求意见单位应当及时书面回复。</w:t>
                                  </w:r>
                                </w:p>
                              </w:tc>
                              <w:tc>
                                <w:tcPr>
                                  <w:tcW w:w="1624" w:type="dxa"/>
                                </w:tcPr>
                                <w:p>
                                  <w:pPr>
                                    <w:pStyle w:val="20"/>
                                    <w:jc w:val="center"/>
                                    <w:rPr>
                                      <w:rFonts w:ascii="方正小标宋简体"/>
                                      <w:sz w:val="14"/>
                                    </w:rPr>
                                  </w:pPr>
                                </w:p>
                                <w:p>
                                  <w:pPr>
                                    <w:pStyle w:val="20"/>
                                    <w:spacing w:before="3"/>
                                    <w:jc w:val="center"/>
                                    <w:rPr>
                                      <w:rFonts w:ascii="方正小标宋简体"/>
                                      <w:sz w:val="19"/>
                                    </w:rPr>
                                  </w:pPr>
                                </w:p>
                                <w:p>
                                  <w:pPr>
                                    <w:pStyle w:val="20"/>
                                    <w:spacing w:line="249" w:lineRule="auto"/>
                                    <w:ind w:left="28" w:right="21"/>
                                    <w:jc w:val="center"/>
                                    <w:rPr>
                                      <w:sz w:val="14"/>
                                    </w:rPr>
                                  </w:pPr>
                                  <w:r>
                                    <w:rPr>
                                      <w:w w:val="105"/>
                                      <w:sz w:val="14"/>
                                    </w:rPr>
                                    <w:t>核准机关认为需要征求部门或者项目所在地县级以上人民政府意见的项目。</w:t>
                                  </w:r>
                                </w:p>
                              </w:tc>
                              <w:tc>
                                <w:tcPr>
                                  <w:tcW w:w="946" w:type="dxa"/>
                                </w:tcPr>
                                <w:p>
                                  <w:pPr>
                                    <w:pStyle w:val="20"/>
                                    <w:jc w:val="center"/>
                                    <w:rPr>
                                      <w:rFonts w:ascii="方正小标宋简体"/>
                                      <w:sz w:val="14"/>
                                    </w:rPr>
                                  </w:pPr>
                                </w:p>
                                <w:p>
                                  <w:pPr>
                                    <w:pStyle w:val="20"/>
                                    <w:spacing w:before="3"/>
                                    <w:jc w:val="center"/>
                                    <w:rPr>
                                      <w:rFonts w:ascii="方正小标宋简体"/>
                                      <w:sz w:val="19"/>
                                    </w:rPr>
                                  </w:pPr>
                                </w:p>
                                <w:p>
                                  <w:pPr>
                                    <w:pStyle w:val="20"/>
                                    <w:spacing w:line="249" w:lineRule="auto"/>
                                    <w:ind w:left="44" w:right="11"/>
                                    <w:jc w:val="center"/>
                                    <w:rPr>
                                      <w:w w:val="105"/>
                                      <w:sz w:val="14"/>
                                    </w:rPr>
                                  </w:pPr>
                                  <w:r>
                                    <w:rPr>
                                      <w:w w:val="105"/>
                                      <w:sz w:val="14"/>
                                    </w:rPr>
                                    <w:t>法定时限：7</w:t>
                                  </w:r>
                                </w:p>
                                <w:p>
                                  <w:pPr>
                                    <w:pStyle w:val="20"/>
                                    <w:spacing w:line="249" w:lineRule="auto"/>
                                    <w:ind w:left="44" w:right="11"/>
                                    <w:jc w:val="center"/>
                                    <w:rPr>
                                      <w:sz w:val="14"/>
                                    </w:rPr>
                                  </w:pPr>
                                  <w:r>
                                    <w:rPr>
                                      <w:w w:val="105"/>
                                      <w:sz w:val="14"/>
                                    </w:rPr>
                                    <w:t>承诺时限：</w:t>
                                  </w:r>
                                  <w:r>
                                    <w:rPr>
                                      <w:w w:val="104"/>
                                      <w:sz w:val="14"/>
                                    </w:rPr>
                                    <w:t>5</w:t>
                                  </w:r>
                                </w:p>
                              </w:tc>
                              <w:tc>
                                <w:tcPr>
                                  <w:tcW w:w="971" w:type="dxa"/>
                                  <w:vMerge w:val="restart"/>
                                  <w:vAlign w:val="center"/>
                                </w:tcPr>
                                <w:p>
                                  <w:pPr>
                                    <w:pStyle w:val="20"/>
                                    <w:spacing w:line="242" w:lineRule="auto"/>
                                    <w:rPr>
                                      <w:sz w:val="14"/>
                                    </w:rPr>
                                  </w:pPr>
                                  <w:r>
                                    <w:rPr>
                                      <w:rFonts w:hint="eastAsia"/>
                                      <w:w w:val="105"/>
                                      <w:sz w:val="14"/>
                                    </w:rPr>
                                    <w:t>区发展改革局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06" w:hRule="atLeast"/>
                                <w:jc w:val="center"/>
                              </w:trPr>
                              <w:tc>
                                <w:tcPr>
                                  <w:tcW w:w="333" w:type="dxa"/>
                                  <w:vMerge w:val="continue"/>
                                  <w:tcBorders>
                                    <w:top w:val="nil"/>
                                  </w:tcBorders>
                                </w:tcPr>
                                <w:p>
                                  <w:pPr>
                                    <w:jc w:val="center"/>
                                    <w:rPr>
                                      <w:sz w:val="2"/>
                                      <w:szCs w:val="2"/>
                                    </w:rPr>
                                  </w:pPr>
                                </w:p>
                              </w:tc>
                              <w:tc>
                                <w:tcPr>
                                  <w:tcW w:w="792" w:type="dxa"/>
                                  <w:vMerge w:val="continue"/>
                                  <w:tcBorders>
                                    <w:top w:val="nil"/>
                                  </w:tcBorders>
                                </w:tcPr>
                                <w:p>
                                  <w:pPr>
                                    <w:jc w:val="center"/>
                                    <w:rPr>
                                      <w:sz w:val="2"/>
                                      <w:szCs w:val="2"/>
                                    </w:rPr>
                                  </w:pPr>
                                </w:p>
                              </w:tc>
                              <w:tc>
                                <w:tcPr>
                                  <w:tcW w:w="1031" w:type="dxa"/>
                                  <w:vMerge w:val="continue"/>
                                  <w:tcBorders>
                                    <w:top w:val="nil"/>
                                  </w:tcBorders>
                                </w:tcPr>
                                <w:p>
                                  <w:pPr>
                                    <w:jc w:val="center"/>
                                    <w:rPr>
                                      <w:sz w:val="2"/>
                                      <w:szCs w:val="2"/>
                                    </w:rPr>
                                  </w:pPr>
                                </w:p>
                              </w:tc>
                              <w:tc>
                                <w:tcPr>
                                  <w:tcW w:w="1082" w:type="dxa"/>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8"/>
                                    </w:rPr>
                                  </w:pPr>
                                </w:p>
                                <w:p>
                                  <w:pPr>
                                    <w:pStyle w:val="20"/>
                                    <w:jc w:val="center"/>
                                    <w:rPr>
                                      <w:sz w:val="14"/>
                                    </w:rPr>
                                  </w:pPr>
                                  <w:r>
                                    <w:rPr>
                                      <w:w w:val="105"/>
                                      <w:sz w:val="14"/>
                                    </w:rPr>
                                    <w:t>委托评估</w:t>
                                  </w:r>
                                </w:p>
                              </w:tc>
                              <w:tc>
                                <w:tcPr>
                                  <w:tcW w:w="7447" w:type="dxa"/>
                                </w:tcPr>
                                <w:p>
                                  <w:pPr>
                                    <w:pStyle w:val="20"/>
                                    <w:spacing w:before="105" w:line="252" w:lineRule="auto"/>
                                    <w:ind w:left="27" w:right="30"/>
                                    <w:rPr>
                                      <w:sz w:val="14"/>
                                    </w:rPr>
                                  </w:pPr>
                                  <w:r>
                                    <w:rPr>
                                      <w:w w:val="105"/>
                                      <w:sz w:val="14"/>
                                    </w:rPr>
                                    <w:t>【部门规章】 《企业投资项目核准和备案管理办法》（中华人民共和国国家发展和改革委员会令第2号）</w:t>
                                  </w:r>
                                </w:p>
                                <w:p>
                                  <w:pPr>
                                    <w:pStyle w:val="20"/>
                                    <w:spacing w:line="247" w:lineRule="auto"/>
                                    <w:ind w:left="27" w:right="11"/>
                                    <w:rPr>
                                      <w:sz w:val="14"/>
                                    </w:rPr>
                                  </w:pPr>
                                  <w:r>
                                    <w:rPr>
                                      <w:w w:val="105"/>
                                      <w:sz w:val="14"/>
                                    </w:rPr>
                                    <w:t>第二十六条 项目核准机关在正式受理项目申请报告后，需要评估的，应在4个工作日内按照有关规定委托具有相应资质的工程咨询机构进行评估 。项目核准机关在委托评估时，应当根据项目具体情况，提出评估重点，明确评估时限。除项目情况复杂的，评估时限不得超过30个工作日。</w:t>
                                  </w:r>
                                </w:p>
                                <w:p>
                                  <w:pPr>
                                    <w:pStyle w:val="20"/>
                                    <w:ind w:left="27"/>
                                    <w:rPr>
                                      <w:sz w:val="14"/>
                                    </w:rPr>
                                  </w:pPr>
                                  <w:r>
                                    <w:rPr>
                                      <w:w w:val="105"/>
                                      <w:sz w:val="14"/>
                                    </w:rPr>
                                    <w:t>【政府规章】《山东省企业投资项目核准和备案管理办法》（山东省人民政府令第326号）</w:t>
                                  </w:r>
                                </w:p>
                                <w:p>
                                  <w:pPr>
                                    <w:pStyle w:val="20"/>
                                    <w:spacing w:before="9" w:line="249" w:lineRule="auto"/>
                                    <w:ind w:left="27" w:right="11"/>
                                    <w:rPr>
                                      <w:sz w:val="14"/>
                                    </w:rPr>
                                  </w:pPr>
                                  <w:r>
                                    <w:rPr>
                                      <w:w w:val="105"/>
                                      <w:sz w:val="14"/>
                                    </w:rPr>
                                    <w:t>第十四条 核准机关委托中介服务机构对企业投资项目进行评估的，应当根据项目具体情况明确评估重点和评估时限；除项目情况复杂的外，评估时限一般不得超过30个工作日。评估费用由本级财政予以保障，评估机构及其工作人员不得向企业收取任何费用。</w:t>
                                  </w:r>
                                </w:p>
                              </w:tc>
                              <w:tc>
                                <w:tcPr>
                                  <w:tcW w:w="1624" w:type="dxa"/>
                                </w:tcPr>
                                <w:p>
                                  <w:pPr>
                                    <w:pStyle w:val="20"/>
                                    <w:jc w:val="center"/>
                                    <w:rPr>
                                      <w:rFonts w:ascii="方正小标宋简体"/>
                                      <w:sz w:val="14"/>
                                    </w:rPr>
                                  </w:pPr>
                                </w:p>
                                <w:p>
                                  <w:pPr>
                                    <w:pStyle w:val="20"/>
                                    <w:jc w:val="center"/>
                                    <w:rPr>
                                      <w:rFonts w:ascii="方正小标宋简体"/>
                                      <w:sz w:val="14"/>
                                    </w:rPr>
                                  </w:pPr>
                                </w:p>
                                <w:p>
                                  <w:pPr>
                                    <w:pStyle w:val="20"/>
                                    <w:spacing w:before="14"/>
                                    <w:jc w:val="center"/>
                                    <w:rPr>
                                      <w:rFonts w:ascii="方正小标宋简体"/>
                                      <w:sz w:val="16"/>
                                    </w:rPr>
                                  </w:pPr>
                                </w:p>
                                <w:p>
                                  <w:pPr>
                                    <w:pStyle w:val="20"/>
                                    <w:spacing w:line="249" w:lineRule="auto"/>
                                    <w:ind w:left="28" w:right="21"/>
                                    <w:jc w:val="center"/>
                                    <w:rPr>
                                      <w:sz w:val="14"/>
                                    </w:rPr>
                                  </w:pPr>
                                  <w:r>
                                    <w:rPr>
                                      <w:w w:val="105"/>
                                      <w:sz w:val="14"/>
                                    </w:rPr>
                                    <w:t>核准机关认为需要进行评估的项目。</w:t>
                                  </w:r>
                                </w:p>
                              </w:tc>
                              <w:tc>
                                <w:tcPr>
                                  <w:tcW w:w="946" w:type="dxa"/>
                                </w:tcPr>
                                <w:p>
                                  <w:pPr>
                                    <w:pStyle w:val="20"/>
                                    <w:jc w:val="center"/>
                                    <w:rPr>
                                      <w:rFonts w:ascii="方正小标宋简体"/>
                                      <w:sz w:val="14"/>
                                    </w:rPr>
                                  </w:pPr>
                                </w:p>
                                <w:p>
                                  <w:pPr>
                                    <w:pStyle w:val="20"/>
                                    <w:jc w:val="center"/>
                                    <w:rPr>
                                      <w:rFonts w:ascii="方正小标宋简体"/>
                                      <w:sz w:val="14"/>
                                    </w:rPr>
                                  </w:pPr>
                                </w:p>
                                <w:p>
                                  <w:pPr>
                                    <w:pStyle w:val="20"/>
                                    <w:spacing w:before="7"/>
                                    <w:jc w:val="center"/>
                                    <w:rPr>
                                      <w:rFonts w:ascii="方正小标宋简体"/>
                                      <w:sz w:val="11"/>
                                    </w:rPr>
                                  </w:pPr>
                                </w:p>
                                <w:p>
                                  <w:pPr>
                                    <w:pStyle w:val="20"/>
                                    <w:spacing w:line="247" w:lineRule="auto"/>
                                    <w:ind w:left="44" w:right="11"/>
                                    <w:jc w:val="center"/>
                                    <w:rPr>
                                      <w:w w:val="105"/>
                                      <w:sz w:val="14"/>
                                    </w:rPr>
                                  </w:pPr>
                                  <w:r>
                                    <w:rPr>
                                      <w:spacing w:val="2"/>
                                      <w:w w:val="105"/>
                                      <w:sz w:val="14"/>
                                    </w:rPr>
                                    <w:t>法定时限</w:t>
                                  </w:r>
                                  <w:r>
                                    <w:rPr>
                                      <w:w w:val="105"/>
                                      <w:sz w:val="14"/>
                                    </w:rPr>
                                    <w:t>：30</w:t>
                                  </w:r>
                                </w:p>
                                <w:p>
                                  <w:pPr>
                                    <w:pStyle w:val="20"/>
                                    <w:spacing w:line="247" w:lineRule="auto"/>
                                    <w:ind w:left="44" w:right="11"/>
                                    <w:jc w:val="center"/>
                                    <w:rPr>
                                      <w:sz w:val="14"/>
                                    </w:rPr>
                                  </w:pPr>
                                  <w:r>
                                    <w:rPr>
                                      <w:spacing w:val="-1"/>
                                      <w:w w:val="105"/>
                                      <w:sz w:val="14"/>
                                    </w:rPr>
                                    <w:t>承诺时限：</w:t>
                                  </w:r>
                                  <w:r>
                                    <w:rPr>
                                      <w:w w:val="105"/>
                                      <w:sz w:val="14"/>
                                    </w:rPr>
                                    <w:t>10</w:t>
                                  </w:r>
                                </w:p>
                              </w:tc>
                              <w:tc>
                                <w:tcPr>
                                  <w:tcW w:w="971" w:type="dxa"/>
                                  <w:vMerge w:val="continue"/>
                                  <w:tcBorders>
                                    <w:top w:val="nil"/>
                                  </w:tcBorders>
                                  <w:vAlign w:val="center"/>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85" w:hRule="atLeast"/>
                                <w:jc w:val="center"/>
                              </w:trPr>
                              <w:tc>
                                <w:tcPr>
                                  <w:tcW w:w="333" w:type="dxa"/>
                                  <w:vMerge w:val="continue"/>
                                  <w:tcBorders>
                                    <w:top w:val="nil"/>
                                  </w:tcBorders>
                                </w:tcPr>
                                <w:p>
                                  <w:pPr>
                                    <w:jc w:val="center"/>
                                    <w:rPr>
                                      <w:sz w:val="2"/>
                                      <w:szCs w:val="2"/>
                                      <w:lang w:eastAsia="zh-CN"/>
                                    </w:rPr>
                                  </w:pPr>
                                </w:p>
                              </w:tc>
                              <w:tc>
                                <w:tcPr>
                                  <w:tcW w:w="792" w:type="dxa"/>
                                  <w:vMerge w:val="continue"/>
                                  <w:tcBorders>
                                    <w:top w:val="nil"/>
                                  </w:tcBorders>
                                </w:tcPr>
                                <w:p>
                                  <w:pPr>
                                    <w:jc w:val="center"/>
                                    <w:rPr>
                                      <w:sz w:val="2"/>
                                      <w:szCs w:val="2"/>
                                      <w:lang w:eastAsia="zh-CN"/>
                                    </w:rPr>
                                  </w:pPr>
                                </w:p>
                              </w:tc>
                              <w:tc>
                                <w:tcPr>
                                  <w:tcW w:w="1031" w:type="dxa"/>
                                  <w:vMerge w:val="continue"/>
                                  <w:tcBorders>
                                    <w:top w:val="nil"/>
                                  </w:tcBorders>
                                </w:tcPr>
                                <w:p>
                                  <w:pPr>
                                    <w:jc w:val="center"/>
                                    <w:rPr>
                                      <w:sz w:val="2"/>
                                      <w:szCs w:val="2"/>
                                      <w:lang w:eastAsia="zh-CN"/>
                                    </w:rPr>
                                  </w:pPr>
                                </w:p>
                              </w:tc>
                              <w:tc>
                                <w:tcPr>
                                  <w:tcW w:w="1082" w:type="dxa"/>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9"/>
                                    </w:rPr>
                                  </w:pPr>
                                </w:p>
                                <w:p>
                                  <w:pPr>
                                    <w:pStyle w:val="20"/>
                                    <w:jc w:val="center"/>
                                    <w:rPr>
                                      <w:sz w:val="14"/>
                                    </w:rPr>
                                  </w:pPr>
                                  <w:r>
                                    <w:rPr>
                                      <w:w w:val="105"/>
                                      <w:sz w:val="14"/>
                                    </w:rPr>
                                    <w:t>征求公众意见</w:t>
                                  </w:r>
                                </w:p>
                              </w:tc>
                              <w:tc>
                                <w:tcPr>
                                  <w:tcW w:w="7447" w:type="dxa"/>
                                </w:tcPr>
                                <w:p>
                                  <w:pPr>
                                    <w:pStyle w:val="20"/>
                                    <w:spacing w:before="76" w:line="249" w:lineRule="auto"/>
                                    <w:ind w:left="27" w:right="30"/>
                                    <w:rPr>
                                      <w:sz w:val="14"/>
                                    </w:rPr>
                                  </w:pPr>
                                  <w:r>
                                    <w:rPr>
                                      <w:w w:val="105"/>
                                      <w:sz w:val="14"/>
                                    </w:rPr>
                                    <w:t>【部门规章】 《企业投资项目核准和备案管理办法》（中华人民共和国国家发展和改革委员会令第2号）</w:t>
                                  </w:r>
                                </w:p>
                                <w:p>
                                  <w:pPr>
                                    <w:pStyle w:val="20"/>
                                    <w:spacing w:before="2" w:line="249" w:lineRule="auto"/>
                                    <w:ind w:left="27" w:right="5"/>
                                    <w:rPr>
                                      <w:sz w:val="14"/>
                                    </w:rPr>
                                  </w:pPr>
                                  <w:r>
                                    <w:rPr>
                                      <w:w w:val="105"/>
                                      <w:sz w:val="14"/>
                                    </w:rPr>
                                    <w:t>第二十八条 项目建设可能对公众利益构成重大影响的 ，项目核准机关在作出核准决定前，应当采取适当方式征求公众意见。</w:t>
                                  </w:r>
                                </w:p>
                                <w:p>
                                  <w:pPr>
                                    <w:pStyle w:val="20"/>
                                    <w:spacing w:line="176" w:lineRule="exact"/>
                                    <w:ind w:left="27"/>
                                    <w:rPr>
                                      <w:sz w:val="14"/>
                                    </w:rPr>
                                  </w:pPr>
                                  <w:r>
                                    <w:rPr>
                                      <w:w w:val="105"/>
                                      <w:sz w:val="14"/>
                                    </w:rPr>
                                    <w:t>【政府规章】《山东省企业投资项目核准和备案管理办法》（山东省人民政府令第326号）</w:t>
                                  </w:r>
                                </w:p>
                                <w:p>
                                  <w:pPr>
                                    <w:pStyle w:val="20"/>
                                    <w:spacing w:before="8" w:line="249" w:lineRule="auto"/>
                                    <w:ind w:left="27"/>
                                    <w:rPr>
                                      <w:sz w:val="14"/>
                                    </w:rPr>
                                  </w:pPr>
                                  <w:r>
                                    <w:rPr>
                                      <w:w w:val="105"/>
                                      <w:sz w:val="14"/>
                                    </w:rPr>
                                    <w:t>第十四条 企业投资项目建设可能对公共环境、公共安全、公众利益等构成重大影响的，核准机关应当按照国家有关规定征求公众意见。</w:t>
                                  </w:r>
                                </w:p>
                              </w:tc>
                              <w:tc>
                                <w:tcPr>
                                  <w:tcW w:w="1624" w:type="dxa"/>
                                </w:tcPr>
                                <w:p>
                                  <w:pPr>
                                    <w:pStyle w:val="20"/>
                                    <w:jc w:val="center"/>
                                    <w:rPr>
                                      <w:rFonts w:ascii="方正小标宋简体"/>
                                      <w:sz w:val="14"/>
                                    </w:rPr>
                                  </w:pPr>
                                </w:p>
                                <w:p>
                                  <w:pPr>
                                    <w:pStyle w:val="20"/>
                                    <w:spacing w:before="11"/>
                                    <w:jc w:val="center"/>
                                    <w:rPr>
                                      <w:rFonts w:ascii="方正小标宋简体"/>
                                      <w:sz w:val="12"/>
                                    </w:rPr>
                                  </w:pPr>
                                </w:p>
                                <w:p>
                                  <w:pPr>
                                    <w:pStyle w:val="20"/>
                                    <w:spacing w:line="247" w:lineRule="auto"/>
                                    <w:ind w:left="28" w:right="3"/>
                                    <w:jc w:val="center"/>
                                    <w:rPr>
                                      <w:sz w:val="14"/>
                                    </w:rPr>
                                  </w:pPr>
                                  <w:r>
                                    <w:rPr>
                                      <w:w w:val="105"/>
                                      <w:sz w:val="14"/>
                                    </w:rPr>
                                    <w:t>企业投资项目建设可能对公共环境、公共安全、公众利益等构成重大影响的项目。</w:t>
                                  </w:r>
                                </w:p>
                              </w:tc>
                              <w:tc>
                                <w:tcPr>
                                  <w:tcW w:w="946" w:type="dxa"/>
                                </w:tcPr>
                                <w:p>
                                  <w:pPr>
                                    <w:pStyle w:val="20"/>
                                    <w:jc w:val="center"/>
                                    <w:rPr>
                                      <w:rFonts w:ascii="方正小标宋简体"/>
                                      <w:sz w:val="14"/>
                                    </w:rPr>
                                  </w:pPr>
                                </w:p>
                                <w:p>
                                  <w:pPr>
                                    <w:pStyle w:val="20"/>
                                    <w:spacing w:before="11"/>
                                    <w:jc w:val="center"/>
                                    <w:rPr>
                                      <w:rFonts w:ascii="方正小标宋简体"/>
                                      <w:sz w:val="12"/>
                                    </w:rPr>
                                  </w:pPr>
                                </w:p>
                                <w:p>
                                  <w:pPr>
                                    <w:pStyle w:val="20"/>
                                    <w:spacing w:line="249" w:lineRule="auto"/>
                                    <w:ind w:left="44" w:right="11"/>
                                    <w:jc w:val="center"/>
                                    <w:rPr>
                                      <w:w w:val="105"/>
                                      <w:sz w:val="14"/>
                                    </w:rPr>
                                  </w:pPr>
                                  <w:r>
                                    <w:rPr>
                                      <w:w w:val="105"/>
                                      <w:sz w:val="14"/>
                                    </w:rPr>
                                    <w:t>法定时限：7</w:t>
                                  </w:r>
                                </w:p>
                                <w:p>
                                  <w:pPr>
                                    <w:pStyle w:val="20"/>
                                    <w:spacing w:line="249" w:lineRule="auto"/>
                                    <w:ind w:left="44" w:right="11"/>
                                    <w:jc w:val="center"/>
                                    <w:rPr>
                                      <w:sz w:val="14"/>
                                    </w:rPr>
                                  </w:pPr>
                                  <w:r>
                                    <w:rPr>
                                      <w:w w:val="105"/>
                                      <w:sz w:val="14"/>
                                    </w:rPr>
                                    <w:t>承诺时限：</w:t>
                                  </w:r>
                                  <w:r>
                                    <w:rPr>
                                      <w:w w:val="104"/>
                                      <w:sz w:val="14"/>
                                    </w:rPr>
                                    <w:t>5</w:t>
                                  </w:r>
                                </w:p>
                              </w:tc>
                              <w:tc>
                                <w:tcPr>
                                  <w:tcW w:w="971" w:type="dxa"/>
                                  <w:vMerge w:val="continue"/>
                                  <w:tcBorders>
                                    <w:top w:val="nil"/>
                                  </w:tcBorders>
                                  <w:vAlign w:val="center"/>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46" w:hRule="atLeast"/>
                                <w:jc w:val="center"/>
                              </w:trPr>
                              <w:tc>
                                <w:tcPr>
                                  <w:tcW w:w="333" w:type="dxa"/>
                                </w:tcPr>
                                <w:p>
                                  <w:pPr>
                                    <w:pStyle w:val="20"/>
                                    <w:jc w:val="center"/>
                                    <w:rPr>
                                      <w:rFonts w:ascii="方正小标宋简体"/>
                                      <w:sz w:val="14"/>
                                    </w:rPr>
                                  </w:pPr>
                                </w:p>
                                <w:p>
                                  <w:pPr>
                                    <w:pStyle w:val="20"/>
                                    <w:jc w:val="center"/>
                                    <w:rPr>
                                      <w:rFonts w:ascii="方正小标宋简体"/>
                                      <w:sz w:val="14"/>
                                    </w:rPr>
                                  </w:pPr>
                                </w:p>
                                <w:p>
                                  <w:pPr>
                                    <w:pStyle w:val="20"/>
                                    <w:spacing w:before="11"/>
                                    <w:jc w:val="center"/>
                                    <w:rPr>
                                      <w:rFonts w:ascii="方正小标宋简体"/>
                                      <w:sz w:val="17"/>
                                    </w:rPr>
                                  </w:pPr>
                                </w:p>
                                <w:p>
                                  <w:pPr>
                                    <w:pStyle w:val="20"/>
                                    <w:ind w:left="29"/>
                                    <w:jc w:val="center"/>
                                    <w:rPr>
                                      <w:rFonts w:hint="eastAsia" w:eastAsia="宋体"/>
                                      <w:sz w:val="14"/>
                                      <w:lang w:eastAsia="zh-CN"/>
                                    </w:rPr>
                                  </w:pPr>
                                  <w:r>
                                    <w:rPr>
                                      <w:rFonts w:hint="eastAsia"/>
                                      <w:w w:val="104"/>
                                      <w:sz w:val="14"/>
                                      <w:lang w:val="en-US" w:eastAsia="zh-CN"/>
                                    </w:rPr>
                                    <w:t>2</w:t>
                                  </w:r>
                                </w:p>
                              </w:tc>
                              <w:tc>
                                <w:tcPr>
                                  <w:tcW w:w="792" w:type="dxa"/>
                                </w:tcPr>
                                <w:p>
                                  <w:pPr>
                                    <w:pStyle w:val="20"/>
                                    <w:jc w:val="center"/>
                                    <w:rPr>
                                      <w:rFonts w:ascii="方正小标宋简体"/>
                                      <w:sz w:val="14"/>
                                    </w:rPr>
                                  </w:pPr>
                                </w:p>
                                <w:p>
                                  <w:pPr>
                                    <w:pStyle w:val="20"/>
                                    <w:spacing w:before="10"/>
                                    <w:jc w:val="center"/>
                                    <w:rPr>
                                      <w:rFonts w:ascii="方正小标宋简体"/>
                                      <w:sz w:val="20"/>
                                    </w:rPr>
                                  </w:pPr>
                                </w:p>
                                <w:p>
                                  <w:pPr>
                                    <w:pStyle w:val="20"/>
                                    <w:spacing w:line="247" w:lineRule="auto"/>
                                    <w:ind w:left="40" w:right="28"/>
                                    <w:jc w:val="center"/>
                                    <w:rPr>
                                      <w:sz w:val="14"/>
                                    </w:rPr>
                                  </w:pPr>
                                  <w:r>
                                    <w:rPr>
                                      <w:w w:val="105"/>
                                      <w:sz w:val="14"/>
                                    </w:rPr>
                                    <w:t>政府投资项目可行性研究报告审批</w:t>
                                  </w:r>
                                </w:p>
                              </w:tc>
                              <w:tc>
                                <w:tcPr>
                                  <w:tcW w:w="1031" w:type="dxa"/>
                                </w:tcPr>
                                <w:p>
                                  <w:pPr>
                                    <w:pStyle w:val="20"/>
                                    <w:jc w:val="center"/>
                                    <w:rPr>
                                      <w:rFonts w:ascii="方正小标宋简体"/>
                                      <w:sz w:val="14"/>
                                    </w:rPr>
                                  </w:pPr>
                                </w:p>
                                <w:p>
                                  <w:pPr>
                                    <w:pStyle w:val="20"/>
                                    <w:spacing w:before="10"/>
                                    <w:jc w:val="center"/>
                                    <w:rPr>
                                      <w:rFonts w:ascii="方正小标宋简体"/>
                                      <w:sz w:val="20"/>
                                    </w:rPr>
                                  </w:pPr>
                                </w:p>
                                <w:p>
                                  <w:pPr>
                                    <w:pStyle w:val="20"/>
                                    <w:spacing w:line="247" w:lineRule="auto"/>
                                    <w:ind w:left="27" w:right="79"/>
                                    <w:jc w:val="center"/>
                                    <w:rPr>
                                      <w:sz w:val="14"/>
                                    </w:rPr>
                                  </w:pPr>
                                  <w:r>
                                    <w:rPr>
                                      <w:w w:val="105"/>
                                      <w:sz w:val="14"/>
                                    </w:rPr>
                                    <w:t>政府投资项目的可行性研究报告审批（7日）</w:t>
                                  </w:r>
                                </w:p>
                              </w:tc>
                              <w:tc>
                                <w:tcPr>
                                  <w:tcW w:w="1082" w:type="dxa"/>
                                  <w:tcBorders>
                                    <w:right w:val="single" w:color="auto" w:sz="4" w:space="0"/>
                                  </w:tcBorders>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7"/>
                                    </w:rPr>
                                  </w:pPr>
                                </w:p>
                                <w:p>
                                  <w:pPr>
                                    <w:pStyle w:val="20"/>
                                    <w:jc w:val="center"/>
                                    <w:rPr>
                                      <w:sz w:val="14"/>
                                    </w:rPr>
                                  </w:pPr>
                                  <w:r>
                                    <w:rPr>
                                      <w:w w:val="105"/>
                                      <w:sz w:val="14"/>
                                    </w:rPr>
                                    <w:t>评估评审</w:t>
                                  </w:r>
                                </w:p>
                              </w:tc>
                              <w:tc>
                                <w:tcPr>
                                  <w:tcW w:w="7447" w:type="dxa"/>
                                  <w:tcBorders>
                                    <w:top w:val="single" w:color="auto" w:sz="4" w:space="0"/>
                                    <w:left w:val="single" w:color="auto" w:sz="4" w:space="0"/>
                                    <w:bottom w:val="single" w:color="auto" w:sz="4" w:space="0"/>
                                    <w:right w:val="single" w:color="auto" w:sz="4" w:space="0"/>
                                  </w:tcBorders>
                                </w:tcPr>
                                <w:p>
                                  <w:pPr>
                                    <w:pStyle w:val="20"/>
                                    <w:spacing w:before="115"/>
                                    <w:ind w:left="27"/>
                                    <w:rPr>
                                      <w:sz w:val="14"/>
                                    </w:rPr>
                                  </w:pPr>
                                  <w:r>
                                    <w:rPr>
                                      <w:w w:val="105"/>
                                      <w:sz w:val="14"/>
                                    </w:rPr>
                                    <w:t>【行政法规】《政府投资条例》（中华人民共和国国务院令第712号）</w:t>
                                  </w:r>
                                </w:p>
                                <w:p>
                                  <w:pPr>
                                    <w:pStyle w:val="20"/>
                                    <w:tabs>
                                      <w:tab w:val="left" w:leader="dot" w:pos="1107"/>
                                    </w:tabs>
                                    <w:spacing w:before="8"/>
                                    <w:ind w:left="27"/>
                                    <w:rPr>
                                      <w:sz w:val="14"/>
                                    </w:rPr>
                                  </w:pPr>
                                  <w:r>
                                    <w:rPr>
                                      <w:spacing w:val="5"/>
                                      <w:w w:val="105"/>
                                      <w:sz w:val="14"/>
                                    </w:rPr>
                                    <w:t>第十一</w:t>
                                  </w:r>
                                  <w:r>
                                    <w:rPr>
                                      <w:w w:val="105"/>
                                      <w:sz w:val="14"/>
                                    </w:rPr>
                                    <w:t xml:space="preserve">条 </w:t>
                                  </w:r>
                                  <w:r>
                                    <w:rPr>
                                      <w:spacing w:val="5"/>
                                      <w:w w:val="105"/>
                                      <w:sz w:val="14"/>
                                    </w:rPr>
                                    <w:t>对经济社会发</w:t>
                                  </w:r>
                                  <w:r>
                                    <w:rPr>
                                      <w:spacing w:val="17"/>
                                      <w:w w:val="105"/>
                                      <w:sz w:val="14"/>
                                    </w:rPr>
                                    <w:t>展</w:t>
                                  </w:r>
                                  <w:r>
                                    <w:rPr>
                                      <w:spacing w:val="6"/>
                                      <w:w w:val="105"/>
                                      <w:sz w:val="14"/>
                                    </w:rPr>
                                    <w:t>、</w:t>
                                  </w:r>
                                  <w:r>
                                    <w:rPr>
                                      <w:spacing w:val="5"/>
                                      <w:w w:val="105"/>
                                      <w:sz w:val="14"/>
                                    </w:rPr>
                                    <w:t>社会公众利益有重大影响或</w:t>
                                  </w:r>
                                  <w:r>
                                    <w:rPr>
                                      <w:spacing w:val="6"/>
                                      <w:w w:val="105"/>
                                      <w:sz w:val="14"/>
                                    </w:rPr>
                                    <w:t>者投资规模较大的政府投资项</w:t>
                                  </w:r>
                                  <w:r>
                                    <w:rPr>
                                      <w:w w:val="105"/>
                                      <w:sz w:val="14"/>
                                    </w:rPr>
                                    <w:t>目</w:t>
                                  </w:r>
                                  <w:r>
                                    <w:rPr>
                                      <w:spacing w:val="-23"/>
                                      <w:w w:val="105"/>
                                      <w:sz w:val="14"/>
                                    </w:rPr>
                                    <w:t xml:space="preserve"> </w:t>
                                  </w:r>
                                  <w:r>
                                    <w:rPr>
                                      <w:w w:val="105"/>
                                      <w:sz w:val="14"/>
                                    </w:rPr>
                                    <w:t>，</w:t>
                                  </w:r>
                                </w:p>
                                <w:p>
                                  <w:pPr>
                                    <w:pStyle w:val="20"/>
                                    <w:spacing w:before="7" w:line="252" w:lineRule="auto"/>
                                    <w:ind w:left="27" w:right="11"/>
                                    <w:rPr>
                                      <w:sz w:val="14"/>
                                    </w:rPr>
                                  </w:pPr>
                                  <w:r>
                                    <w:rPr>
                                      <w:w w:val="105"/>
                                      <w:sz w:val="14"/>
                                    </w:rPr>
                                    <w:t>投资主管部门或者其他有关部门应当在中介服务机构评估 、公众参与、专家评议、风险评估的基础上作出是否批准的决定。</w:t>
                                  </w:r>
                                </w:p>
                                <w:p>
                                  <w:pPr>
                                    <w:pStyle w:val="20"/>
                                    <w:spacing w:line="177" w:lineRule="exact"/>
                                    <w:ind w:left="27"/>
                                    <w:rPr>
                                      <w:sz w:val="14"/>
                                    </w:rPr>
                                  </w:pPr>
                                  <w:r>
                                    <w:rPr>
                                      <w:w w:val="105"/>
                                      <w:sz w:val="14"/>
                                    </w:rPr>
                                    <w:t>【政府规章】《山东省政府投资管理办法》（鲁政字〔2020〕232号）</w:t>
                                  </w:r>
                                </w:p>
                                <w:p>
                                  <w:pPr>
                                    <w:pStyle w:val="20"/>
                                    <w:spacing w:before="8" w:line="249" w:lineRule="auto"/>
                                    <w:ind w:left="27"/>
                                    <w:rPr>
                                      <w:sz w:val="14"/>
                                    </w:rPr>
                                  </w:pPr>
                                  <w:r>
                                    <w:rPr>
                                      <w:w w:val="105"/>
                                      <w:sz w:val="14"/>
                                    </w:rPr>
                                    <w:t>第二十一条 发展改革部门或者其他有关部门在审批可行性研究报告、初步设计或投资概算时，一般应当由中介服务机构、具有相关职能的单位或专家进行评估评审。评估评审意见应当作为项目审批的重要参考。</w:t>
                                  </w:r>
                                </w:p>
                              </w:tc>
                              <w:tc>
                                <w:tcPr>
                                  <w:tcW w:w="1624" w:type="dxa"/>
                                  <w:tcBorders>
                                    <w:left w:val="single" w:color="auto" w:sz="4" w:space="0"/>
                                  </w:tcBorders>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2"/>
                                    </w:rPr>
                                  </w:pPr>
                                </w:p>
                                <w:p>
                                  <w:pPr>
                                    <w:pStyle w:val="20"/>
                                    <w:spacing w:line="249" w:lineRule="auto"/>
                                    <w:ind w:left="28" w:right="21"/>
                                    <w:jc w:val="center"/>
                                    <w:rPr>
                                      <w:sz w:val="14"/>
                                    </w:rPr>
                                  </w:pPr>
                                  <w:r>
                                    <w:rPr>
                                      <w:w w:val="105"/>
                                      <w:sz w:val="14"/>
                                    </w:rPr>
                                    <w:t>需要办理该审批服务事项的项目。</w:t>
                                  </w:r>
                                </w:p>
                              </w:tc>
                              <w:tc>
                                <w:tcPr>
                                  <w:tcW w:w="946" w:type="dxa"/>
                                  <w:vAlign w:val="center"/>
                                </w:tcPr>
                                <w:p>
                                  <w:pPr>
                                    <w:pStyle w:val="20"/>
                                    <w:spacing w:line="247" w:lineRule="auto"/>
                                    <w:ind w:left="44" w:right="11"/>
                                    <w:jc w:val="center"/>
                                    <w:rPr>
                                      <w:sz w:val="14"/>
                                    </w:rPr>
                                  </w:pPr>
                                  <w:r>
                                    <w:rPr>
                                      <w:spacing w:val="2"/>
                                      <w:w w:val="105"/>
                                      <w:sz w:val="14"/>
                                    </w:rPr>
                                    <w:t>法定时限</w:t>
                                  </w:r>
                                  <w:r>
                                    <w:rPr>
                                      <w:w w:val="105"/>
                                      <w:sz w:val="14"/>
                                    </w:rPr>
                                    <w:t xml:space="preserve">：30 </w:t>
                                  </w:r>
                                  <w:r>
                                    <w:rPr>
                                      <w:spacing w:val="-1"/>
                                      <w:w w:val="105"/>
                                      <w:sz w:val="14"/>
                                    </w:rPr>
                                    <w:t xml:space="preserve">承诺时限： </w:t>
                                  </w:r>
                                  <w:r>
                                    <w:rPr>
                                      <w:w w:val="105"/>
                                      <w:sz w:val="14"/>
                                    </w:rPr>
                                    <w:t>10</w:t>
                                  </w:r>
                                </w:p>
                              </w:tc>
                              <w:tc>
                                <w:tcPr>
                                  <w:tcW w:w="971" w:type="dxa"/>
                                  <w:vAlign w:val="center"/>
                                </w:tcPr>
                                <w:p>
                                  <w:pPr>
                                    <w:pStyle w:val="20"/>
                                    <w:spacing w:line="249" w:lineRule="auto"/>
                                    <w:rPr>
                                      <w:sz w:val="14"/>
                                    </w:rPr>
                                  </w:pPr>
                                  <w:r>
                                    <w:rPr>
                                      <w:rFonts w:hint="eastAsia"/>
                                      <w:w w:val="105"/>
                                      <w:sz w:val="14"/>
                                    </w:rPr>
                                    <w:t>区发展改革局</w:t>
                                  </w:r>
                                </w:p>
                              </w:tc>
                            </w:tr>
                          </w:tbl>
                          <w:p>
                            <w:pPr>
                              <w:pStyle w:val="3"/>
                              <w:jc w:val="center"/>
                            </w:pPr>
                          </w:p>
                        </w:txbxContent>
                      </wps:txbx>
                      <wps:bodyPr lIns="0" tIns="0" rIns="0" bIns="0" upright="1"/>
                    </wps:wsp>
                  </a:graphicData>
                </a:graphic>
              </wp:anchor>
            </w:drawing>
          </mc:Choice>
          <mc:Fallback>
            <w:pict>
              <v:shape id="文本框 2" o:spid="_x0000_s1026" o:spt="202" type="#_x0000_t202" style="position:absolute;left:0pt;margin-left:54.2pt;margin-top:132pt;height:442.35pt;width:740.8pt;mso-position-horizontal-relative:page;mso-position-vertical-relative:page;z-index:251660288;mso-width-relative:page;mso-height-relative:page;" filled="f" stroked="f" coordsize="21600,21600" o:gfxdata="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NtoWtoAAAAN&#10;AQAADwAAAAAAAAABACAAAAAiAAAAZHJzL2Rvd25yZXYueG1sUEsBAhQAFAAAAAgAh07iQA9oUgeo&#10;AQAALgMAAA4AAAAAAAAAAQAgAAAAKQEAAGRycy9lMm9Eb2MueG1sUEsFBgAAAAAGAAYAWQEAAEMF&#10;AAAAAA==&#10;">
                <v:fill on="f" focussize="0,0"/>
                <v:stroke on="f"/>
                <v:imagedata o:title=""/>
                <o:lock v:ext="edit" aspectratio="f"/>
                <v:textbox inset="0mm,0mm,0mm,0mm">
                  <w:txbxContent>
                    <w:tbl>
                      <w:tblPr>
                        <w:tblStyle w:val="10"/>
                        <w:tblW w:w="1422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3"/>
                        <w:gridCol w:w="792"/>
                        <w:gridCol w:w="1031"/>
                        <w:gridCol w:w="1082"/>
                        <w:gridCol w:w="7447"/>
                        <w:gridCol w:w="1624"/>
                        <w:gridCol w:w="946"/>
                        <w:gridCol w:w="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29" w:hRule="atLeast"/>
                          <w:jc w:val="center"/>
                        </w:trPr>
                        <w:tc>
                          <w:tcPr>
                            <w:tcW w:w="333" w:type="dxa"/>
                          </w:tcPr>
                          <w:p>
                            <w:pPr>
                              <w:pStyle w:val="20"/>
                              <w:spacing w:before="11"/>
                              <w:jc w:val="center"/>
                              <w:rPr>
                                <w:rFonts w:ascii="方正小标宋简体"/>
                                <w:sz w:val="20"/>
                              </w:rPr>
                            </w:pPr>
                          </w:p>
                          <w:p>
                            <w:pPr>
                              <w:pStyle w:val="20"/>
                              <w:ind w:left="23"/>
                              <w:jc w:val="center"/>
                              <w:rPr>
                                <w:rFonts w:ascii="黑体" w:eastAsia="黑体"/>
                                <w:sz w:val="14"/>
                              </w:rPr>
                            </w:pPr>
                            <w:r>
                              <w:rPr>
                                <w:rFonts w:hint="eastAsia" w:ascii="黑体" w:eastAsia="黑体"/>
                                <w:w w:val="105"/>
                                <w:sz w:val="14"/>
                              </w:rPr>
                              <w:t>序号</w:t>
                            </w:r>
                          </w:p>
                        </w:tc>
                        <w:tc>
                          <w:tcPr>
                            <w:tcW w:w="792" w:type="dxa"/>
                          </w:tcPr>
                          <w:p>
                            <w:pPr>
                              <w:pStyle w:val="20"/>
                              <w:spacing w:before="11"/>
                              <w:jc w:val="center"/>
                              <w:rPr>
                                <w:rFonts w:ascii="方正小标宋简体"/>
                                <w:sz w:val="20"/>
                              </w:rPr>
                            </w:pPr>
                          </w:p>
                          <w:p>
                            <w:pPr>
                              <w:pStyle w:val="20"/>
                              <w:ind w:left="117"/>
                              <w:jc w:val="center"/>
                              <w:rPr>
                                <w:rFonts w:ascii="黑体" w:eastAsia="黑体"/>
                                <w:sz w:val="14"/>
                              </w:rPr>
                            </w:pPr>
                            <w:r>
                              <w:rPr>
                                <w:rFonts w:hint="eastAsia" w:ascii="黑体" w:eastAsia="黑体"/>
                                <w:w w:val="105"/>
                                <w:sz w:val="14"/>
                              </w:rPr>
                              <w:t>事项名称</w:t>
                            </w:r>
                          </w:p>
                        </w:tc>
                        <w:tc>
                          <w:tcPr>
                            <w:tcW w:w="1031" w:type="dxa"/>
                          </w:tcPr>
                          <w:p>
                            <w:pPr>
                              <w:pStyle w:val="20"/>
                              <w:spacing w:before="10"/>
                              <w:jc w:val="center"/>
                              <w:rPr>
                                <w:rFonts w:ascii="方正小标宋简体"/>
                                <w:sz w:val="9"/>
                              </w:rPr>
                            </w:pPr>
                          </w:p>
                          <w:p>
                            <w:pPr>
                              <w:pStyle w:val="20"/>
                              <w:spacing w:before="1"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082" w:type="dxa"/>
                          </w:tcPr>
                          <w:p>
                            <w:pPr>
                              <w:pStyle w:val="20"/>
                              <w:spacing w:before="11"/>
                              <w:jc w:val="center"/>
                              <w:rPr>
                                <w:rFonts w:ascii="方正小标宋简体"/>
                                <w:sz w:val="20"/>
                              </w:rPr>
                            </w:pPr>
                          </w:p>
                          <w:p>
                            <w:pPr>
                              <w:pStyle w:val="20"/>
                              <w:ind w:left="32" w:right="15"/>
                              <w:jc w:val="center"/>
                              <w:rPr>
                                <w:rFonts w:ascii="黑体" w:eastAsia="黑体"/>
                                <w:sz w:val="14"/>
                              </w:rPr>
                            </w:pPr>
                            <w:r>
                              <w:rPr>
                                <w:rFonts w:hint="eastAsia" w:ascii="黑体" w:eastAsia="黑体"/>
                                <w:w w:val="105"/>
                                <w:sz w:val="14"/>
                              </w:rPr>
                              <w:t>特殊程序名称</w:t>
                            </w:r>
                          </w:p>
                        </w:tc>
                        <w:tc>
                          <w:tcPr>
                            <w:tcW w:w="7447" w:type="dxa"/>
                          </w:tcPr>
                          <w:p>
                            <w:pPr>
                              <w:pStyle w:val="20"/>
                              <w:spacing w:before="11"/>
                              <w:rPr>
                                <w:rFonts w:ascii="方正小标宋简体"/>
                                <w:sz w:val="20"/>
                              </w:rPr>
                            </w:pPr>
                          </w:p>
                          <w:p>
                            <w:pPr>
                              <w:pStyle w:val="20"/>
                              <w:ind w:left="2655" w:right="2645"/>
                              <w:jc w:val="center"/>
                              <w:rPr>
                                <w:rFonts w:ascii="黑体" w:eastAsia="黑体"/>
                                <w:sz w:val="14"/>
                              </w:rPr>
                            </w:pPr>
                            <w:r>
                              <w:rPr>
                                <w:rFonts w:hint="eastAsia" w:ascii="黑体" w:eastAsia="黑体"/>
                                <w:w w:val="105"/>
                                <w:sz w:val="14"/>
                              </w:rPr>
                              <w:t>特殊程序主要依据</w:t>
                            </w:r>
                          </w:p>
                        </w:tc>
                        <w:tc>
                          <w:tcPr>
                            <w:tcW w:w="1624" w:type="dxa"/>
                            <w:vAlign w:val="center"/>
                          </w:tcPr>
                          <w:p>
                            <w:pPr>
                              <w:pStyle w:val="20"/>
                              <w:spacing w:line="244" w:lineRule="auto"/>
                              <w:jc w:val="center"/>
                              <w:rPr>
                                <w:rFonts w:ascii="黑体" w:eastAsia="黑体"/>
                                <w:w w:val="105"/>
                                <w:sz w:val="14"/>
                              </w:rPr>
                            </w:pPr>
                            <w:r>
                              <w:rPr>
                                <w:rFonts w:hint="eastAsia" w:ascii="黑体" w:eastAsia="黑体"/>
                                <w:w w:val="105"/>
                                <w:sz w:val="14"/>
                              </w:rPr>
                              <w:t>特殊程序</w:t>
                            </w:r>
                          </w:p>
                          <w:p>
                            <w:pPr>
                              <w:pStyle w:val="20"/>
                              <w:spacing w:line="244" w:lineRule="auto"/>
                              <w:jc w:val="center"/>
                              <w:rPr>
                                <w:rFonts w:ascii="黑体" w:eastAsia="黑体"/>
                                <w:sz w:val="14"/>
                              </w:rPr>
                            </w:pPr>
                            <w:r>
                              <w:rPr>
                                <w:rFonts w:hint="eastAsia" w:ascii="黑体" w:eastAsia="黑体"/>
                                <w:w w:val="105"/>
                                <w:sz w:val="14"/>
                              </w:rPr>
                              <w:t>适用条件</w:t>
                            </w:r>
                          </w:p>
                        </w:tc>
                        <w:tc>
                          <w:tcPr>
                            <w:tcW w:w="946" w:type="dxa"/>
                          </w:tcPr>
                          <w:p>
                            <w:pPr>
                              <w:pStyle w:val="20"/>
                              <w:spacing w:before="10"/>
                              <w:jc w:val="center"/>
                              <w:rPr>
                                <w:rFonts w:ascii="方正小标宋简体"/>
                                <w:sz w:val="9"/>
                              </w:rPr>
                            </w:pPr>
                          </w:p>
                          <w:p>
                            <w:pPr>
                              <w:pStyle w:val="20"/>
                              <w:spacing w:before="1"/>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71" w:type="dxa"/>
                          </w:tcPr>
                          <w:p>
                            <w:pPr>
                              <w:pStyle w:val="20"/>
                              <w:spacing w:before="4"/>
                              <w:rPr>
                                <w:rFonts w:ascii="方正小标宋简体"/>
                                <w:sz w:val="15"/>
                              </w:rPr>
                            </w:pPr>
                          </w:p>
                          <w:p>
                            <w:pPr>
                              <w:pStyle w:val="20"/>
                              <w:spacing w:before="1" w:line="244" w:lineRule="auto"/>
                              <w:ind w:left="391" w:right="61" w:hanging="303"/>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04" w:hRule="atLeast"/>
                          <w:jc w:val="center"/>
                        </w:trPr>
                        <w:tc>
                          <w:tcPr>
                            <w:tcW w:w="333" w:type="dxa"/>
                            <w:vMerge w:val="restart"/>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spacing w:before="2"/>
                              <w:jc w:val="center"/>
                              <w:rPr>
                                <w:rFonts w:ascii="方正小标宋简体"/>
                                <w:sz w:val="16"/>
                              </w:rPr>
                            </w:pPr>
                          </w:p>
                          <w:p>
                            <w:pPr>
                              <w:pStyle w:val="20"/>
                              <w:ind w:left="29"/>
                              <w:jc w:val="center"/>
                              <w:rPr>
                                <w:rFonts w:hint="eastAsia" w:eastAsia="宋体"/>
                                <w:sz w:val="14"/>
                                <w:lang w:val="en-US" w:eastAsia="zh-CN"/>
                              </w:rPr>
                            </w:pPr>
                            <w:r>
                              <w:rPr>
                                <w:rFonts w:hint="eastAsia"/>
                                <w:sz w:val="14"/>
                                <w:lang w:val="en-US" w:eastAsia="zh-CN"/>
                              </w:rPr>
                              <w:t>1</w:t>
                            </w:r>
                          </w:p>
                        </w:tc>
                        <w:tc>
                          <w:tcPr>
                            <w:tcW w:w="792" w:type="dxa"/>
                            <w:vMerge w:val="restart"/>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spacing w:before="13"/>
                              <w:jc w:val="center"/>
                              <w:rPr>
                                <w:rFonts w:ascii="方正小标宋简体"/>
                                <w:sz w:val="10"/>
                              </w:rPr>
                            </w:pPr>
                          </w:p>
                          <w:p>
                            <w:pPr>
                              <w:pStyle w:val="20"/>
                              <w:spacing w:line="242" w:lineRule="auto"/>
                              <w:ind w:left="40" w:right="28"/>
                              <w:jc w:val="center"/>
                              <w:rPr>
                                <w:sz w:val="14"/>
                              </w:rPr>
                            </w:pPr>
                            <w:r>
                              <w:rPr>
                                <w:w w:val="105"/>
                                <w:sz w:val="14"/>
                              </w:rPr>
                              <w:t>固定资产投资项目核准</w:t>
                            </w:r>
                          </w:p>
                        </w:tc>
                        <w:tc>
                          <w:tcPr>
                            <w:tcW w:w="1031" w:type="dxa"/>
                            <w:vMerge w:val="restart"/>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spacing w:before="13"/>
                              <w:jc w:val="center"/>
                              <w:rPr>
                                <w:rFonts w:ascii="方正小标宋简体"/>
                                <w:sz w:val="10"/>
                              </w:rPr>
                            </w:pPr>
                          </w:p>
                          <w:p>
                            <w:pPr>
                              <w:pStyle w:val="20"/>
                              <w:spacing w:line="242" w:lineRule="auto"/>
                              <w:ind w:left="27" w:right="79"/>
                              <w:jc w:val="center"/>
                              <w:rPr>
                                <w:sz w:val="14"/>
                              </w:rPr>
                            </w:pPr>
                            <w:r>
                              <w:rPr>
                                <w:w w:val="105"/>
                                <w:sz w:val="14"/>
                              </w:rPr>
                              <w:t>固定资产投资项目核准（3日）</w:t>
                            </w:r>
                          </w:p>
                        </w:tc>
                        <w:tc>
                          <w:tcPr>
                            <w:tcW w:w="1082" w:type="dxa"/>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0"/>
                              </w:rPr>
                            </w:pPr>
                          </w:p>
                          <w:p>
                            <w:pPr>
                              <w:pStyle w:val="20"/>
                              <w:spacing w:line="252" w:lineRule="auto"/>
                              <w:jc w:val="center"/>
                              <w:rPr>
                                <w:sz w:val="14"/>
                              </w:rPr>
                            </w:pPr>
                            <w:r>
                              <w:rPr>
                                <w:w w:val="105"/>
                                <w:sz w:val="14"/>
                              </w:rPr>
                              <w:t>征求部门或地方政府意见</w:t>
                            </w:r>
                          </w:p>
                        </w:tc>
                        <w:tc>
                          <w:tcPr>
                            <w:tcW w:w="7447" w:type="dxa"/>
                          </w:tcPr>
                          <w:p>
                            <w:pPr>
                              <w:pStyle w:val="20"/>
                              <w:spacing w:before="96" w:line="249" w:lineRule="auto"/>
                              <w:ind w:left="27" w:right="30"/>
                              <w:rPr>
                                <w:sz w:val="14"/>
                              </w:rPr>
                            </w:pPr>
                            <w:r>
                              <w:rPr>
                                <w:w w:val="105"/>
                                <w:sz w:val="14"/>
                              </w:rPr>
                              <w:t>【部门规章】 《企业投资项目核准和备案管理办法》（中华人民共和国国家发展和改革委员会令第2号）</w:t>
                            </w:r>
                          </w:p>
                          <w:p>
                            <w:pPr>
                              <w:pStyle w:val="20"/>
                              <w:spacing w:before="1" w:line="249" w:lineRule="auto"/>
                              <w:ind w:left="27" w:right="15"/>
                              <w:rPr>
                                <w:sz w:val="14"/>
                              </w:rPr>
                            </w:pPr>
                            <w:r>
                              <w:rPr>
                                <w:w w:val="105"/>
                                <w:sz w:val="14"/>
                              </w:rPr>
                              <w:t>第二十七条 项目涉及有关行业管理部门或者项目所在地地方政府职责的，项目核准机关应当商请有关行业管理部门或地方人民政府在 7个工作日内出具书面审查意见。有关行业管理部门或地方人民政府逾期没有反馈书面审查意见的，视为同意。</w:t>
                            </w:r>
                          </w:p>
                          <w:p>
                            <w:pPr>
                              <w:pStyle w:val="20"/>
                              <w:spacing w:line="177" w:lineRule="exact"/>
                              <w:ind w:left="27"/>
                              <w:rPr>
                                <w:sz w:val="14"/>
                              </w:rPr>
                            </w:pPr>
                            <w:r>
                              <w:rPr>
                                <w:w w:val="105"/>
                                <w:sz w:val="14"/>
                              </w:rPr>
                              <w:t>【政府规章】《山东省企业投资项目核准和备案管理办法》（山东省人民政府令第326号）</w:t>
                            </w:r>
                          </w:p>
                          <w:p>
                            <w:pPr>
                              <w:pStyle w:val="20"/>
                              <w:tabs>
                                <w:tab w:val="left" w:leader="dot" w:pos="1107"/>
                              </w:tabs>
                              <w:spacing w:before="7"/>
                              <w:ind w:left="27"/>
                              <w:rPr>
                                <w:sz w:val="14"/>
                              </w:rPr>
                            </w:pPr>
                            <w:r>
                              <w:rPr>
                                <w:spacing w:val="5"/>
                                <w:w w:val="105"/>
                                <w:sz w:val="14"/>
                              </w:rPr>
                              <w:t>第十三</w:t>
                            </w:r>
                            <w:r>
                              <w:rPr>
                                <w:w w:val="105"/>
                                <w:sz w:val="14"/>
                              </w:rPr>
                              <w:t xml:space="preserve">条 </w:t>
                            </w:r>
                            <w:r>
                              <w:rPr>
                                <w:spacing w:val="5"/>
                                <w:w w:val="105"/>
                                <w:sz w:val="14"/>
                              </w:rPr>
                              <w:t>核准机关根据工作需要可以征求有关部门或者</w:t>
                            </w:r>
                            <w:r>
                              <w:rPr>
                                <w:spacing w:val="6"/>
                                <w:w w:val="105"/>
                                <w:sz w:val="14"/>
                              </w:rPr>
                              <w:t>项目所在地县级以上人民政府的</w:t>
                            </w:r>
                            <w:r>
                              <w:rPr>
                                <w:w w:val="105"/>
                                <w:sz w:val="14"/>
                              </w:rPr>
                              <w:t>意见，被征求意见单位应当及时书面回复。</w:t>
                            </w:r>
                          </w:p>
                        </w:tc>
                        <w:tc>
                          <w:tcPr>
                            <w:tcW w:w="1624" w:type="dxa"/>
                          </w:tcPr>
                          <w:p>
                            <w:pPr>
                              <w:pStyle w:val="20"/>
                              <w:jc w:val="center"/>
                              <w:rPr>
                                <w:rFonts w:ascii="方正小标宋简体"/>
                                <w:sz w:val="14"/>
                              </w:rPr>
                            </w:pPr>
                          </w:p>
                          <w:p>
                            <w:pPr>
                              <w:pStyle w:val="20"/>
                              <w:spacing w:before="3"/>
                              <w:jc w:val="center"/>
                              <w:rPr>
                                <w:rFonts w:ascii="方正小标宋简体"/>
                                <w:sz w:val="19"/>
                              </w:rPr>
                            </w:pPr>
                          </w:p>
                          <w:p>
                            <w:pPr>
                              <w:pStyle w:val="20"/>
                              <w:spacing w:line="249" w:lineRule="auto"/>
                              <w:ind w:left="28" w:right="21"/>
                              <w:jc w:val="center"/>
                              <w:rPr>
                                <w:sz w:val="14"/>
                              </w:rPr>
                            </w:pPr>
                            <w:r>
                              <w:rPr>
                                <w:w w:val="105"/>
                                <w:sz w:val="14"/>
                              </w:rPr>
                              <w:t>核准机关认为需要征求部门或者项目所在地县级以上人民政府意见的项目。</w:t>
                            </w:r>
                          </w:p>
                        </w:tc>
                        <w:tc>
                          <w:tcPr>
                            <w:tcW w:w="946" w:type="dxa"/>
                          </w:tcPr>
                          <w:p>
                            <w:pPr>
                              <w:pStyle w:val="20"/>
                              <w:jc w:val="center"/>
                              <w:rPr>
                                <w:rFonts w:ascii="方正小标宋简体"/>
                                <w:sz w:val="14"/>
                              </w:rPr>
                            </w:pPr>
                          </w:p>
                          <w:p>
                            <w:pPr>
                              <w:pStyle w:val="20"/>
                              <w:spacing w:before="3"/>
                              <w:jc w:val="center"/>
                              <w:rPr>
                                <w:rFonts w:ascii="方正小标宋简体"/>
                                <w:sz w:val="19"/>
                              </w:rPr>
                            </w:pPr>
                          </w:p>
                          <w:p>
                            <w:pPr>
                              <w:pStyle w:val="20"/>
                              <w:spacing w:line="249" w:lineRule="auto"/>
                              <w:ind w:left="44" w:right="11"/>
                              <w:jc w:val="center"/>
                              <w:rPr>
                                <w:w w:val="105"/>
                                <w:sz w:val="14"/>
                              </w:rPr>
                            </w:pPr>
                            <w:r>
                              <w:rPr>
                                <w:w w:val="105"/>
                                <w:sz w:val="14"/>
                              </w:rPr>
                              <w:t>法定时限：7</w:t>
                            </w:r>
                          </w:p>
                          <w:p>
                            <w:pPr>
                              <w:pStyle w:val="20"/>
                              <w:spacing w:line="249" w:lineRule="auto"/>
                              <w:ind w:left="44" w:right="11"/>
                              <w:jc w:val="center"/>
                              <w:rPr>
                                <w:sz w:val="14"/>
                              </w:rPr>
                            </w:pPr>
                            <w:r>
                              <w:rPr>
                                <w:w w:val="105"/>
                                <w:sz w:val="14"/>
                              </w:rPr>
                              <w:t>承诺时限：</w:t>
                            </w:r>
                            <w:r>
                              <w:rPr>
                                <w:w w:val="104"/>
                                <w:sz w:val="14"/>
                              </w:rPr>
                              <w:t>5</w:t>
                            </w:r>
                          </w:p>
                        </w:tc>
                        <w:tc>
                          <w:tcPr>
                            <w:tcW w:w="971" w:type="dxa"/>
                            <w:vMerge w:val="restart"/>
                            <w:vAlign w:val="center"/>
                          </w:tcPr>
                          <w:p>
                            <w:pPr>
                              <w:pStyle w:val="20"/>
                              <w:spacing w:line="242" w:lineRule="auto"/>
                              <w:rPr>
                                <w:sz w:val="14"/>
                              </w:rPr>
                            </w:pPr>
                            <w:r>
                              <w:rPr>
                                <w:rFonts w:hint="eastAsia"/>
                                <w:w w:val="105"/>
                                <w:sz w:val="14"/>
                              </w:rPr>
                              <w:t>区发展改革局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06" w:hRule="atLeast"/>
                          <w:jc w:val="center"/>
                        </w:trPr>
                        <w:tc>
                          <w:tcPr>
                            <w:tcW w:w="333" w:type="dxa"/>
                            <w:vMerge w:val="continue"/>
                            <w:tcBorders>
                              <w:top w:val="nil"/>
                            </w:tcBorders>
                          </w:tcPr>
                          <w:p>
                            <w:pPr>
                              <w:jc w:val="center"/>
                              <w:rPr>
                                <w:sz w:val="2"/>
                                <w:szCs w:val="2"/>
                              </w:rPr>
                            </w:pPr>
                          </w:p>
                        </w:tc>
                        <w:tc>
                          <w:tcPr>
                            <w:tcW w:w="792" w:type="dxa"/>
                            <w:vMerge w:val="continue"/>
                            <w:tcBorders>
                              <w:top w:val="nil"/>
                            </w:tcBorders>
                          </w:tcPr>
                          <w:p>
                            <w:pPr>
                              <w:jc w:val="center"/>
                              <w:rPr>
                                <w:sz w:val="2"/>
                                <w:szCs w:val="2"/>
                              </w:rPr>
                            </w:pPr>
                          </w:p>
                        </w:tc>
                        <w:tc>
                          <w:tcPr>
                            <w:tcW w:w="1031" w:type="dxa"/>
                            <w:vMerge w:val="continue"/>
                            <w:tcBorders>
                              <w:top w:val="nil"/>
                            </w:tcBorders>
                          </w:tcPr>
                          <w:p>
                            <w:pPr>
                              <w:jc w:val="center"/>
                              <w:rPr>
                                <w:sz w:val="2"/>
                                <w:szCs w:val="2"/>
                              </w:rPr>
                            </w:pPr>
                          </w:p>
                        </w:tc>
                        <w:tc>
                          <w:tcPr>
                            <w:tcW w:w="1082" w:type="dxa"/>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8"/>
                              </w:rPr>
                            </w:pPr>
                          </w:p>
                          <w:p>
                            <w:pPr>
                              <w:pStyle w:val="20"/>
                              <w:jc w:val="center"/>
                              <w:rPr>
                                <w:sz w:val="14"/>
                              </w:rPr>
                            </w:pPr>
                            <w:r>
                              <w:rPr>
                                <w:w w:val="105"/>
                                <w:sz w:val="14"/>
                              </w:rPr>
                              <w:t>委托评估</w:t>
                            </w:r>
                          </w:p>
                        </w:tc>
                        <w:tc>
                          <w:tcPr>
                            <w:tcW w:w="7447" w:type="dxa"/>
                          </w:tcPr>
                          <w:p>
                            <w:pPr>
                              <w:pStyle w:val="20"/>
                              <w:spacing w:before="105" w:line="252" w:lineRule="auto"/>
                              <w:ind w:left="27" w:right="30"/>
                              <w:rPr>
                                <w:sz w:val="14"/>
                              </w:rPr>
                            </w:pPr>
                            <w:r>
                              <w:rPr>
                                <w:w w:val="105"/>
                                <w:sz w:val="14"/>
                              </w:rPr>
                              <w:t>【部门规章】 《企业投资项目核准和备案管理办法》（中华人民共和国国家发展和改革委员会令第2号）</w:t>
                            </w:r>
                          </w:p>
                          <w:p>
                            <w:pPr>
                              <w:pStyle w:val="20"/>
                              <w:spacing w:line="247" w:lineRule="auto"/>
                              <w:ind w:left="27" w:right="11"/>
                              <w:rPr>
                                <w:sz w:val="14"/>
                              </w:rPr>
                            </w:pPr>
                            <w:r>
                              <w:rPr>
                                <w:w w:val="105"/>
                                <w:sz w:val="14"/>
                              </w:rPr>
                              <w:t>第二十六条 项目核准机关在正式受理项目申请报告后，需要评估的，应在4个工作日内按照有关规定委托具有相应资质的工程咨询机构进行评估 。项目核准机关在委托评估时，应当根据项目具体情况，提出评估重点，明确评估时限。除项目情况复杂的，评估时限不得超过30个工作日。</w:t>
                            </w:r>
                          </w:p>
                          <w:p>
                            <w:pPr>
                              <w:pStyle w:val="20"/>
                              <w:ind w:left="27"/>
                              <w:rPr>
                                <w:sz w:val="14"/>
                              </w:rPr>
                            </w:pPr>
                            <w:r>
                              <w:rPr>
                                <w:w w:val="105"/>
                                <w:sz w:val="14"/>
                              </w:rPr>
                              <w:t>【政府规章】《山东省企业投资项目核准和备案管理办法》（山东省人民政府令第326号）</w:t>
                            </w:r>
                          </w:p>
                          <w:p>
                            <w:pPr>
                              <w:pStyle w:val="20"/>
                              <w:spacing w:before="9" w:line="249" w:lineRule="auto"/>
                              <w:ind w:left="27" w:right="11"/>
                              <w:rPr>
                                <w:sz w:val="14"/>
                              </w:rPr>
                            </w:pPr>
                            <w:r>
                              <w:rPr>
                                <w:w w:val="105"/>
                                <w:sz w:val="14"/>
                              </w:rPr>
                              <w:t>第十四条 核准机关委托中介服务机构对企业投资项目进行评估的，应当根据项目具体情况明确评估重点和评估时限；除项目情况复杂的外，评估时限一般不得超过30个工作日。评估费用由本级财政予以保障，评估机构及其工作人员不得向企业收取任何费用。</w:t>
                            </w:r>
                          </w:p>
                        </w:tc>
                        <w:tc>
                          <w:tcPr>
                            <w:tcW w:w="1624" w:type="dxa"/>
                          </w:tcPr>
                          <w:p>
                            <w:pPr>
                              <w:pStyle w:val="20"/>
                              <w:jc w:val="center"/>
                              <w:rPr>
                                <w:rFonts w:ascii="方正小标宋简体"/>
                                <w:sz w:val="14"/>
                              </w:rPr>
                            </w:pPr>
                          </w:p>
                          <w:p>
                            <w:pPr>
                              <w:pStyle w:val="20"/>
                              <w:jc w:val="center"/>
                              <w:rPr>
                                <w:rFonts w:ascii="方正小标宋简体"/>
                                <w:sz w:val="14"/>
                              </w:rPr>
                            </w:pPr>
                          </w:p>
                          <w:p>
                            <w:pPr>
                              <w:pStyle w:val="20"/>
                              <w:spacing w:before="14"/>
                              <w:jc w:val="center"/>
                              <w:rPr>
                                <w:rFonts w:ascii="方正小标宋简体"/>
                                <w:sz w:val="16"/>
                              </w:rPr>
                            </w:pPr>
                          </w:p>
                          <w:p>
                            <w:pPr>
                              <w:pStyle w:val="20"/>
                              <w:spacing w:line="249" w:lineRule="auto"/>
                              <w:ind w:left="28" w:right="21"/>
                              <w:jc w:val="center"/>
                              <w:rPr>
                                <w:sz w:val="14"/>
                              </w:rPr>
                            </w:pPr>
                            <w:r>
                              <w:rPr>
                                <w:w w:val="105"/>
                                <w:sz w:val="14"/>
                              </w:rPr>
                              <w:t>核准机关认为需要进行评估的项目。</w:t>
                            </w:r>
                          </w:p>
                        </w:tc>
                        <w:tc>
                          <w:tcPr>
                            <w:tcW w:w="946" w:type="dxa"/>
                          </w:tcPr>
                          <w:p>
                            <w:pPr>
                              <w:pStyle w:val="20"/>
                              <w:jc w:val="center"/>
                              <w:rPr>
                                <w:rFonts w:ascii="方正小标宋简体"/>
                                <w:sz w:val="14"/>
                              </w:rPr>
                            </w:pPr>
                          </w:p>
                          <w:p>
                            <w:pPr>
                              <w:pStyle w:val="20"/>
                              <w:jc w:val="center"/>
                              <w:rPr>
                                <w:rFonts w:ascii="方正小标宋简体"/>
                                <w:sz w:val="14"/>
                              </w:rPr>
                            </w:pPr>
                          </w:p>
                          <w:p>
                            <w:pPr>
                              <w:pStyle w:val="20"/>
                              <w:spacing w:before="7"/>
                              <w:jc w:val="center"/>
                              <w:rPr>
                                <w:rFonts w:ascii="方正小标宋简体"/>
                                <w:sz w:val="11"/>
                              </w:rPr>
                            </w:pPr>
                          </w:p>
                          <w:p>
                            <w:pPr>
                              <w:pStyle w:val="20"/>
                              <w:spacing w:line="247" w:lineRule="auto"/>
                              <w:ind w:left="44" w:right="11"/>
                              <w:jc w:val="center"/>
                              <w:rPr>
                                <w:w w:val="105"/>
                                <w:sz w:val="14"/>
                              </w:rPr>
                            </w:pPr>
                            <w:r>
                              <w:rPr>
                                <w:spacing w:val="2"/>
                                <w:w w:val="105"/>
                                <w:sz w:val="14"/>
                              </w:rPr>
                              <w:t>法定时限</w:t>
                            </w:r>
                            <w:r>
                              <w:rPr>
                                <w:w w:val="105"/>
                                <w:sz w:val="14"/>
                              </w:rPr>
                              <w:t>：30</w:t>
                            </w:r>
                          </w:p>
                          <w:p>
                            <w:pPr>
                              <w:pStyle w:val="20"/>
                              <w:spacing w:line="247" w:lineRule="auto"/>
                              <w:ind w:left="44" w:right="11"/>
                              <w:jc w:val="center"/>
                              <w:rPr>
                                <w:sz w:val="14"/>
                              </w:rPr>
                            </w:pPr>
                            <w:r>
                              <w:rPr>
                                <w:spacing w:val="-1"/>
                                <w:w w:val="105"/>
                                <w:sz w:val="14"/>
                              </w:rPr>
                              <w:t>承诺时限：</w:t>
                            </w:r>
                            <w:r>
                              <w:rPr>
                                <w:w w:val="105"/>
                                <w:sz w:val="14"/>
                              </w:rPr>
                              <w:t>10</w:t>
                            </w:r>
                          </w:p>
                        </w:tc>
                        <w:tc>
                          <w:tcPr>
                            <w:tcW w:w="971" w:type="dxa"/>
                            <w:vMerge w:val="continue"/>
                            <w:tcBorders>
                              <w:top w:val="nil"/>
                            </w:tcBorders>
                            <w:vAlign w:val="center"/>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85" w:hRule="atLeast"/>
                          <w:jc w:val="center"/>
                        </w:trPr>
                        <w:tc>
                          <w:tcPr>
                            <w:tcW w:w="333" w:type="dxa"/>
                            <w:vMerge w:val="continue"/>
                            <w:tcBorders>
                              <w:top w:val="nil"/>
                            </w:tcBorders>
                          </w:tcPr>
                          <w:p>
                            <w:pPr>
                              <w:jc w:val="center"/>
                              <w:rPr>
                                <w:sz w:val="2"/>
                                <w:szCs w:val="2"/>
                                <w:lang w:eastAsia="zh-CN"/>
                              </w:rPr>
                            </w:pPr>
                          </w:p>
                        </w:tc>
                        <w:tc>
                          <w:tcPr>
                            <w:tcW w:w="792" w:type="dxa"/>
                            <w:vMerge w:val="continue"/>
                            <w:tcBorders>
                              <w:top w:val="nil"/>
                            </w:tcBorders>
                          </w:tcPr>
                          <w:p>
                            <w:pPr>
                              <w:jc w:val="center"/>
                              <w:rPr>
                                <w:sz w:val="2"/>
                                <w:szCs w:val="2"/>
                                <w:lang w:eastAsia="zh-CN"/>
                              </w:rPr>
                            </w:pPr>
                          </w:p>
                        </w:tc>
                        <w:tc>
                          <w:tcPr>
                            <w:tcW w:w="1031" w:type="dxa"/>
                            <w:vMerge w:val="continue"/>
                            <w:tcBorders>
                              <w:top w:val="nil"/>
                            </w:tcBorders>
                          </w:tcPr>
                          <w:p>
                            <w:pPr>
                              <w:jc w:val="center"/>
                              <w:rPr>
                                <w:sz w:val="2"/>
                                <w:szCs w:val="2"/>
                                <w:lang w:eastAsia="zh-CN"/>
                              </w:rPr>
                            </w:pPr>
                          </w:p>
                        </w:tc>
                        <w:tc>
                          <w:tcPr>
                            <w:tcW w:w="1082" w:type="dxa"/>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9"/>
                              </w:rPr>
                            </w:pPr>
                          </w:p>
                          <w:p>
                            <w:pPr>
                              <w:pStyle w:val="20"/>
                              <w:jc w:val="center"/>
                              <w:rPr>
                                <w:sz w:val="14"/>
                              </w:rPr>
                            </w:pPr>
                            <w:r>
                              <w:rPr>
                                <w:w w:val="105"/>
                                <w:sz w:val="14"/>
                              </w:rPr>
                              <w:t>征求公众意见</w:t>
                            </w:r>
                          </w:p>
                        </w:tc>
                        <w:tc>
                          <w:tcPr>
                            <w:tcW w:w="7447" w:type="dxa"/>
                          </w:tcPr>
                          <w:p>
                            <w:pPr>
                              <w:pStyle w:val="20"/>
                              <w:spacing w:before="76" w:line="249" w:lineRule="auto"/>
                              <w:ind w:left="27" w:right="30"/>
                              <w:rPr>
                                <w:sz w:val="14"/>
                              </w:rPr>
                            </w:pPr>
                            <w:r>
                              <w:rPr>
                                <w:w w:val="105"/>
                                <w:sz w:val="14"/>
                              </w:rPr>
                              <w:t>【部门规章】 《企业投资项目核准和备案管理办法》（中华人民共和国国家发展和改革委员会令第2号）</w:t>
                            </w:r>
                          </w:p>
                          <w:p>
                            <w:pPr>
                              <w:pStyle w:val="20"/>
                              <w:spacing w:before="2" w:line="249" w:lineRule="auto"/>
                              <w:ind w:left="27" w:right="5"/>
                              <w:rPr>
                                <w:sz w:val="14"/>
                              </w:rPr>
                            </w:pPr>
                            <w:r>
                              <w:rPr>
                                <w:w w:val="105"/>
                                <w:sz w:val="14"/>
                              </w:rPr>
                              <w:t>第二十八条 项目建设可能对公众利益构成重大影响的 ，项目核准机关在作出核准决定前，应当采取适当方式征求公众意见。</w:t>
                            </w:r>
                          </w:p>
                          <w:p>
                            <w:pPr>
                              <w:pStyle w:val="20"/>
                              <w:spacing w:line="176" w:lineRule="exact"/>
                              <w:ind w:left="27"/>
                              <w:rPr>
                                <w:sz w:val="14"/>
                              </w:rPr>
                            </w:pPr>
                            <w:r>
                              <w:rPr>
                                <w:w w:val="105"/>
                                <w:sz w:val="14"/>
                              </w:rPr>
                              <w:t>【政府规章】《山东省企业投资项目核准和备案管理办法》（山东省人民政府令第326号）</w:t>
                            </w:r>
                          </w:p>
                          <w:p>
                            <w:pPr>
                              <w:pStyle w:val="20"/>
                              <w:spacing w:before="8" w:line="249" w:lineRule="auto"/>
                              <w:ind w:left="27"/>
                              <w:rPr>
                                <w:sz w:val="14"/>
                              </w:rPr>
                            </w:pPr>
                            <w:r>
                              <w:rPr>
                                <w:w w:val="105"/>
                                <w:sz w:val="14"/>
                              </w:rPr>
                              <w:t>第十四条 企业投资项目建设可能对公共环境、公共安全、公众利益等构成重大影响的，核准机关应当按照国家有关规定征求公众意见。</w:t>
                            </w:r>
                          </w:p>
                        </w:tc>
                        <w:tc>
                          <w:tcPr>
                            <w:tcW w:w="1624" w:type="dxa"/>
                          </w:tcPr>
                          <w:p>
                            <w:pPr>
                              <w:pStyle w:val="20"/>
                              <w:jc w:val="center"/>
                              <w:rPr>
                                <w:rFonts w:ascii="方正小标宋简体"/>
                                <w:sz w:val="14"/>
                              </w:rPr>
                            </w:pPr>
                          </w:p>
                          <w:p>
                            <w:pPr>
                              <w:pStyle w:val="20"/>
                              <w:spacing w:before="11"/>
                              <w:jc w:val="center"/>
                              <w:rPr>
                                <w:rFonts w:ascii="方正小标宋简体"/>
                                <w:sz w:val="12"/>
                              </w:rPr>
                            </w:pPr>
                          </w:p>
                          <w:p>
                            <w:pPr>
                              <w:pStyle w:val="20"/>
                              <w:spacing w:line="247" w:lineRule="auto"/>
                              <w:ind w:left="28" w:right="3"/>
                              <w:jc w:val="center"/>
                              <w:rPr>
                                <w:sz w:val="14"/>
                              </w:rPr>
                            </w:pPr>
                            <w:r>
                              <w:rPr>
                                <w:w w:val="105"/>
                                <w:sz w:val="14"/>
                              </w:rPr>
                              <w:t>企业投资项目建设可能对公共环境、公共安全、公众利益等构成重大影响的项目。</w:t>
                            </w:r>
                          </w:p>
                        </w:tc>
                        <w:tc>
                          <w:tcPr>
                            <w:tcW w:w="946" w:type="dxa"/>
                          </w:tcPr>
                          <w:p>
                            <w:pPr>
                              <w:pStyle w:val="20"/>
                              <w:jc w:val="center"/>
                              <w:rPr>
                                <w:rFonts w:ascii="方正小标宋简体"/>
                                <w:sz w:val="14"/>
                              </w:rPr>
                            </w:pPr>
                          </w:p>
                          <w:p>
                            <w:pPr>
                              <w:pStyle w:val="20"/>
                              <w:spacing w:before="11"/>
                              <w:jc w:val="center"/>
                              <w:rPr>
                                <w:rFonts w:ascii="方正小标宋简体"/>
                                <w:sz w:val="12"/>
                              </w:rPr>
                            </w:pPr>
                          </w:p>
                          <w:p>
                            <w:pPr>
                              <w:pStyle w:val="20"/>
                              <w:spacing w:line="249" w:lineRule="auto"/>
                              <w:ind w:left="44" w:right="11"/>
                              <w:jc w:val="center"/>
                              <w:rPr>
                                <w:w w:val="105"/>
                                <w:sz w:val="14"/>
                              </w:rPr>
                            </w:pPr>
                            <w:r>
                              <w:rPr>
                                <w:w w:val="105"/>
                                <w:sz w:val="14"/>
                              </w:rPr>
                              <w:t>法定时限：7</w:t>
                            </w:r>
                          </w:p>
                          <w:p>
                            <w:pPr>
                              <w:pStyle w:val="20"/>
                              <w:spacing w:line="249" w:lineRule="auto"/>
                              <w:ind w:left="44" w:right="11"/>
                              <w:jc w:val="center"/>
                              <w:rPr>
                                <w:sz w:val="14"/>
                              </w:rPr>
                            </w:pPr>
                            <w:r>
                              <w:rPr>
                                <w:w w:val="105"/>
                                <w:sz w:val="14"/>
                              </w:rPr>
                              <w:t>承诺时限：</w:t>
                            </w:r>
                            <w:r>
                              <w:rPr>
                                <w:w w:val="104"/>
                                <w:sz w:val="14"/>
                              </w:rPr>
                              <w:t>5</w:t>
                            </w:r>
                          </w:p>
                        </w:tc>
                        <w:tc>
                          <w:tcPr>
                            <w:tcW w:w="971" w:type="dxa"/>
                            <w:vMerge w:val="continue"/>
                            <w:tcBorders>
                              <w:top w:val="nil"/>
                            </w:tcBorders>
                            <w:vAlign w:val="center"/>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46" w:hRule="atLeast"/>
                          <w:jc w:val="center"/>
                        </w:trPr>
                        <w:tc>
                          <w:tcPr>
                            <w:tcW w:w="333" w:type="dxa"/>
                          </w:tcPr>
                          <w:p>
                            <w:pPr>
                              <w:pStyle w:val="20"/>
                              <w:jc w:val="center"/>
                              <w:rPr>
                                <w:rFonts w:ascii="方正小标宋简体"/>
                                <w:sz w:val="14"/>
                              </w:rPr>
                            </w:pPr>
                          </w:p>
                          <w:p>
                            <w:pPr>
                              <w:pStyle w:val="20"/>
                              <w:jc w:val="center"/>
                              <w:rPr>
                                <w:rFonts w:ascii="方正小标宋简体"/>
                                <w:sz w:val="14"/>
                              </w:rPr>
                            </w:pPr>
                          </w:p>
                          <w:p>
                            <w:pPr>
                              <w:pStyle w:val="20"/>
                              <w:spacing w:before="11"/>
                              <w:jc w:val="center"/>
                              <w:rPr>
                                <w:rFonts w:ascii="方正小标宋简体"/>
                                <w:sz w:val="17"/>
                              </w:rPr>
                            </w:pPr>
                          </w:p>
                          <w:p>
                            <w:pPr>
                              <w:pStyle w:val="20"/>
                              <w:ind w:left="29"/>
                              <w:jc w:val="center"/>
                              <w:rPr>
                                <w:rFonts w:hint="eastAsia" w:eastAsia="宋体"/>
                                <w:sz w:val="14"/>
                                <w:lang w:eastAsia="zh-CN"/>
                              </w:rPr>
                            </w:pPr>
                            <w:r>
                              <w:rPr>
                                <w:rFonts w:hint="eastAsia"/>
                                <w:w w:val="104"/>
                                <w:sz w:val="14"/>
                                <w:lang w:val="en-US" w:eastAsia="zh-CN"/>
                              </w:rPr>
                              <w:t>2</w:t>
                            </w:r>
                          </w:p>
                        </w:tc>
                        <w:tc>
                          <w:tcPr>
                            <w:tcW w:w="792" w:type="dxa"/>
                          </w:tcPr>
                          <w:p>
                            <w:pPr>
                              <w:pStyle w:val="20"/>
                              <w:jc w:val="center"/>
                              <w:rPr>
                                <w:rFonts w:ascii="方正小标宋简体"/>
                                <w:sz w:val="14"/>
                              </w:rPr>
                            </w:pPr>
                          </w:p>
                          <w:p>
                            <w:pPr>
                              <w:pStyle w:val="20"/>
                              <w:spacing w:before="10"/>
                              <w:jc w:val="center"/>
                              <w:rPr>
                                <w:rFonts w:ascii="方正小标宋简体"/>
                                <w:sz w:val="20"/>
                              </w:rPr>
                            </w:pPr>
                          </w:p>
                          <w:p>
                            <w:pPr>
                              <w:pStyle w:val="20"/>
                              <w:spacing w:line="247" w:lineRule="auto"/>
                              <w:ind w:left="40" w:right="28"/>
                              <w:jc w:val="center"/>
                              <w:rPr>
                                <w:sz w:val="14"/>
                              </w:rPr>
                            </w:pPr>
                            <w:r>
                              <w:rPr>
                                <w:w w:val="105"/>
                                <w:sz w:val="14"/>
                              </w:rPr>
                              <w:t>政府投资项目可行性研究报告审批</w:t>
                            </w:r>
                          </w:p>
                        </w:tc>
                        <w:tc>
                          <w:tcPr>
                            <w:tcW w:w="1031" w:type="dxa"/>
                          </w:tcPr>
                          <w:p>
                            <w:pPr>
                              <w:pStyle w:val="20"/>
                              <w:jc w:val="center"/>
                              <w:rPr>
                                <w:rFonts w:ascii="方正小标宋简体"/>
                                <w:sz w:val="14"/>
                              </w:rPr>
                            </w:pPr>
                          </w:p>
                          <w:p>
                            <w:pPr>
                              <w:pStyle w:val="20"/>
                              <w:spacing w:before="10"/>
                              <w:jc w:val="center"/>
                              <w:rPr>
                                <w:rFonts w:ascii="方正小标宋简体"/>
                                <w:sz w:val="20"/>
                              </w:rPr>
                            </w:pPr>
                          </w:p>
                          <w:p>
                            <w:pPr>
                              <w:pStyle w:val="20"/>
                              <w:spacing w:line="247" w:lineRule="auto"/>
                              <w:ind w:left="27" w:right="79"/>
                              <w:jc w:val="center"/>
                              <w:rPr>
                                <w:sz w:val="14"/>
                              </w:rPr>
                            </w:pPr>
                            <w:r>
                              <w:rPr>
                                <w:w w:val="105"/>
                                <w:sz w:val="14"/>
                              </w:rPr>
                              <w:t>政府投资项目的可行性研究报告审批（7日）</w:t>
                            </w:r>
                          </w:p>
                        </w:tc>
                        <w:tc>
                          <w:tcPr>
                            <w:tcW w:w="1082" w:type="dxa"/>
                            <w:tcBorders>
                              <w:right w:val="single" w:color="auto" w:sz="4" w:space="0"/>
                            </w:tcBorders>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7"/>
                              </w:rPr>
                            </w:pPr>
                          </w:p>
                          <w:p>
                            <w:pPr>
                              <w:pStyle w:val="20"/>
                              <w:jc w:val="center"/>
                              <w:rPr>
                                <w:sz w:val="14"/>
                              </w:rPr>
                            </w:pPr>
                            <w:r>
                              <w:rPr>
                                <w:w w:val="105"/>
                                <w:sz w:val="14"/>
                              </w:rPr>
                              <w:t>评估评审</w:t>
                            </w:r>
                          </w:p>
                        </w:tc>
                        <w:tc>
                          <w:tcPr>
                            <w:tcW w:w="7447" w:type="dxa"/>
                            <w:tcBorders>
                              <w:top w:val="single" w:color="auto" w:sz="4" w:space="0"/>
                              <w:left w:val="single" w:color="auto" w:sz="4" w:space="0"/>
                              <w:bottom w:val="single" w:color="auto" w:sz="4" w:space="0"/>
                              <w:right w:val="single" w:color="auto" w:sz="4" w:space="0"/>
                            </w:tcBorders>
                          </w:tcPr>
                          <w:p>
                            <w:pPr>
                              <w:pStyle w:val="20"/>
                              <w:spacing w:before="115"/>
                              <w:ind w:left="27"/>
                              <w:rPr>
                                <w:sz w:val="14"/>
                              </w:rPr>
                            </w:pPr>
                            <w:r>
                              <w:rPr>
                                <w:w w:val="105"/>
                                <w:sz w:val="14"/>
                              </w:rPr>
                              <w:t>【行政法规】《政府投资条例》（中华人民共和国国务院令第712号）</w:t>
                            </w:r>
                          </w:p>
                          <w:p>
                            <w:pPr>
                              <w:pStyle w:val="20"/>
                              <w:tabs>
                                <w:tab w:val="left" w:leader="dot" w:pos="1107"/>
                              </w:tabs>
                              <w:spacing w:before="8"/>
                              <w:ind w:left="27"/>
                              <w:rPr>
                                <w:sz w:val="14"/>
                              </w:rPr>
                            </w:pPr>
                            <w:r>
                              <w:rPr>
                                <w:spacing w:val="5"/>
                                <w:w w:val="105"/>
                                <w:sz w:val="14"/>
                              </w:rPr>
                              <w:t>第十一</w:t>
                            </w:r>
                            <w:r>
                              <w:rPr>
                                <w:w w:val="105"/>
                                <w:sz w:val="14"/>
                              </w:rPr>
                              <w:t xml:space="preserve">条 </w:t>
                            </w:r>
                            <w:r>
                              <w:rPr>
                                <w:spacing w:val="5"/>
                                <w:w w:val="105"/>
                                <w:sz w:val="14"/>
                              </w:rPr>
                              <w:t>对经济社会发</w:t>
                            </w:r>
                            <w:r>
                              <w:rPr>
                                <w:spacing w:val="17"/>
                                <w:w w:val="105"/>
                                <w:sz w:val="14"/>
                              </w:rPr>
                              <w:t>展</w:t>
                            </w:r>
                            <w:r>
                              <w:rPr>
                                <w:spacing w:val="6"/>
                                <w:w w:val="105"/>
                                <w:sz w:val="14"/>
                              </w:rPr>
                              <w:t>、</w:t>
                            </w:r>
                            <w:r>
                              <w:rPr>
                                <w:spacing w:val="5"/>
                                <w:w w:val="105"/>
                                <w:sz w:val="14"/>
                              </w:rPr>
                              <w:t>社会公众利益有重大影响或</w:t>
                            </w:r>
                            <w:r>
                              <w:rPr>
                                <w:spacing w:val="6"/>
                                <w:w w:val="105"/>
                                <w:sz w:val="14"/>
                              </w:rPr>
                              <w:t>者投资规模较大的政府投资项</w:t>
                            </w:r>
                            <w:r>
                              <w:rPr>
                                <w:w w:val="105"/>
                                <w:sz w:val="14"/>
                              </w:rPr>
                              <w:t>目</w:t>
                            </w:r>
                            <w:r>
                              <w:rPr>
                                <w:spacing w:val="-23"/>
                                <w:w w:val="105"/>
                                <w:sz w:val="14"/>
                              </w:rPr>
                              <w:t xml:space="preserve"> </w:t>
                            </w:r>
                            <w:r>
                              <w:rPr>
                                <w:w w:val="105"/>
                                <w:sz w:val="14"/>
                              </w:rPr>
                              <w:t>，</w:t>
                            </w:r>
                          </w:p>
                          <w:p>
                            <w:pPr>
                              <w:pStyle w:val="20"/>
                              <w:spacing w:before="7" w:line="252" w:lineRule="auto"/>
                              <w:ind w:left="27" w:right="11"/>
                              <w:rPr>
                                <w:sz w:val="14"/>
                              </w:rPr>
                            </w:pPr>
                            <w:r>
                              <w:rPr>
                                <w:w w:val="105"/>
                                <w:sz w:val="14"/>
                              </w:rPr>
                              <w:t>投资主管部门或者其他有关部门应当在中介服务机构评估 、公众参与、专家评议、风险评估的基础上作出是否批准的决定。</w:t>
                            </w:r>
                          </w:p>
                          <w:p>
                            <w:pPr>
                              <w:pStyle w:val="20"/>
                              <w:spacing w:line="177" w:lineRule="exact"/>
                              <w:ind w:left="27"/>
                              <w:rPr>
                                <w:sz w:val="14"/>
                              </w:rPr>
                            </w:pPr>
                            <w:r>
                              <w:rPr>
                                <w:w w:val="105"/>
                                <w:sz w:val="14"/>
                              </w:rPr>
                              <w:t>【政府规章】《山东省政府投资管理办法》（鲁政字〔2020〕232号）</w:t>
                            </w:r>
                          </w:p>
                          <w:p>
                            <w:pPr>
                              <w:pStyle w:val="20"/>
                              <w:spacing w:before="8" w:line="249" w:lineRule="auto"/>
                              <w:ind w:left="27"/>
                              <w:rPr>
                                <w:sz w:val="14"/>
                              </w:rPr>
                            </w:pPr>
                            <w:r>
                              <w:rPr>
                                <w:w w:val="105"/>
                                <w:sz w:val="14"/>
                              </w:rPr>
                              <w:t>第二十一条 发展改革部门或者其他有关部门在审批可行性研究报告、初步设计或投资概算时，一般应当由中介服务机构、具有相关职能的单位或专家进行评估评审。评估评审意见应当作为项目审批的重要参考。</w:t>
                            </w:r>
                          </w:p>
                        </w:tc>
                        <w:tc>
                          <w:tcPr>
                            <w:tcW w:w="1624" w:type="dxa"/>
                            <w:tcBorders>
                              <w:left w:val="single" w:color="auto" w:sz="4" w:space="0"/>
                            </w:tcBorders>
                          </w:tcPr>
                          <w:p>
                            <w:pPr>
                              <w:pStyle w:val="20"/>
                              <w:jc w:val="center"/>
                              <w:rPr>
                                <w:rFonts w:ascii="方正小标宋简体"/>
                                <w:sz w:val="14"/>
                              </w:rPr>
                            </w:pPr>
                          </w:p>
                          <w:p>
                            <w:pPr>
                              <w:pStyle w:val="20"/>
                              <w:jc w:val="center"/>
                              <w:rPr>
                                <w:rFonts w:ascii="方正小标宋简体"/>
                                <w:sz w:val="14"/>
                              </w:rPr>
                            </w:pPr>
                          </w:p>
                          <w:p>
                            <w:pPr>
                              <w:pStyle w:val="20"/>
                              <w:jc w:val="center"/>
                              <w:rPr>
                                <w:rFonts w:ascii="方正小标宋简体"/>
                                <w:sz w:val="12"/>
                              </w:rPr>
                            </w:pPr>
                          </w:p>
                          <w:p>
                            <w:pPr>
                              <w:pStyle w:val="20"/>
                              <w:spacing w:line="249" w:lineRule="auto"/>
                              <w:ind w:left="28" w:right="21"/>
                              <w:jc w:val="center"/>
                              <w:rPr>
                                <w:sz w:val="14"/>
                              </w:rPr>
                            </w:pPr>
                            <w:r>
                              <w:rPr>
                                <w:w w:val="105"/>
                                <w:sz w:val="14"/>
                              </w:rPr>
                              <w:t>需要办理该审批服务事项的项目。</w:t>
                            </w:r>
                          </w:p>
                        </w:tc>
                        <w:tc>
                          <w:tcPr>
                            <w:tcW w:w="946" w:type="dxa"/>
                            <w:vAlign w:val="center"/>
                          </w:tcPr>
                          <w:p>
                            <w:pPr>
                              <w:pStyle w:val="20"/>
                              <w:spacing w:line="247" w:lineRule="auto"/>
                              <w:ind w:left="44" w:right="11"/>
                              <w:jc w:val="center"/>
                              <w:rPr>
                                <w:sz w:val="14"/>
                              </w:rPr>
                            </w:pPr>
                            <w:r>
                              <w:rPr>
                                <w:spacing w:val="2"/>
                                <w:w w:val="105"/>
                                <w:sz w:val="14"/>
                              </w:rPr>
                              <w:t>法定时限</w:t>
                            </w:r>
                            <w:r>
                              <w:rPr>
                                <w:w w:val="105"/>
                                <w:sz w:val="14"/>
                              </w:rPr>
                              <w:t xml:space="preserve">：30 </w:t>
                            </w:r>
                            <w:r>
                              <w:rPr>
                                <w:spacing w:val="-1"/>
                                <w:w w:val="105"/>
                                <w:sz w:val="14"/>
                              </w:rPr>
                              <w:t xml:space="preserve">承诺时限： </w:t>
                            </w:r>
                            <w:r>
                              <w:rPr>
                                <w:w w:val="105"/>
                                <w:sz w:val="14"/>
                              </w:rPr>
                              <w:t>10</w:t>
                            </w:r>
                          </w:p>
                        </w:tc>
                        <w:tc>
                          <w:tcPr>
                            <w:tcW w:w="971" w:type="dxa"/>
                            <w:vAlign w:val="center"/>
                          </w:tcPr>
                          <w:p>
                            <w:pPr>
                              <w:pStyle w:val="20"/>
                              <w:spacing w:line="249" w:lineRule="auto"/>
                              <w:rPr>
                                <w:sz w:val="14"/>
                              </w:rPr>
                            </w:pPr>
                            <w:r>
                              <w:rPr>
                                <w:rFonts w:hint="eastAsia"/>
                                <w:w w:val="105"/>
                                <w:sz w:val="14"/>
                              </w:rPr>
                              <w:t>区发展改革局</w:t>
                            </w:r>
                          </w:p>
                        </w:tc>
                      </w:tr>
                    </w:tbl>
                    <w:p>
                      <w:pPr>
                        <w:pStyle w:val="3"/>
                        <w:jc w:val="center"/>
                      </w:pPr>
                    </w:p>
                  </w:txbxContent>
                </v:textbox>
              </v:shape>
            </w:pict>
          </mc:Fallback>
        </mc:AlternateContent>
      </w:r>
      <w:r>
        <w:rPr>
          <w:rFonts w:hint="eastAsia" w:ascii="方正小标宋简体" w:eastAsia="方正小标宋简体"/>
          <w:sz w:val="32"/>
          <w:lang w:eastAsia="zh-CN"/>
        </w:rPr>
        <w:t>青岛西海岸新区工程建设项目主要审批服务事项特殊程序清单</w:t>
      </w:r>
    </w:p>
    <w:p>
      <w:pPr>
        <w:spacing w:line="515" w:lineRule="exact"/>
        <w:ind w:left="3691" w:right="3789"/>
        <w:jc w:val="center"/>
        <w:rPr>
          <w:rFonts w:ascii="方正小标宋简体" w:eastAsia="方正小标宋简体"/>
          <w:sz w:val="32"/>
          <w:lang w:eastAsia="zh-CN"/>
        </w:rPr>
        <w:sectPr>
          <w:pgSz w:w="16840" w:h="11910" w:orient="landscape"/>
          <w:pgMar w:top="1020" w:right="980" w:bottom="1140" w:left="980" w:header="0" w:footer="941" w:gutter="0"/>
          <w:pgNumType w:start="6"/>
          <w:cols w:space="720" w:num="1"/>
          <w:titlePg/>
          <w:docGrid w:linePitch="326" w:charSpace="0"/>
        </w:sectPr>
      </w:pPr>
    </w:p>
    <w:tbl>
      <w:tblPr>
        <w:tblStyle w:val="10"/>
        <w:tblW w:w="1415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2"/>
        <w:gridCol w:w="788"/>
        <w:gridCol w:w="1107"/>
        <w:gridCol w:w="1025"/>
        <w:gridCol w:w="7407"/>
        <w:gridCol w:w="1616"/>
        <w:gridCol w:w="943"/>
        <w:gridCol w:w="9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6" w:hRule="atLeast"/>
          <w:jc w:val="center"/>
        </w:trPr>
        <w:tc>
          <w:tcPr>
            <w:tcW w:w="332" w:type="dxa"/>
          </w:tcPr>
          <w:p>
            <w:pPr>
              <w:pStyle w:val="20"/>
              <w:spacing w:before="11"/>
              <w:rPr>
                <w:rFonts w:ascii="方正小标宋简体"/>
                <w:sz w:val="20"/>
              </w:rPr>
            </w:pPr>
          </w:p>
          <w:p>
            <w:pPr>
              <w:pStyle w:val="20"/>
              <w:ind w:left="23"/>
              <w:jc w:val="center"/>
              <w:rPr>
                <w:rFonts w:ascii="黑体" w:eastAsia="黑体"/>
                <w:sz w:val="14"/>
              </w:rPr>
            </w:pPr>
            <w:r>
              <w:rPr>
                <w:rFonts w:hint="eastAsia" w:ascii="黑体" w:eastAsia="黑体"/>
                <w:w w:val="105"/>
                <w:sz w:val="14"/>
              </w:rPr>
              <w:t>序号</w:t>
            </w:r>
          </w:p>
        </w:tc>
        <w:tc>
          <w:tcPr>
            <w:tcW w:w="788" w:type="dxa"/>
          </w:tcPr>
          <w:p>
            <w:pPr>
              <w:pStyle w:val="20"/>
              <w:spacing w:before="11"/>
              <w:rPr>
                <w:rFonts w:ascii="方正小标宋简体"/>
                <w:sz w:val="20"/>
              </w:rPr>
            </w:pPr>
          </w:p>
          <w:p>
            <w:pPr>
              <w:pStyle w:val="20"/>
              <w:ind w:left="117"/>
              <w:rPr>
                <w:rFonts w:ascii="黑体" w:eastAsia="黑体"/>
                <w:sz w:val="14"/>
              </w:rPr>
            </w:pPr>
            <w:r>
              <w:rPr>
                <w:rFonts w:hint="eastAsia" w:ascii="黑体" w:eastAsia="黑体"/>
                <w:w w:val="105"/>
                <w:sz w:val="14"/>
              </w:rPr>
              <w:t>事项名称</w:t>
            </w:r>
          </w:p>
        </w:tc>
        <w:tc>
          <w:tcPr>
            <w:tcW w:w="1107" w:type="dxa"/>
          </w:tcPr>
          <w:p>
            <w:pPr>
              <w:pStyle w:val="20"/>
              <w:spacing w:before="10"/>
              <w:rPr>
                <w:rFonts w:ascii="方正小标宋简体"/>
                <w:sz w:val="9"/>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025" w:type="dxa"/>
          </w:tcPr>
          <w:p>
            <w:pPr>
              <w:pStyle w:val="20"/>
              <w:spacing w:before="11"/>
              <w:rPr>
                <w:rFonts w:ascii="方正小标宋简体"/>
                <w:sz w:val="20"/>
              </w:rPr>
            </w:pPr>
          </w:p>
          <w:p>
            <w:pPr>
              <w:pStyle w:val="20"/>
              <w:ind w:left="32" w:right="15"/>
              <w:jc w:val="center"/>
              <w:rPr>
                <w:rFonts w:ascii="黑体" w:eastAsia="黑体"/>
                <w:sz w:val="14"/>
              </w:rPr>
            </w:pPr>
            <w:r>
              <w:rPr>
                <w:rFonts w:hint="eastAsia" w:ascii="黑体" w:eastAsia="黑体"/>
                <w:w w:val="105"/>
                <w:sz w:val="14"/>
              </w:rPr>
              <w:t>特殊程序名称</w:t>
            </w:r>
          </w:p>
        </w:tc>
        <w:tc>
          <w:tcPr>
            <w:tcW w:w="7407" w:type="dxa"/>
          </w:tcPr>
          <w:p>
            <w:pPr>
              <w:pStyle w:val="20"/>
              <w:spacing w:before="11"/>
              <w:rPr>
                <w:rFonts w:ascii="方正小标宋简体"/>
                <w:sz w:val="20"/>
              </w:rPr>
            </w:pPr>
          </w:p>
          <w:p>
            <w:pPr>
              <w:pStyle w:val="20"/>
              <w:ind w:left="2655" w:right="2645"/>
              <w:rPr>
                <w:rFonts w:ascii="黑体" w:eastAsia="黑体"/>
                <w:sz w:val="14"/>
              </w:rPr>
            </w:pPr>
            <w:r>
              <w:rPr>
                <w:rFonts w:hint="eastAsia" w:ascii="黑体" w:eastAsia="黑体"/>
                <w:w w:val="105"/>
                <w:sz w:val="14"/>
              </w:rPr>
              <w:t>特殊程序主要依据</w:t>
            </w:r>
          </w:p>
        </w:tc>
        <w:tc>
          <w:tcPr>
            <w:tcW w:w="1616" w:type="dxa"/>
            <w:vAlign w:val="center"/>
          </w:tcPr>
          <w:p>
            <w:pPr>
              <w:pStyle w:val="20"/>
              <w:spacing w:line="242" w:lineRule="auto"/>
              <w:jc w:val="center"/>
              <w:rPr>
                <w:rFonts w:ascii="黑体" w:eastAsia="黑体"/>
                <w:w w:val="105"/>
                <w:sz w:val="14"/>
              </w:rPr>
            </w:pPr>
            <w:r>
              <w:rPr>
                <w:rFonts w:hint="eastAsia" w:ascii="黑体" w:eastAsia="黑体"/>
                <w:w w:val="105"/>
                <w:sz w:val="14"/>
              </w:rPr>
              <w:t>特殊程序</w:t>
            </w:r>
          </w:p>
          <w:p>
            <w:pPr>
              <w:pStyle w:val="20"/>
              <w:spacing w:line="242" w:lineRule="auto"/>
              <w:jc w:val="center"/>
              <w:rPr>
                <w:rFonts w:ascii="黑体" w:eastAsia="黑体"/>
                <w:sz w:val="14"/>
              </w:rPr>
            </w:pPr>
            <w:r>
              <w:rPr>
                <w:rFonts w:hint="eastAsia" w:ascii="黑体" w:eastAsia="黑体"/>
                <w:w w:val="105"/>
                <w:sz w:val="14"/>
              </w:rPr>
              <w:t>适用条件</w:t>
            </w:r>
          </w:p>
        </w:tc>
        <w:tc>
          <w:tcPr>
            <w:tcW w:w="943" w:type="dxa"/>
            <w:vAlign w:val="center"/>
          </w:tcPr>
          <w:p>
            <w:pPr>
              <w:pStyle w:val="20"/>
              <w:jc w:val="center"/>
              <w:rPr>
                <w:rFonts w:ascii="方正小标宋简体"/>
                <w:sz w:val="9"/>
              </w:rPr>
            </w:pPr>
          </w:p>
          <w:p>
            <w:pPr>
              <w:pStyle w:val="20"/>
              <w:jc w:val="center"/>
              <w:rPr>
                <w:rFonts w:ascii="黑体" w:eastAsia="黑体"/>
                <w:sz w:val="14"/>
              </w:rPr>
            </w:pPr>
            <w:r>
              <w:rPr>
                <w:rFonts w:hint="eastAsia" w:ascii="黑体" w:eastAsia="黑体"/>
                <w:w w:val="105"/>
                <w:sz w:val="14"/>
              </w:rPr>
              <w:t>特殊程序</w:t>
            </w:r>
          </w:p>
          <w:p>
            <w:pPr>
              <w:pStyle w:val="20"/>
              <w:spacing w:line="252" w:lineRule="auto"/>
              <w:jc w:val="center"/>
              <w:rPr>
                <w:rFonts w:ascii="黑体" w:eastAsia="黑体"/>
                <w:sz w:val="14"/>
              </w:rPr>
            </w:pPr>
            <w:r>
              <w:rPr>
                <w:rFonts w:hint="eastAsia" w:ascii="黑体" w:eastAsia="黑体"/>
                <w:w w:val="105"/>
                <w:sz w:val="14"/>
              </w:rPr>
              <w:t>办理时限（工作日）</w:t>
            </w:r>
          </w:p>
        </w:tc>
        <w:tc>
          <w:tcPr>
            <w:tcW w:w="935" w:type="dxa"/>
          </w:tcPr>
          <w:p>
            <w:pPr>
              <w:pStyle w:val="20"/>
              <w:spacing w:before="5"/>
              <w:rPr>
                <w:rFonts w:ascii="方正小标宋简体"/>
                <w:sz w:val="15"/>
              </w:rPr>
            </w:pPr>
          </w:p>
          <w:p>
            <w:pPr>
              <w:pStyle w:val="20"/>
              <w:spacing w:line="242" w:lineRule="auto"/>
              <w:ind w:left="391" w:right="61" w:hanging="303"/>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2" w:hRule="atLeast"/>
          <w:jc w:val="center"/>
        </w:trPr>
        <w:tc>
          <w:tcPr>
            <w:tcW w:w="332"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8"/>
              <w:rPr>
                <w:rFonts w:ascii="方正小标宋简体"/>
                <w:sz w:val="15"/>
              </w:rPr>
            </w:pPr>
          </w:p>
          <w:p>
            <w:pPr>
              <w:pStyle w:val="20"/>
              <w:ind w:left="29"/>
              <w:jc w:val="center"/>
              <w:rPr>
                <w:rFonts w:hint="eastAsia" w:eastAsia="宋体"/>
                <w:sz w:val="14"/>
                <w:lang w:eastAsia="zh-CN"/>
              </w:rPr>
            </w:pPr>
            <w:r>
              <w:rPr>
                <w:rFonts w:hint="eastAsia"/>
                <w:w w:val="104"/>
                <w:sz w:val="14"/>
                <w:lang w:val="en-US" w:eastAsia="zh-CN"/>
              </w:rPr>
              <w:t>3</w:t>
            </w:r>
          </w:p>
        </w:tc>
        <w:tc>
          <w:tcPr>
            <w:tcW w:w="788"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3"/>
              </w:rPr>
            </w:pPr>
          </w:p>
          <w:p>
            <w:pPr>
              <w:pStyle w:val="20"/>
              <w:spacing w:before="1" w:line="249" w:lineRule="auto"/>
              <w:ind w:left="40" w:right="28"/>
              <w:jc w:val="center"/>
              <w:rPr>
                <w:sz w:val="14"/>
              </w:rPr>
            </w:pPr>
            <w:r>
              <w:rPr>
                <w:w w:val="105"/>
                <w:sz w:val="14"/>
              </w:rPr>
              <w:t>建设项目用地预审与选址意见书核发</w:t>
            </w:r>
          </w:p>
        </w:tc>
        <w:tc>
          <w:tcPr>
            <w:tcW w:w="1107"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1"/>
              <w:rPr>
                <w:rFonts w:ascii="方正小标宋简体"/>
                <w:sz w:val="18"/>
              </w:rPr>
            </w:pPr>
          </w:p>
          <w:p>
            <w:pPr>
              <w:pStyle w:val="20"/>
              <w:spacing w:line="247" w:lineRule="auto"/>
              <w:ind w:left="27" w:right="79"/>
              <w:jc w:val="both"/>
              <w:rPr>
                <w:sz w:val="14"/>
              </w:rPr>
            </w:pPr>
            <w:r>
              <w:rPr>
                <w:w w:val="105"/>
                <w:sz w:val="14"/>
              </w:rPr>
              <w:t>建设项目用地预审与选址意见书核发（10日）</w:t>
            </w:r>
          </w:p>
        </w:tc>
        <w:tc>
          <w:tcPr>
            <w:tcW w:w="1025" w:type="dxa"/>
          </w:tcPr>
          <w:p>
            <w:pPr>
              <w:pStyle w:val="20"/>
              <w:spacing w:before="14"/>
              <w:rPr>
                <w:rFonts w:ascii="方正小标宋简体"/>
                <w:sz w:val="15"/>
              </w:rPr>
            </w:pPr>
          </w:p>
          <w:p>
            <w:pPr>
              <w:pStyle w:val="20"/>
              <w:spacing w:before="1"/>
              <w:ind w:left="32" w:right="7"/>
              <w:jc w:val="center"/>
              <w:rPr>
                <w:sz w:val="14"/>
              </w:rPr>
            </w:pPr>
            <w:r>
              <w:rPr>
                <w:w w:val="105"/>
                <w:sz w:val="14"/>
              </w:rPr>
              <w:t>公告</w:t>
            </w:r>
          </w:p>
        </w:tc>
        <w:tc>
          <w:tcPr>
            <w:tcW w:w="7407" w:type="dxa"/>
          </w:tcPr>
          <w:p>
            <w:pPr>
              <w:pStyle w:val="20"/>
              <w:spacing w:before="81"/>
              <w:ind w:left="27"/>
              <w:rPr>
                <w:sz w:val="14"/>
              </w:rPr>
            </w:pPr>
            <w:r>
              <w:rPr>
                <w:w w:val="105"/>
                <w:sz w:val="14"/>
              </w:rPr>
              <w:t>【行政法规】《山东省城乡规划条例》（2012年8月通过，2018年9月修正）</w:t>
            </w:r>
          </w:p>
          <w:p>
            <w:pPr>
              <w:pStyle w:val="20"/>
              <w:spacing w:before="8" w:line="249" w:lineRule="auto"/>
              <w:ind w:left="27" w:right="24"/>
              <w:rPr>
                <w:sz w:val="14"/>
              </w:rPr>
            </w:pPr>
            <w:r>
              <w:rPr>
                <w:w w:val="105"/>
                <w:sz w:val="14"/>
              </w:rPr>
              <w:t>第三十六条 城乡规划主管部门在作出建设项目规划许可决定前，应当在规划展示场所和部门网站或者建设工程现场，对拟作出的规划许可有关内容进行公告。公告时间不得少于七日。</w:t>
            </w:r>
          </w:p>
        </w:tc>
        <w:tc>
          <w:tcPr>
            <w:tcW w:w="1616" w:type="dxa"/>
          </w:tcPr>
          <w:p>
            <w:pPr>
              <w:pStyle w:val="20"/>
              <w:spacing w:before="8"/>
              <w:rPr>
                <w:rFonts w:ascii="方正小标宋简体"/>
                <w:sz w:val="10"/>
              </w:rPr>
            </w:pPr>
          </w:p>
          <w:p>
            <w:pPr>
              <w:pStyle w:val="20"/>
              <w:spacing w:line="252" w:lineRule="auto"/>
              <w:ind w:left="28" w:right="21"/>
              <w:rPr>
                <w:sz w:val="14"/>
              </w:rPr>
            </w:pPr>
            <w:r>
              <w:rPr>
                <w:w w:val="105"/>
                <w:sz w:val="14"/>
              </w:rPr>
              <w:t>需要办理该审批服务事项的项目。</w:t>
            </w:r>
          </w:p>
        </w:tc>
        <w:tc>
          <w:tcPr>
            <w:tcW w:w="943" w:type="dxa"/>
            <w:vAlign w:val="center"/>
          </w:tcPr>
          <w:p>
            <w:pPr>
              <w:pStyle w:val="20"/>
              <w:spacing w:line="252" w:lineRule="auto"/>
              <w:jc w:val="center"/>
              <w:rPr>
                <w:w w:val="105"/>
                <w:sz w:val="14"/>
              </w:rPr>
            </w:pPr>
            <w:r>
              <w:rPr>
                <w:w w:val="105"/>
                <w:sz w:val="14"/>
              </w:rPr>
              <w:t xml:space="preserve">法定时限：7 </w:t>
            </w:r>
          </w:p>
          <w:p>
            <w:pPr>
              <w:pStyle w:val="20"/>
              <w:spacing w:line="252" w:lineRule="auto"/>
              <w:jc w:val="center"/>
              <w:rPr>
                <w:sz w:val="14"/>
              </w:rPr>
            </w:pPr>
            <w:r>
              <w:rPr>
                <w:w w:val="105"/>
                <w:sz w:val="14"/>
              </w:rPr>
              <w:t>承诺时限：</w:t>
            </w:r>
            <w:r>
              <w:rPr>
                <w:w w:val="104"/>
                <w:sz w:val="14"/>
              </w:rPr>
              <w:t>7</w:t>
            </w:r>
          </w:p>
        </w:tc>
        <w:tc>
          <w:tcPr>
            <w:tcW w:w="935"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
              <w:rPr>
                <w:rFonts w:ascii="方正小标宋简体"/>
                <w:sz w:val="10"/>
              </w:rPr>
            </w:pPr>
          </w:p>
          <w:p>
            <w:pPr>
              <w:pStyle w:val="20"/>
              <w:spacing w:line="252" w:lineRule="auto"/>
              <w:rPr>
                <w:sz w:val="14"/>
              </w:rPr>
            </w:pPr>
            <w:r>
              <w:rPr>
                <w:rFonts w:hint="eastAsia"/>
                <w:sz w:val="14"/>
              </w:rPr>
              <w:t>区自然资源局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69" w:hRule="atLeast"/>
          <w:jc w:val="center"/>
        </w:trPr>
        <w:tc>
          <w:tcPr>
            <w:tcW w:w="332" w:type="dxa"/>
            <w:vMerge w:val="continue"/>
            <w:tcBorders>
              <w:top w:val="nil"/>
            </w:tcBorders>
          </w:tcPr>
          <w:p>
            <w:pPr>
              <w:rPr>
                <w:sz w:val="2"/>
                <w:szCs w:val="2"/>
              </w:rPr>
            </w:pPr>
          </w:p>
        </w:tc>
        <w:tc>
          <w:tcPr>
            <w:tcW w:w="788" w:type="dxa"/>
            <w:vMerge w:val="continue"/>
            <w:tcBorders>
              <w:top w:val="nil"/>
            </w:tcBorders>
          </w:tcPr>
          <w:p>
            <w:pPr>
              <w:rPr>
                <w:sz w:val="2"/>
                <w:szCs w:val="2"/>
              </w:rPr>
            </w:pPr>
          </w:p>
        </w:tc>
        <w:tc>
          <w:tcPr>
            <w:tcW w:w="1107" w:type="dxa"/>
            <w:vMerge w:val="continue"/>
            <w:tcBorders>
              <w:top w:val="nil"/>
            </w:tcBorders>
          </w:tcPr>
          <w:p>
            <w:pPr>
              <w:rPr>
                <w:sz w:val="2"/>
                <w:szCs w:val="2"/>
              </w:rPr>
            </w:pPr>
          </w:p>
        </w:tc>
        <w:tc>
          <w:tcPr>
            <w:tcW w:w="1025"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
              <w:rPr>
                <w:rFonts w:ascii="方正小标宋简体"/>
                <w:sz w:val="18"/>
              </w:rPr>
            </w:pPr>
          </w:p>
          <w:p>
            <w:pPr>
              <w:pStyle w:val="20"/>
              <w:ind w:left="32" w:right="16"/>
              <w:jc w:val="center"/>
              <w:rPr>
                <w:sz w:val="14"/>
              </w:rPr>
            </w:pPr>
            <w:r>
              <w:rPr>
                <w:w w:val="105"/>
                <w:sz w:val="14"/>
              </w:rPr>
              <w:t>专家论证</w:t>
            </w:r>
          </w:p>
        </w:tc>
        <w:tc>
          <w:tcPr>
            <w:tcW w:w="7407" w:type="dxa"/>
          </w:tcPr>
          <w:p>
            <w:pPr>
              <w:pStyle w:val="20"/>
              <w:spacing w:before="37" w:line="252" w:lineRule="auto"/>
              <w:ind w:left="27" w:right="1"/>
              <w:rPr>
                <w:sz w:val="14"/>
              </w:rPr>
            </w:pPr>
            <w:r>
              <w:rPr>
                <w:w w:val="105"/>
                <w:sz w:val="14"/>
              </w:rPr>
              <w:t>【部门规章】《建设项目用地预审管理办法》（2001年7月25日中华人民共和国国土资源部令第 7 号发布 2004年10月29日修订 2008年11月12日第一次修正 根据2016年11月25日《国土资源部关于修改&lt;建设项目用地预审管理办法&gt;的决定》第二次修正）</w:t>
            </w:r>
          </w:p>
          <w:p>
            <w:pPr>
              <w:pStyle w:val="20"/>
              <w:spacing w:line="249" w:lineRule="auto"/>
              <w:ind w:left="27"/>
              <w:rPr>
                <w:sz w:val="14"/>
              </w:rPr>
            </w:pPr>
            <w:r>
              <w:rPr>
                <w:w w:val="105"/>
                <w:sz w:val="14"/>
              </w:rPr>
              <w:t>第十一条 预审应当审查以下内容:（一）建设项目用地是否符合国家供地政策和土地管理法律、法规规定的条件；（二）建设项目选址是否符合土地利用总体规划，属《土地管理法》第二十六条规定情形，建设项目用地需修改土地利用总体规划的，规划修改方案是否符合法律、法规的规定；（三）建设项目用地规模是否符合有关土地使用标准的规定；对国家和地方尚未颁布土地使用标准和建设标准的建设项目，以及确需突破土地使用标准确定的规模和功能分区的建设项目，是否已组织建设项目节地评价并出具评审论证意见。占用基本农田或者其他耕地规模较大的建设项目，还应当审查是否已经组织踏勘论证。</w:t>
            </w:r>
          </w:p>
          <w:p>
            <w:pPr>
              <w:pStyle w:val="20"/>
              <w:spacing w:before="5" w:line="249" w:lineRule="auto"/>
              <w:ind w:left="27" w:right="21"/>
              <w:rPr>
                <w:sz w:val="14"/>
              </w:rPr>
            </w:pPr>
            <w:r>
              <w:rPr>
                <w:w w:val="105"/>
                <w:sz w:val="14"/>
              </w:rPr>
              <w:t>【部门规章】《山东省城乡规划条例》第三十四条 城乡规划主管部门应当在城乡规划确定的建设用地范围内，依法对建设项目作出规划许可。区域性重大基础设施、公共服务设施等建设项目超出城乡规划确定的建设用地范围的，有权核发建设项目选址意见书的城乡规划主管部门应当会同有关部门，组织专家进行论证，经论证同意建设的，方可作出规划许可。</w:t>
            </w:r>
          </w:p>
        </w:tc>
        <w:tc>
          <w:tcPr>
            <w:tcW w:w="1616" w:type="dxa"/>
            <w:vAlign w:val="center"/>
          </w:tcPr>
          <w:p>
            <w:pPr>
              <w:pStyle w:val="20"/>
              <w:spacing w:line="249" w:lineRule="auto"/>
              <w:ind w:left="28" w:right="5"/>
              <w:jc w:val="center"/>
              <w:rPr>
                <w:sz w:val="14"/>
              </w:rPr>
            </w:pPr>
            <w:r>
              <w:rPr>
                <w:w w:val="105"/>
                <w:sz w:val="14"/>
              </w:rPr>
              <w:t>对国家和地方尚未颁布土地使用标准和建设标准的建设项目，以及确需突破土地使用标准确定的规模和功能分区的建设项目、占用基本农田或者其他耕地规模较大的建设项目；区域性重大基础设施、公共服务设施等建设项目超出城乡规划确定的建设用地范围的建设项目。</w:t>
            </w:r>
          </w:p>
        </w:tc>
        <w:tc>
          <w:tcPr>
            <w:tcW w:w="943" w:type="dxa"/>
            <w:vAlign w:val="center"/>
          </w:tcPr>
          <w:p>
            <w:pPr>
              <w:pStyle w:val="20"/>
              <w:spacing w:line="249" w:lineRule="auto"/>
              <w:jc w:val="center"/>
              <w:rPr>
                <w:sz w:val="14"/>
              </w:rPr>
            </w:pPr>
            <w:r>
              <w:rPr>
                <w:spacing w:val="2"/>
                <w:w w:val="105"/>
                <w:sz w:val="14"/>
              </w:rPr>
              <w:t>法定时限</w:t>
            </w:r>
            <w:r>
              <w:rPr>
                <w:w w:val="105"/>
                <w:sz w:val="14"/>
              </w:rPr>
              <w:t xml:space="preserve">：30 </w:t>
            </w:r>
            <w:r>
              <w:rPr>
                <w:spacing w:val="-1"/>
                <w:w w:val="105"/>
                <w:sz w:val="14"/>
              </w:rPr>
              <w:t>承诺时限：</w:t>
            </w:r>
            <w:r>
              <w:rPr>
                <w:w w:val="105"/>
                <w:sz w:val="14"/>
              </w:rPr>
              <w:t>10</w:t>
            </w:r>
          </w:p>
        </w:tc>
        <w:tc>
          <w:tcPr>
            <w:tcW w:w="935" w:type="dxa"/>
            <w:vMerge w:val="continue"/>
            <w:tcBorders>
              <w:top w:val="nil"/>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047" w:hRule="atLeast"/>
          <w:jc w:val="center"/>
        </w:trPr>
        <w:tc>
          <w:tcPr>
            <w:tcW w:w="332" w:type="dxa"/>
            <w:vMerge w:val="continue"/>
            <w:tcBorders>
              <w:top w:val="nil"/>
            </w:tcBorders>
          </w:tcPr>
          <w:p>
            <w:pPr>
              <w:rPr>
                <w:sz w:val="2"/>
                <w:szCs w:val="2"/>
                <w:lang w:eastAsia="zh-CN"/>
              </w:rPr>
            </w:pPr>
          </w:p>
        </w:tc>
        <w:tc>
          <w:tcPr>
            <w:tcW w:w="788" w:type="dxa"/>
            <w:vMerge w:val="continue"/>
            <w:tcBorders>
              <w:top w:val="nil"/>
            </w:tcBorders>
          </w:tcPr>
          <w:p>
            <w:pPr>
              <w:rPr>
                <w:sz w:val="2"/>
                <w:szCs w:val="2"/>
                <w:lang w:eastAsia="zh-CN"/>
              </w:rPr>
            </w:pPr>
          </w:p>
        </w:tc>
        <w:tc>
          <w:tcPr>
            <w:tcW w:w="1107" w:type="dxa"/>
            <w:vMerge w:val="continue"/>
            <w:tcBorders>
              <w:top w:val="nil"/>
            </w:tcBorders>
          </w:tcPr>
          <w:p>
            <w:pPr>
              <w:rPr>
                <w:sz w:val="2"/>
                <w:szCs w:val="2"/>
                <w:lang w:eastAsia="zh-CN"/>
              </w:rPr>
            </w:pPr>
          </w:p>
        </w:tc>
        <w:tc>
          <w:tcPr>
            <w:tcW w:w="1025"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5"/>
              <w:rPr>
                <w:rFonts w:ascii="方正小标宋简体"/>
                <w:sz w:val="13"/>
              </w:rPr>
            </w:pPr>
          </w:p>
          <w:p>
            <w:pPr>
              <w:pStyle w:val="20"/>
              <w:ind w:left="32" w:right="16"/>
              <w:jc w:val="center"/>
              <w:rPr>
                <w:sz w:val="14"/>
              </w:rPr>
            </w:pPr>
            <w:r>
              <w:rPr>
                <w:w w:val="105"/>
                <w:sz w:val="14"/>
              </w:rPr>
              <w:t>现场踏勘</w:t>
            </w:r>
          </w:p>
        </w:tc>
        <w:tc>
          <w:tcPr>
            <w:tcW w:w="7407" w:type="dxa"/>
          </w:tcPr>
          <w:p>
            <w:pPr>
              <w:pStyle w:val="20"/>
              <w:spacing w:before="100" w:line="249" w:lineRule="auto"/>
              <w:ind w:left="27" w:right="1"/>
              <w:rPr>
                <w:sz w:val="14"/>
              </w:rPr>
            </w:pPr>
            <w:r>
              <w:rPr>
                <w:w w:val="105"/>
                <w:sz w:val="14"/>
              </w:rPr>
              <w:t>【部门规章】《建设项目用地预审管理办法》（2001年7月25日中华人民共和国国土资源部令第7号发布</w:t>
            </w:r>
            <w:r>
              <w:rPr>
                <w:rFonts w:hint="eastAsia"/>
                <w:w w:val="105"/>
                <w:sz w:val="14"/>
              </w:rPr>
              <w:t xml:space="preserve"> </w:t>
            </w:r>
            <w:r>
              <w:rPr>
                <w:w w:val="105"/>
                <w:sz w:val="14"/>
              </w:rPr>
              <w:t>2004年10月29日修订 2008年11月12日第一次修正根据</w:t>
            </w:r>
            <w:r>
              <w:rPr>
                <w:rFonts w:hint="eastAsia"/>
                <w:w w:val="105"/>
                <w:sz w:val="14"/>
              </w:rPr>
              <w:t xml:space="preserve"> </w:t>
            </w:r>
            <w:r>
              <w:rPr>
                <w:w w:val="105"/>
                <w:sz w:val="14"/>
              </w:rPr>
              <w:t>2016年11月25日《国土资源部关于修改&lt;建设项目用地预审管理办法&gt;的决定》第二次修正）</w:t>
            </w:r>
          </w:p>
          <w:p>
            <w:pPr>
              <w:pStyle w:val="20"/>
              <w:spacing w:before="2" w:line="249" w:lineRule="auto"/>
              <w:ind w:left="27"/>
              <w:rPr>
                <w:sz w:val="14"/>
              </w:rPr>
            </w:pPr>
            <w:r>
              <w:rPr>
                <w:w w:val="105"/>
                <w:sz w:val="14"/>
              </w:rPr>
              <w:t>第十一条 预审应当审查以下内容:（一）建设项目用地是否符合国家供地政策和土地管理法律 、法规规定的条件；（二）建设项目选址是否符合土地利用总体规划，属《土地管理法》第二十六条规定情形，建设项目用地需修改土地利用总体规划的，规划修改方案是否符合法律、法规的规定；（三）建设项目用地规模是否符合有关土地使用标准的规定；对国家和地方尚未颁布土地使用标准和建设标准的建设项目，以及确需突破土地使用标准确定的规模和功能分区的建设项目，是否已组织建设项目节地评价并出具评审论证意见。</w:t>
            </w:r>
          </w:p>
          <w:p>
            <w:pPr>
              <w:pStyle w:val="20"/>
              <w:spacing w:before="4"/>
              <w:ind w:left="27"/>
              <w:rPr>
                <w:sz w:val="14"/>
              </w:rPr>
            </w:pPr>
            <w:r>
              <w:rPr>
                <w:w w:val="105"/>
                <w:sz w:val="14"/>
              </w:rPr>
              <w:t>占用基本农田或者其他耕地规模较大的建设项目，还应当审查是否已经组织踏勘论证。</w:t>
            </w:r>
          </w:p>
        </w:tc>
        <w:tc>
          <w:tcPr>
            <w:tcW w:w="1616"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3"/>
              <w:rPr>
                <w:rFonts w:ascii="方正小标宋简体"/>
                <w:sz w:val="8"/>
              </w:rPr>
            </w:pPr>
          </w:p>
          <w:p>
            <w:pPr>
              <w:pStyle w:val="20"/>
              <w:spacing w:line="252" w:lineRule="auto"/>
              <w:ind w:left="28" w:right="21"/>
              <w:rPr>
                <w:sz w:val="14"/>
              </w:rPr>
            </w:pPr>
            <w:r>
              <w:rPr>
                <w:w w:val="105"/>
                <w:sz w:val="14"/>
              </w:rPr>
              <w:t>占用基本农田或者其他耕地规模较大的建设项目。</w:t>
            </w:r>
          </w:p>
        </w:tc>
        <w:tc>
          <w:tcPr>
            <w:tcW w:w="943" w:type="dxa"/>
            <w:vAlign w:val="center"/>
          </w:tcPr>
          <w:p>
            <w:pPr>
              <w:pStyle w:val="20"/>
              <w:spacing w:line="247" w:lineRule="auto"/>
              <w:jc w:val="center"/>
              <w:rPr>
                <w:sz w:val="14"/>
              </w:rPr>
            </w:pPr>
            <w:r>
              <w:rPr>
                <w:spacing w:val="2"/>
                <w:w w:val="105"/>
                <w:sz w:val="14"/>
              </w:rPr>
              <w:t>法定时限</w:t>
            </w:r>
            <w:r>
              <w:rPr>
                <w:w w:val="105"/>
                <w:sz w:val="14"/>
              </w:rPr>
              <w:t xml:space="preserve">：15 </w:t>
            </w:r>
            <w:r>
              <w:rPr>
                <w:spacing w:val="-1"/>
                <w:w w:val="105"/>
                <w:sz w:val="14"/>
              </w:rPr>
              <w:t>承诺时限：</w:t>
            </w:r>
            <w:r>
              <w:rPr>
                <w:w w:val="105"/>
                <w:sz w:val="14"/>
              </w:rPr>
              <w:t>10</w:t>
            </w:r>
          </w:p>
        </w:tc>
        <w:tc>
          <w:tcPr>
            <w:tcW w:w="935" w:type="dxa"/>
            <w:vMerge w:val="continue"/>
            <w:tcBorders>
              <w:top w:val="nil"/>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30" w:hRule="atLeast"/>
          <w:jc w:val="center"/>
        </w:trPr>
        <w:tc>
          <w:tcPr>
            <w:tcW w:w="332" w:type="dxa"/>
          </w:tcPr>
          <w:p>
            <w:pPr>
              <w:pStyle w:val="20"/>
              <w:spacing w:before="3"/>
              <w:rPr>
                <w:rFonts w:ascii="方正小标宋简体"/>
                <w:sz w:val="14"/>
              </w:rPr>
            </w:pPr>
          </w:p>
          <w:p>
            <w:pPr>
              <w:pStyle w:val="20"/>
              <w:ind w:left="29"/>
              <w:jc w:val="center"/>
              <w:rPr>
                <w:rFonts w:hint="eastAsia" w:eastAsia="宋体"/>
                <w:sz w:val="14"/>
                <w:lang w:eastAsia="zh-CN"/>
              </w:rPr>
            </w:pPr>
            <w:r>
              <w:rPr>
                <w:rFonts w:hint="eastAsia"/>
                <w:w w:val="104"/>
                <w:sz w:val="14"/>
                <w:lang w:val="en-US" w:eastAsia="zh-CN"/>
              </w:rPr>
              <w:t>4</w:t>
            </w:r>
          </w:p>
        </w:tc>
        <w:tc>
          <w:tcPr>
            <w:tcW w:w="788" w:type="dxa"/>
          </w:tcPr>
          <w:p>
            <w:pPr>
              <w:pStyle w:val="20"/>
              <w:spacing w:before="52" w:line="247" w:lineRule="auto"/>
              <w:ind w:left="40" w:right="20"/>
              <w:jc w:val="both"/>
              <w:rPr>
                <w:sz w:val="14"/>
              </w:rPr>
            </w:pPr>
            <w:r>
              <w:rPr>
                <w:w w:val="105"/>
                <w:sz w:val="14"/>
              </w:rPr>
              <w:t>建设用地、临时建设用地规划许可</w:t>
            </w:r>
          </w:p>
        </w:tc>
        <w:tc>
          <w:tcPr>
            <w:tcW w:w="1107" w:type="dxa"/>
          </w:tcPr>
          <w:p>
            <w:pPr>
              <w:pStyle w:val="20"/>
              <w:spacing w:before="52" w:line="247" w:lineRule="auto"/>
              <w:ind w:left="27" w:right="72"/>
              <w:jc w:val="both"/>
              <w:rPr>
                <w:sz w:val="14"/>
              </w:rPr>
            </w:pPr>
            <w:r>
              <w:rPr>
                <w:w w:val="105"/>
                <w:sz w:val="14"/>
              </w:rPr>
              <w:t>建设用地、临时建设用地规划许可（3日）</w:t>
            </w:r>
          </w:p>
        </w:tc>
        <w:tc>
          <w:tcPr>
            <w:tcW w:w="1025" w:type="dxa"/>
          </w:tcPr>
          <w:p>
            <w:pPr>
              <w:pStyle w:val="20"/>
              <w:spacing w:before="3"/>
              <w:rPr>
                <w:rFonts w:ascii="方正小标宋简体"/>
                <w:sz w:val="14"/>
              </w:rPr>
            </w:pPr>
          </w:p>
          <w:p>
            <w:pPr>
              <w:pStyle w:val="20"/>
              <w:ind w:left="32" w:right="7"/>
              <w:jc w:val="center"/>
              <w:rPr>
                <w:sz w:val="14"/>
              </w:rPr>
            </w:pPr>
            <w:r>
              <w:rPr>
                <w:w w:val="105"/>
                <w:sz w:val="14"/>
              </w:rPr>
              <w:t>公告</w:t>
            </w:r>
          </w:p>
        </w:tc>
        <w:tc>
          <w:tcPr>
            <w:tcW w:w="7407" w:type="dxa"/>
          </w:tcPr>
          <w:p>
            <w:pPr>
              <w:pStyle w:val="20"/>
              <w:spacing w:before="52"/>
              <w:ind w:left="27"/>
              <w:rPr>
                <w:sz w:val="14"/>
              </w:rPr>
            </w:pPr>
            <w:r>
              <w:rPr>
                <w:w w:val="105"/>
                <w:sz w:val="14"/>
              </w:rPr>
              <w:t>【行政法规】《山东省城乡规划条例》（2012年8月通过，2018年9月修正）</w:t>
            </w:r>
          </w:p>
          <w:p>
            <w:pPr>
              <w:pStyle w:val="20"/>
              <w:spacing w:before="8" w:line="242" w:lineRule="auto"/>
              <w:ind w:left="27" w:right="24"/>
              <w:rPr>
                <w:sz w:val="14"/>
              </w:rPr>
            </w:pPr>
            <w:r>
              <w:rPr>
                <w:w w:val="105"/>
                <w:sz w:val="14"/>
              </w:rPr>
              <w:t>第三十六条 城乡规划主管部门在作出建设项目规划许可决定前，应当在规划展示场所和部门网站或者建设工程现场，对拟作出的规划许可有关内容进行公告。公告时间不得少于七日。</w:t>
            </w:r>
          </w:p>
        </w:tc>
        <w:tc>
          <w:tcPr>
            <w:tcW w:w="1616" w:type="dxa"/>
          </w:tcPr>
          <w:p>
            <w:pPr>
              <w:pStyle w:val="20"/>
              <w:spacing w:before="3"/>
              <w:rPr>
                <w:rFonts w:ascii="方正小标宋简体"/>
                <w:sz w:val="14"/>
              </w:rPr>
            </w:pPr>
          </w:p>
          <w:p>
            <w:pPr>
              <w:pStyle w:val="20"/>
              <w:ind w:left="28"/>
              <w:rPr>
                <w:sz w:val="14"/>
              </w:rPr>
            </w:pPr>
            <w:r>
              <w:rPr>
                <w:w w:val="105"/>
                <w:sz w:val="14"/>
              </w:rPr>
              <w:t>需办理规划许可的项目。</w:t>
            </w:r>
          </w:p>
        </w:tc>
        <w:tc>
          <w:tcPr>
            <w:tcW w:w="943" w:type="dxa"/>
            <w:vAlign w:val="center"/>
          </w:tcPr>
          <w:p>
            <w:pPr>
              <w:pStyle w:val="20"/>
              <w:spacing w:line="252" w:lineRule="auto"/>
              <w:jc w:val="center"/>
              <w:rPr>
                <w:w w:val="105"/>
                <w:sz w:val="14"/>
              </w:rPr>
            </w:pPr>
            <w:r>
              <w:rPr>
                <w:w w:val="105"/>
                <w:sz w:val="14"/>
              </w:rPr>
              <w:t xml:space="preserve">法定时限：7 </w:t>
            </w:r>
          </w:p>
          <w:p>
            <w:pPr>
              <w:pStyle w:val="20"/>
              <w:spacing w:line="252" w:lineRule="auto"/>
              <w:jc w:val="center"/>
              <w:rPr>
                <w:sz w:val="14"/>
              </w:rPr>
            </w:pPr>
            <w:r>
              <w:rPr>
                <w:w w:val="105"/>
                <w:sz w:val="14"/>
              </w:rPr>
              <w:t>承诺时限：</w:t>
            </w:r>
            <w:r>
              <w:rPr>
                <w:w w:val="104"/>
                <w:sz w:val="14"/>
              </w:rPr>
              <w:t>7</w:t>
            </w:r>
          </w:p>
        </w:tc>
        <w:tc>
          <w:tcPr>
            <w:tcW w:w="935" w:type="dxa"/>
          </w:tcPr>
          <w:p>
            <w:pPr>
              <w:pStyle w:val="20"/>
              <w:spacing w:line="252" w:lineRule="auto"/>
              <w:rPr>
                <w:sz w:val="14"/>
              </w:rPr>
            </w:pPr>
            <w:r>
              <w:rPr>
                <w:rFonts w:hint="eastAsia"/>
                <w:sz w:val="14"/>
              </w:rPr>
              <w:t>区自然资源局</w:t>
            </w:r>
          </w:p>
        </w:tc>
      </w:tr>
    </w:tbl>
    <w:p>
      <w:pPr>
        <w:spacing w:line="252" w:lineRule="auto"/>
        <w:rPr>
          <w:sz w:val="14"/>
        </w:rPr>
      </w:pPr>
    </w:p>
    <w:p>
      <w:pPr>
        <w:spacing w:line="252" w:lineRule="auto"/>
        <w:rPr>
          <w:sz w:val="14"/>
        </w:rPr>
      </w:pPr>
      <w:r>
        <w:rPr>
          <w:sz w:val="14"/>
        </w:rPr>
        <w:br w:type="page"/>
      </w: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spacing w:before="11"/>
              <w:rPr>
                <w:rFonts w:ascii="方正小标宋简体"/>
                <w:sz w:val="20"/>
              </w:rPr>
            </w:pPr>
          </w:p>
          <w:p>
            <w:pPr>
              <w:pStyle w:val="20"/>
              <w:ind w:left="31"/>
              <w:rPr>
                <w:rFonts w:ascii="黑体" w:eastAsia="黑体"/>
                <w:sz w:val="14"/>
              </w:rPr>
            </w:pPr>
            <w:r>
              <w:rPr>
                <w:rFonts w:hint="eastAsia" w:ascii="黑体" w:eastAsia="黑体"/>
                <w:w w:val="105"/>
                <w:sz w:val="14"/>
              </w:rPr>
              <w:t>序号</w:t>
            </w:r>
          </w:p>
        </w:tc>
        <w:tc>
          <w:tcPr>
            <w:tcW w:w="830" w:type="dxa"/>
          </w:tcPr>
          <w:p>
            <w:pPr>
              <w:pStyle w:val="20"/>
              <w:spacing w:before="11"/>
              <w:rPr>
                <w:rFonts w:ascii="方正小标宋简体"/>
                <w:sz w:val="20"/>
              </w:rPr>
            </w:pPr>
          </w:p>
          <w:p>
            <w:pPr>
              <w:pStyle w:val="20"/>
              <w:ind w:left="117"/>
              <w:rPr>
                <w:rFonts w:ascii="黑体" w:eastAsia="黑体"/>
                <w:sz w:val="14"/>
              </w:rPr>
            </w:pPr>
            <w:r>
              <w:rPr>
                <w:rFonts w:hint="eastAsia" w:ascii="黑体" w:eastAsia="黑体"/>
                <w:w w:val="105"/>
                <w:sz w:val="14"/>
              </w:rPr>
              <w:t>事项名称</w:t>
            </w:r>
          </w:p>
        </w:tc>
        <w:tc>
          <w:tcPr>
            <w:tcW w:w="1166" w:type="dxa"/>
            <w:vAlign w:val="center"/>
          </w:tcPr>
          <w:p>
            <w:pPr>
              <w:pStyle w:val="20"/>
              <w:spacing w:before="10"/>
              <w:jc w:val="both"/>
              <w:rPr>
                <w:rFonts w:ascii="方正小标宋简体"/>
                <w:sz w:val="9"/>
              </w:rPr>
            </w:pPr>
          </w:p>
          <w:p>
            <w:pPr>
              <w:pStyle w:val="20"/>
              <w:spacing w:line="249" w:lineRule="auto"/>
              <w:ind w:left="60" w:right="42" w:hanging="4"/>
              <w:jc w:val="both"/>
              <w:rPr>
                <w:rFonts w:ascii="黑体" w:eastAsia="黑体"/>
                <w:sz w:val="14"/>
              </w:rPr>
            </w:pPr>
            <w:r>
              <w:rPr>
                <w:rFonts w:hint="eastAsia" w:ascii="黑体" w:eastAsia="黑体"/>
                <w:w w:val="105"/>
                <w:sz w:val="14"/>
              </w:rPr>
              <w:t>对应政务服务事项（承诺审批时限）</w:t>
            </w:r>
          </w:p>
        </w:tc>
        <w:tc>
          <w:tcPr>
            <w:tcW w:w="1262" w:type="dxa"/>
          </w:tcPr>
          <w:p>
            <w:pPr>
              <w:pStyle w:val="20"/>
              <w:spacing w:before="11"/>
              <w:rPr>
                <w:rFonts w:ascii="方正小标宋简体"/>
                <w:sz w:val="20"/>
              </w:rPr>
            </w:pPr>
          </w:p>
          <w:p>
            <w:pPr>
              <w:pStyle w:val="20"/>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spacing w:before="11"/>
              <w:rPr>
                <w:rFonts w:ascii="方正小标宋简体"/>
                <w:sz w:val="20"/>
              </w:rPr>
            </w:pPr>
          </w:p>
          <w:p>
            <w:pPr>
              <w:pStyle w:val="20"/>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5"/>
              <w:rPr>
                <w:rFonts w:ascii="方正小标宋简体"/>
                <w:sz w:val="15"/>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10"/>
              <w:rPr>
                <w:rFonts w:ascii="方正小标宋简体"/>
                <w:sz w:val="9"/>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8" w:line="252" w:lineRule="auto"/>
              <w:ind w:left="44" w:right="15"/>
              <w:jc w:val="center"/>
              <w:rPr>
                <w:rFonts w:ascii="黑体" w:eastAsia="黑体"/>
                <w:sz w:val="14"/>
              </w:rPr>
            </w:pPr>
            <w:r>
              <w:rPr>
                <w:rFonts w:hint="eastAsia" w:ascii="黑体" w:eastAsia="黑体"/>
                <w:w w:val="105"/>
                <w:sz w:val="14"/>
              </w:rPr>
              <w:t>办理时限（工作日）</w:t>
            </w:r>
          </w:p>
        </w:tc>
        <w:tc>
          <w:tcPr>
            <w:tcW w:w="911" w:type="dxa"/>
          </w:tcPr>
          <w:p>
            <w:pPr>
              <w:pStyle w:val="20"/>
              <w:spacing w:before="5"/>
              <w:rPr>
                <w:rFonts w:ascii="方正小标宋简体"/>
                <w:sz w:val="15"/>
              </w:rPr>
            </w:pPr>
          </w:p>
          <w:p>
            <w:pPr>
              <w:pStyle w:val="20"/>
              <w:spacing w:line="242" w:lineRule="auto"/>
              <w:ind w:left="391" w:right="61" w:hanging="303"/>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45" w:hRule="atLeast"/>
          <w:jc w:val="center"/>
        </w:trPr>
        <w:tc>
          <w:tcPr>
            <w:tcW w:w="350"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0"/>
              </w:rPr>
            </w:pPr>
          </w:p>
          <w:p>
            <w:pPr>
              <w:pStyle w:val="20"/>
              <w:ind w:left="29"/>
              <w:jc w:val="center"/>
              <w:rPr>
                <w:rFonts w:hint="eastAsia" w:eastAsia="宋体"/>
                <w:sz w:val="14"/>
                <w:lang w:eastAsia="zh-CN"/>
              </w:rPr>
            </w:pPr>
            <w:r>
              <w:rPr>
                <w:rFonts w:hint="eastAsia"/>
                <w:w w:val="104"/>
                <w:sz w:val="14"/>
                <w:lang w:val="en-US" w:eastAsia="zh-CN"/>
              </w:rPr>
              <w:t>5</w:t>
            </w:r>
          </w:p>
        </w:tc>
        <w:tc>
          <w:tcPr>
            <w:tcW w:w="830"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5"/>
              <w:rPr>
                <w:rFonts w:ascii="方正小标宋简体"/>
                <w:sz w:val="12"/>
              </w:rPr>
            </w:pPr>
          </w:p>
          <w:p>
            <w:pPr>
              <w:pStyle w:val="20"/>
              <w:spacing w:before="1" w:line="247" w:lineRule="auto"/>
              <w:ind w:left="40" w:right="28"/>
              <w:jc w:val="center"/>
              <w:rPr>
                <w:sz w:val="14"/>
              </w:rPr>
            </w:pPr>
            <w:r>
              <w:rPr>
                <w:w w:val="105"/>
                <w:sz w:val="14"/>
              </w:rPr>
              <w:t>建设工程规划类许可证核发</w:t>
            </w:r>
          </w:p>
        </w:tc>
        <w:tc>
          <w:tcPr>
            <w:tcW w:w="1166" w:type="dxa"/>
            <w:vMerge w:val="restart"/>
            <w:vAlign w:val="center"/>
          </w:tcPr>
          <w:p>
            <w:pPr>
              <w:pStyle w:val="20"/>
              <w:spacing w:line="249" w:lineRule="auto"/>
              <w:jc w:val="both"/>
              <w:rPr>
                <w:w w:val="105"/>
                <w:sz w:val="14"/>
              </w:rPr>
            </w:pPr>
            <w:r>
              <w:rPr>
                <w:w w:val="105"/>
                <w:sz w:val="14"/>
              </w:rPr>
              <w:t>1</w:t>
            </w:r>
            <w:r>
              <w:rPr>
                <w:spacing w:val="-1"/>
                <w:w w:val="105"/>
                <w:sz w:val="14"/>
              </w:rPr>
              <w:t>.建设工程、临</w:t>
            </w:r>
            <w:r>
              <w:rPr>
                <w:w w:val="105"/>
                <w:sz w:val="14"/>
              </w:rPr>
              <w:t>时建设工程规划许可</w:t>
            </w:r>
            <w:r>
              <w:rPr>
                <w:spacing w:val="2"/>
                <w:w w:val="105"/>
                <w:sz w:val="14"/>
              </w:rPr>
              <w:t>（10</w:t>
            </w:r>
            <w:r>
              <w:rPr>
                <w:spacing w:val="7"/>
                <w:w w:val="105"/>
                <w:sz w:val="14"/>
              </w:rPr>
              <w:t>日</w:t>
            </w:r>
            <w:r>
              <w:rPr>
                <w:w w:val="105"/>
                <w:sz w:val="14"/>
              </w:rPr>
              <w:t>）</w:t>
            </w:r>
          </w:p>
          <w:p>
            <w:pPr>
              <w:pStyle w:val="20"/>
              <w:spacing w:line="249" w:lineRule="auto"/>
              <w:jc w:val="both"/>
              <w:rPr>
                <w:w w:val="105"/>
                <w:sz w:val="14"/>
              </w:rPr>
            </w:pPr>
            <w:r>
              <w:rPr>
                <w:w w:val="105"/>
                <w:sz w:val="14"/>
              </w:rPr>
              <w:t>2.历史建筑实施原址保护审批</w:t>
            </w:r>
            <w:r>
              <w:rPr>
                <w:spacing w:val="2"/>
                <w:w w:val="105"/>
                <w:sz w:val="14"/>
              </w:rPr>
              <w:t>（10</w:t>
            </w:r>
            <w:r>
              <w:rPr>
                <w:w w:val="105"/>
                <w:sz w:val="14"/>
              </w:rPr>
              <w:t>日）</w:t>
            </w:r>
          </w:p>
          <w:p>
            <w:pPr>
              <w:pStyle w:val="20"/>
              <w:spacing w:line="249" w:lineRule="auto"/>
              <w:jc w:val="both"/>
              <w:rPr>
                <w:spacing w:val="-14"/>
                <w:w w:val="105"/>
                <w:sz w:val="14"/>
              </w:rPr>
            </w:pPr>
            <w:r>
              <w:rPr>
                <w:w w:val="105"/>
                <w:sz w:val="14"/>
              </w:rPr>
              <w:t>3</w:t>
            </w:r>
            <w:r>
              <w:rPr>
                <w:spacing w:val="-2"/>
                <w:w w:val="105"/>
                <w:sz w:val="14"/>
              </w:rPr>
              <w:t>.历史文化街区</w:t>
            </w:r>
            <w:r>
              <w:rPr>
                <w:w w:val="105"/>
                <w:sz w:val="14"/>
              </w:rPr>
              <w:t>、名镇、名村核</w:t>
            </w:r>
            <w:r>
              <w:rPr>
                <w:spacing w:val="-1"/>
                <w:w w:val="105"/>
                <w:sz w:val="14"/>
              </w:rPr>
              <w:t>心保护范围内，</w:t>
            </w:r>
            <w:r>
              <w:rPr>
                <w:w w:val="105"/>
                <w:sz w:val="14"/>
              </w:rPr>
              <w:t>拆除历史建筑以</w:t>
            </w:r>
            <w:r>
              <w:rPr>
                <w:spacing w:val="-2"/>
                <w:w w:val="105"/>
                <w:sz w:val="14"/>
              </w:rPr>
              <w:t>外的建筑物、构</w:t>
            </w:r>
            <w:r>
              <w:rPr>
                <w:w w:val="105"/>
                <w:sz w:val="14"/>
              </w:rPr>
              <w:t>筑物或者其他设</w:t>
            </w:r>
            <w:r>
              <w:rPr>
                <w:spacing w:val="1"/>
                <w:w w:val="105"/>
                <w:sz w:val="14"/>
              </w:rPr>
              <w:t>施审批</w:t>
            </w:r>
            <w:r>
              <w:rPr>
                <w:spacing w:val="2"/>
                <w:w w:val="105"/>
                <w:sz w:val="14"/>
              </w:rPr>
              <w:t>（15</w:t>
            </w:r>
            <w:r>
              <w:rPr>
                <w:spacing w:val="6"/>
                <w:w w:val="105"/>
                <w:sz w:val="14"/>
              </w:rPr>
              <w:t>日</w:t>
            </w:r>
            <w:r>
              <w:rPr>
                <w:spacing w:val="-14"/>
                <w:w w:val="105"/>
                <w:sz w:val="14"/>
              </w:rPr>
              <w:t>）</w:t>
            </w:r>
          </w:p>
          <w:p>
            <w:pPr>
              <w:pStyle w:val="20"/>
              <w:spacing w:line="249" w:lineRule="auto"/>
              <w:jc w:val="both"/>
              <w:rPr>
                <w:w w:val="105"/>
                <w:sz w:val="14"/>
              </w:rPr>
            </w:pPr>
            <w:r>
              <w:rPr>
                <w:w w:val="105"/>
                <w:sz w:val="14"/>
              </w:rPr>
              <w:t>4.历史建筑外部修缮装饰、添加设施以及改变历史建筑的结构或者使用性质审批</w:t>
            </w:r>
            <w:r>
              <w:rPr>
                <w:spacing w:val="2"/>
                <w:w w:val="105"/>
                <w:sz w:val="14"/>
              </w:rPr>
              <w:t>（15</w:t>
            </w:r>
            <w:r>
              <w:rPr>
                <w:w w:val="105"/>
                <w:sz w:val="14"/>
              </w:rPr>
              <w:t>日）</w:t>
            </w:r>
          </w:p>
          <w:p>
            <w:pPr>
              <w:pStyle w:val="20"/>
              <w:spacing w:line="252" w:lineRule="auto"/>
              <w:jc w:val="both"/>
              <w:rPr>
                <w:w w:val="105"/>
                <w:sz w:val="14"/>
              </w:rPr>
            </w:pPr>
            <w:r>
              <w:rPr>
                <w:w w:val="105"/>
                <w:sz w:val="14"/>
              </w:rPr>
              <w:t>5</w:t>
            </w:r>
            <w:r>
              <w:rPr>
                <w:spacing w:val="-2"/>
                <w:w w:val="105"/>
                <w:sz w:val="14"/>
              </w:rPr>
              <w:t>.乡村建设规划</w:t>
            </w:r>
            <w:r>
              <w:rPr>
                <w:spacing w:val="3"/>
                <w:w w:val="105"/>
                <w:sz w:val="14"/>
              </w:rPr>
              <w:t>许可</w:t>
            </w:r>
            <w:r>
              <w:rPr>
                <w:w w:val="105"/>
                <w:sz w:val="14"/>
              </w:rPr>
              <w:t>（8</w:t>
            </w:r>
            <w:r>
              <w:rPr>
                <w:spacing w:val="6"/>
                <w:w w:val="105"/>
                <w:sz w:val="14"/>
              </w:rPr>
              <w:t>日</w:t>
            </w:r>
            <w:r>
              <w:rPr>
                <w:w w:val="105"/>
                <w:sz w:val="14"/>
              </w:rPr>
              <w:t>）</w:t>
            </w:r>
          </w:p>
          <w:p>
            <w:pPr>
              <w:pStyle w:val="20"/>
              <w:spacing w:line="249" w:lineRule="auto"/>
              <w:jc w:val="both"/>
              <w:rPr>
                <w:sz w:val="14"/>
              </w:rPr>
            </w:pPr>
            <w:r>
              <w:rPr>
                <w:w w:val="105"/>
                <w:sz w:val="14"/>
              </w:rPr>
              <w:t>6</w:t>
            </w:r>
            <w:r>
              <w:rPr>
                <w:spacing w:val="-2"/>
                <w:w w:val="105"/>
                <w:sz w:val="14"/>
              </w:rPr>
              <w:t>.应建防空地下</w:t>
            </w:r>
            <w:r>
              <w:rPr>
                <w:spacing w:val="-3"/>
                <w:w w:val="105"/>
                <w:sz w:val="14"/>
              </w:rPr>
              <w:t>室的民用建筑项</w:t>
            </w:r>
            <w:r>
              <w:rPr>
                <w:spacing w:val="1"/>
                <w:w w:val="105"/>
                <w:sz w:val="14"/>
              </w:rPr>
              <w:t>目报建审批</w:t>
            </w:r>
            <w:r>
              <w:rPr>
                <w:w w:val="105"/>
                <w:sz w:val="14"/>
              </w:rPr>
              <w:t>（3</w:t>
            </w:r>
            <w:r>
              <w:rPr>
                <w:spacing w:val="6"/>
                <w:w w:val="105"/>
                <w:sz w:val="14"/>
              </w:rPr>
              <w:t>日</w:t>
            </w:r>
            <w:r>
              <w:rPr>
                <w:w w:val="105"/>
                <w:sz w:val="14"/>
              </w:rPr>
              <w:t>）</w:t>
            </w:r>
          </w:p>
        </w:tc>
        <w:tc>
          <w:tcPr>
            <w:tcW w:w="1262" w:type="dxa"/>
          </w:tcPr>
          <w:p>
            <w:pPr>
              <w:pStyle w:val="20"/>
              <w:rPr>
                <w:rFonts w:ascii="方正小标宋简体"/>
                <w:sz w:val="14"/>
              </w:rPr>
            </w:pPr>
          </w:p>
          <w:p>
            <w:pPr>
              <w:pStyle w:val="20"/>
              <w:ind w:left="32" w:right="15"/>
              <w:jc w:val="center"/>
              <w:rPr>
                <w:sz w:val="14"/>
              </w:rPr>
            </w:pPr>
            <w:r>
              <w:rPr>
                <w:w w:val="105"/>
                <w:sz w:val="14"/>
              </w:rPr>
              <w:t>部门联合审查</w:t>
            </w:r>
          </w:p>
        </w:tc>
        <w:tc>
          <w:tcPr>
            <w:tcW w:w="6532" w:type="dxa"/>
          </w:tcPr>
          <w:p>
            <w:pPr>
              <w:pStyle w:val="20"/>
              <w:rPr>
                <w:sz w:val="14"/>
              </w:rPr>
            </w:pPr>
            <w:r>
              <w:rPr>
                <w:w w:val="105"/>
                <w:sz w:val="14"/>
              </w:rPr>
              <w:t>【政策文件】《山东省优化提升工程建设项目审批制度改革实施方案 》（鲁政发〔2019〕9号）</w:t>
            </w:r>
          </w:p>
          <w:p>
            <w:pPr>
              <w:pStyle w:val="20"/>
              <w:spacing w:before="8" w:line="252" w:lineRule="auto"/>
              <w:ind w:left="27" w:right="45"/>
              <w:rPr>
                <w:sz w:val="14"/>
              </w:rPr>
            </w:pPr>
            <w:r>
              <w:rPr>
                <w:w w:val="105"/>
                <w:sz w:val="14"/>
              </w:rPr>
              <w:t>（五）实施并联审批。设计方案审查时，规划主管部门应牵头相关部门和水电气暖等专营单位参与联合审查，并分别提出意见。</w:t>
            </w:r>
          </w:p>
        </w:tc>
        <w:tc>
          <w:tcPr>
            <w:tcW w:w="1866" w:type="dxa"/>
          </w:tcPr>
          <w:p>
            <w:pPr>
              <w:pStyle w:val="20"/>
              <w:rPr>
                <w:rFonts w:ascii="方正小标宋简体"/>
                <w:sz w:val="14"/>
              </w:rPr>
            </w:pPr>
          </w:p>
          <w:p>
            <w:pPr>
              <w:pStyle w:val="20"/>
              <w:rPr>
                <w:sz w:val="14"/>
              </w:rPr>
            </w:pPr>
            <w:r>
              <w:rPr>
                <w:w w:val="105"/>
                <w:sz w:val="14"/>
              </w:rPr>
              <w:t>需进行设计方案审查的项目</w:t>
            </w:r>
          </w:p>
          <w:p>
            <w:pPr>
              <w:pStyle w:val="20"/>
              <w:spacing w:before="8"/>
              <w:ind w:left="28"/>
              <w:rPr>
                <w:sz w:val="14"/>
              </w:rPr>
            </w:pPr>
            <w:r>
              <w:rPr>
                <w:w w:val="104"/>
                <w:sz w:val="14"/>
              </w:rPr>
              <w:t>。</w:t>
            </w:r>
          </w:p>
        </w:tc>
        <w:tc>
          <w:tcPr>
            <w:tcW w:w="1127" w:type="dxa"/>
            <w:vAlign w:val="center"/>
          </w:tcPr>
          <w:p>
            <w:pPr>
              <w:pStyle w:val="20"/>
              <w:jc w:val="center"/>
              <w:rPr>
                <w:sz w:val="14"/>
              </w:rPr>
            </w:pPr>
            <w:r>
              <w:rPr>
                <w:w w:val="105"/>
                <w:sz w:val="14"/>
              </w:rPr>
              <w:t>法定时限：10</w:t>
            </w:r>
          </w:p>
          <w:p>
            <w:pPr>
              <w:pStyle w:val="20"/>
              <w:spacing w:line="252" w:lineRule="auto"/>
              <w:jc w:val="center"/>
              <w:rPr>
                <w:sz w:val="14"/>
              </w:rPr>
            </w:pPr>
            <w:r>
              <w:rPr>
                <w:w w:val="105"/>
                <w:sz w:val="14"/>
              </w:rPr>
              <w:t>承诺时限：7（计入审批时间）</w:t>
            </w:r>
          </w:p>
        </w:tc>
        <w:tc>
          <w:tcPr>
            <w:tcW w:w="911"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22" w:line="249" w:lineRule="auto"/>
              <w:ind w:left="88" w:right="57"/>
              <w:jc w:val="both"/>
              <w:rPr>
                <w:sz w:val="14"/>
              </w:rPr>
            </w:pPr>
            <w:r>
              <w:rPr>
                <w:rFonts w:hint="eastAsia"/>
                <w:sz w:val="14"/>
              </w:rPr>
              <w:t>区</w:t>
            </w:r>
            <w:r>
              <w:rPr>
                <w:sz w:val="14"/>
              </w:rPr>
              <w:t>自然资源局</w:t>
            </w:r>
            <w:r>
              <w:rPr>
                <w:spacing w:val="-3"/>
                <w:w w:val="105"/>
                <w:sz w:val="14"/>
              </w:rPr>
              <w:t>、</w:t>
            </w:r>
            <w:r>
              <w:rPr>
                <w:rFonts w:hint="eastAsia"/>
                <w:spacing w:val="-3"/>
                <w:w w:val="105"/>
                <w:sz w:val="14"/>
              </w:rPr>
              <w:t>区</w:t>
            </w:r>
            <w:r>
              <w:rPr>
                <w:spacing w:val="-3"/>
                <w:w w:val="105"/>
                <w:sz w:val="14"/>
              </w:rPr>
              <w:t>行政审批局、</w:t>
            </w:r>
            <w:r>
              <w:rPr>
                <w:rFonts w:hint="eastAsia"/>
                <w:spacing w:val="-3"/>
                <w:w w:val="105"/>
                <w:sz w:val="14"/>
              </w:rPr>
              <w:t>区</w:t>
            </w:r>
            <w:r>
              <w:rPr>
                <w:spacing w:val="-3"/>
                <w:w w:val="105"/>
                <w:sz w:val="14"/>
              </w:rPr>
              <w:t>文化和旅游局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0" w:hRule="atLeast"/>
          <w:jc w:val="center"/>
        </w:trPr>
        <w:tc>
          <w:tcPr>
            <w:tcW w:w="350" w:type="dxa"/>
            <w:vMerge w:val="continue"/>
            <w:tcBorders>
              <w:top w:val="nil"/>
            </w:tcBorders>
          </w:tcPr>
          <w:p>
            <w:pPr>
              <w:rPr>
                <w:sz w:val="2"/>
                <w:szCs w:val="2"/>
                <w:lang w:eastAsia="zh-CN"/>
              </w:rPr>
            </w:pPr>
          </w:p>
        </w:tc>
        <w:tc>
          <w:tcPr>
            <w:tcW w:w="830" w:type="dxa"/>
            <w:vMerge w:val="continue"/>
            <w:tcBorders>
              <w:top w:val="nil"/>
            </w:tcBorders>
          </w:tcPr>
          <w:p>
            <w:pPr>
              <w:rPr>
                <w:sz w:val="2"/>
                <w:szCs w:val="2"/>
                <w:lang w:eastAsia="zh-CN"/>
              </w:rPr>
            </w:pPr>
          </w:p>
        </w:tc>
        <w:tc>
          <w:tcPr>
            <w:tcW w:w="1166" w:type="dxa"/>
            <w:vMerge w:val="continue"/>
            <w:tcBorders>
              <w:top w:val="nil"/>
            </w:tcBorders>
            <w:vAlign w:val="center"/>
          </w:tcPr>
          <w:p>
            <w:pPr>
              <w:jc w:val="both"/>
              <w:rPr>
                <w:sz w:val="2"/>
                <w:szCs w:val="2"/>
                <w:lang w:eastAsia="zh-CN"/>
              </w:rPr>
            </w:pPr>
          </w:p>
        </w:tc>
        <w:tc>
          <w:tcPr>
            <w:tcW w:w="1262" w:type="dxa"/>
          </w:tcPr>
          <w:p>
            <w:pPr>
              <w:pStyle w:val="20"/>
              <w:spacing w:before="16"/>
              <w:rPr>
                <w:rFonts w:ascii="方正小标宋简体"/>
                <w:sz w:val="20"/>
              </w:rPr>
            </w:pPr>
          </w:p>
          <w:p>
            <w:pPr>
              <w:pStyle w:val="20"/>
              <w:spacing w:line="252" w:lineRule="auto"/>
              <w:ind w:left="560" w:right="21" w:hanging="528"/>
              <w:rPr>
                <w:sz w:val="14"/>
              </w:rPr>
            </w:pPr>
            <w:r>
              <w:rPr>
                <w:w w:val="105"/>
                <w:sz w:val="14"/>
              </w:rPr>
              <w:t>城乡规划委员会审议</w:t>
            </w:r>
          </w:p>
        </w:tc>
        <w:tc>
          <w:tcPr>
            <w:tcW w:w="6532" w:type="dxa"/>
          </w:tcPr>
          <w:p>
            <w:pPr>
              <w:pStyle w:val="20"/>
              <w:spacing w:before="9"/>
              <w:rPr>
                <w:rFonts w:ascii="方正小标宋简体"/>
                <w:sz w:val="15"/>
              </w:rPr>
            </w:pPr>
          </w:p>
          <w:p>
            <w:pPr>
              <w:pStyle w:val="20"/>
              <w:ind w:left="27"/>
              <w:rPr>
                <w:sz w:val="14"/>
              </w:rPr>
            </w:pPr>
            <w:r>
              <w:rPr>
                <w:w w:val="105"/>
                <w:sz w:val="14"/>
              </w:rPr>
              <w:t>【行政法规】《山东省城乡规划条例》（2012年8月通过，2018年9月修正）</w:t>
            </w:r>
          </w:p>
          <w:p>
            <w:pPr>
              <w:pStyle w:val="20"/>
              <w:spacing w:before="4" w:line="252" w:lineRule="auto"/>
              <w:ind w:left="27"/>
              <w:rPr>
                <w:sz w:val="14"/>
              </w:rPr>
            </w:pPr>
            <w:r>
              <w:rPr>
                <w:w w:val="105"/>
                <w:sz w:val="14"/>
              </w:rPr>
              <w:t>第六条 省、城市、县人民政府应当组建由相关部门、专家和公众代表组成的城乡规划委员会，对涉及城乡规划的重大事项进行审议，其审议意见作为城乡规划的决策依据。</w:t>
            </w:r>
          </w:p>
        </w:tc>
        <w:tc>
          <w:tcPr>
            <w:tcW w:w="1866" w:type="dxa"/>
          </w:tcPr>
          <w:p>
            <w:pPr>
              <w:pStyle w:val="20"/>
              <w:rPr>
                <w:rFonts w:ascii="方正小标宋简体"/>
                <w:sz w:val="14"/>
              </w:rPr>
            </w:pPr>
          </w:p>
          <w:p>
            <w:pPr>
              <w:pStyle w:val="20"/>
              <w:spacing w:before="6"/>
              <w:rPr>
                <w:rFonts w:ascii="方正小标宋简体"/>
                <w:sz w:val="12"/>
              </w:rPr>
            </w:pPr>
          </w:p>
          <w:p>
            <w:pPr>
              <w:pStyle w:val="20"/>
              <w:ind w:left="28"/>
              <w:rPr>
                <w:sz w:val="14"/>
              </w:rPr>
            </w:pPr>
            <w:r>
              <w:rPr>
                <w:w w:val="105"/>
                <w:sz w:val="14"/>
              </w:rPr>
              <w:t>涉及城乡规划的重大事项。</w:t>
            </w:r>
          </w:p>
        </w:tc>
        <w:tc>
          <w:tcPr>
            <w:tcW w:w="1127" w:type="dxa"/>
            <w:vAlign w:val="center"/>
          </w:tcPr>
          <w:p>
            <w:pPr>
              <w:pStyle w:val="20"/>
              <w:spacing w:line="252" w:lineRule="auto"/>
              <w:jc w:val="center"/>
              <w:rPr>
                <w:sz w:val="14"/>
              </w:rPr>
            </w:pPr>
            <w:r>
              <w:rPr>
                <w:w w:val="105"/>
                <w:sz w:val="14"/>
              </w:rPr>
              <w:t>承诺时限：10</w:t>
            </w:r>
          </w:p>
        </w:tc>
        <w:tc>
          <w:tcPr>
            <w:tcW w:w="91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48"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166" w:type="dxa"/>
            <w:vMerge w:val="continue"/>
            <w:tcBorders>
              <w:top w:val="nil"/>
            </w:tcBorders>
            <w:vAlign w:val="center"/>
          </w:tcPr>
          <w:p>
            <w:pPr>
              <w:jc w:val="both"/>
              <w:rPr>
                <w:sz w:val="2"/>
                <w:szCs w:val="2"/>
              </w:rPr>
            </w:pPr>
          </w:p>
        </w:tc>
        <w:tc>
          <w:tcPr>
            <w:tcW w:w="1262" w:type="dxa"/>
          </w:tcPr>
          <w:p>
            <w:pPr>
              <w:pStyle w:val="20"/>
              <w:spacing w:before="10"/>
              <w:rPr>
                <w:rFonts w:ascii="方正小标宋简体"/>
                <w:sz w:val="17"/>
              </w:rPr>
            </w:pPr>
          </w:p>
          <w:p>
            <w:pPr>
              <w:pStyle w:val="20"/>
              <w:ind w:left="32" w:right="16"/>
              <w:jc w:val="center"/>
              <w:rPr>
                <w:sz w:val="14"/>
              </w:rPr>
            </w:pPr>
            <w:r>
              <w:rPr>
                <w:w w:val="105"/>
                <w:sz w:val="14"/>
              </w:rPr>
              <w:t>批前公告</w:t>
            </w:r>
          </w:p>
        </w:tc>
        <w:tc>
          <w:tcPr>
            <w:tcW w:w="6532" w:type="dxa"/>
          </w:tcPr>
          <w:p>
            <w:pPr>
              <w:pStyle w:val="20"/>
              <w:spacing w:before="110"/>
              <w:ind w:left="27"/>
              <w:rPr>
                <w:sz w:val="14"/>
              </w:rPr>
            </w:pPr>
            <w:r>
              <w:rPr>
                <w:w w:val="105"/>
                <w:sz w:val="14"/>
              </w:rPr>
              <w:t>【行政法规】《山东省城乡规划条例》（2012年8月通过，2018年9月修正）</w:t>
            </w:r>
          </w:p>
          <w:p>
            <w:pPr>
              <w:pStyle w:val="20"/>
              <w:spacing w:before="8" w:line="249" w:lineRule="auto"/>
              <w:ind w:left="27" w:right="24"/>
              <w:rPr>
                <w:sz w:val="14"/>
              </w:rPr>
            </w:pPr>
            <w:r>
              <w:rPr>
                <w:w w:val="105"/>
                <w:sz w:val="14"/>
              </w:rPr>
              <w:t>第三十六条 城乡规划主管部门在作出建设项目规划许可决定前，应当在规划展示场所和部门网站或者建设工程现场，对拟作出的规划许可有关内容进行公告。公告时间不得少于七日。</w:t>
            </w:r>
          </w:p>
        </w:tc>
        <w:tc>
          <w:tcPr>
            <w:tcW w:w="1866" w:type="dxa"/>
          </w:tcPr>
          <w:p>
            <w:pPr>
              <w:pStyle w:val="20"/>
              <w:spacing w:before="10"/>
              <w:rPr>
                <w:rFonts w:ascii="方正小标宋简体"/>
                <w:sz w:val="17"/>
              </w:rPr>
            </w:pPr>
          </w:p>
          <w:p>
            <w:pPr>
              <w:pStyle w:val="20"/>
              <w:ind w:left="28"/>
              <w:rPr>
                <w:sz w:val="14"/>
              </w:rPr>
            </w:pPr>
            <w:r>
              <w:rPr>
                <w:w w:val="105"/>
                <w:sz w:val="14"/>
              </w:rPr>
              <w:t>需办理规划许可的项目。</w:t>
            </w:r>
          </w:p>
        </w:tc>
        <w:tc>
          <w:tcPr>
            <w:tcW w:w="1127" w:type="dxa"/>
            <w:vAlign w:val="center"/>
          </w:tcPr>
          <w:p>
            <w:pPr>
              <w:pStyle w:val="20"/>
              <w:spacing w:line="252" w:lineRule="auto"/>
              <w:jc w:val="center"/>
              <w:rPr>
                <w:w w:val="105"/>
                <w:sz w:val="14"/>
              </w:rPr>
            </w:pPr>
            <w:r>
              <w:rPr>
                <w:w w:val="105"/>
                <w:sz w:val="14"/>
              </w:rPr>
              <w:t xml:space="preserve">法定时限：7 </w:t>
            </w:r>
          </w:p>
          <w:p>
            <w:pPr>
              <w:pStyle w:val="20"/>
              <w:spacing w:line="252" w:lineRule="auto"/>
              <w:jc w:val="center"/>
              <w:rPr>
                <w:sz w:val="14"/>
              </w:rPr>
            </w:pPr>
            <w:r>
              <w:rPr>
                <w:w w:val="105"/>
                <w:sz w:val="14"/>
              </w:rPr>
              <w:t>承诺时限：</w:t>
            </w:r>
            <w:r>
              <w:rPr>
                <w:w w:val="104"/>
                <w:sz w:val="14"/>
              </w:rPr>
              <w:t>7</w:t>
            </w:r>
          </w:p>
        </w:tc>
        <w:tc>
          <w:tcPr>
            <w:tcW w:w="911" w:type="dxa"/>
            <w:vMerge w:val="continue"/>
            <w:tcBorders>
              <w:top w:val="nil"/>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33" w:hRule="atLeast"/>
          <w:jc w:val="center"/>
        </w:trPr>
        <w:tc>
          <w:tcPr>
            <w:tcW w:w="350" w:type="dxa"/>
            <w:vMerge w:val="continue"/>
            <w:tcBorders>
              <w:top w:val="nil"/>
            </w:tcBorders>
          </w:tcPr>
          <w:p>
            <w:pPr>
              <w:rPr>
                <w:sz w:val="2"/>
                <w:szCs w:val="2"/>
                <w:lang w:eastAsia="zh-CN"/>
              </w:rPr>
            </w:pPr>
          </w:p>
        </w:tc>
        <w:tc>
          <w:tcPr>
            <w:tcW w:w="830" w:type="dxa"/>
            <w:vMerge w:val="continue"/>
            <w:tcBorders>
              <w:top w:val="nil"/>
            </w:tcBorders>
          </w:tcPr>
          <w:p>
            <w:pPr>
              <w:rPr>
                <w:sz w:val="2"/>
                <w:szCs w:val="2"/>
                <w:lang w:eastAsia="zh-CN"/>
              </w:rPr>
            </w:pPr>
          </w:p>
        </w:tc>
        <w:tc>
          <w:tcPr>
            <w:tcW w:w="1166" w:type="dxa"/>
            <w:vMerge w:val="continue"/>
            <w:tcBorders>
              <w:top w:val="nil"/>
            </w:tcBorders>
            <w:vAlign w:val="center"/>
          </w:tcPr>
          <w:p>
            <w:pPr>
              <w:jc w:val="both"/>
              <w:rPr>
                <w:sz w:val="2"/>
                <w:szCs w:val="2"/>
                <w:lang w:eastAsia="zh-CN"/>
              </w:rPr>
            </w:pPr>
          </w:p>
        </w:tc>
        <w:tc>
          <w:tcPr>
            <w:tcW w:w="1262" w:type="dxa"/>
          </w:tcPr>
          <w:p>
            <w:pPr>
              <w:pStyle w:val="20"/>
              <w:rPr>
                <w:rFonts w:ascii="方正小标宋简体"/>
                <w:sz w:val="17"/>
              </w:rPr>
            </w:pPr>
          </w:p>
          <w:p>
            <w:pPr>
              <w:pStyle w:val="20"/>
              <w:ind w:left="32" w:right="16"/>
              <w:jc w:val="center"/>
              <w:rPr>
                <w:sz w:val="14"/>
              </w:rPr>
            </w:pPr>
            <w:r>
              <w:rPr>
                <w:w w:val="105"/>
                <w:sz w:val="14"/>
              </w:rPr>
              <w:t>专家论证</w:t>
            </w:r>
          </w:p>
        </w:tc>
        <w:tc>
          <w:tcPr>
            <w:tcW w:w="6532" w:type="dxa"/>
            <w:vMerge w:val="restart"/>
          </w:tcPr>
          <w:p>
            <w:pPr>
              <w:pStyle w:val="20"/>
              <w:spacing w:before="6"/>
              <w:rPr>
                <w:rFonts w:ascii="方正小标宋简体"/>
                <w:sz w:val="20"/>
              </w:rPr>
            </w:pPr>
          </w:p>
          <w:p>
            <w:pPr>
              <w:pStyle w:val="20"/>
              <w:spacing w:before="1"/>
              <w:ind w:left="27"/>
              <w:jc w:val="both"/>
              <w:rPr>
                <w:sz w:val="14"/>
              </w:rPr>
            </w:pPr>
            <w:r>
              <w:rPr>
                <w:w w:val="105"/>
                <w:sz w:val="14"/>
              </w:rPr>
              <w:t>【行政法规】《历史文化名城名镇名村保护条例》（国务院令524号，2017年10月修改）</w:t>
            </w:r>
          </w:p>
          <w:p>
            <w:pPr>
              <w:pStyle w:val="20"/>
              <w:spacing w:before="8" w:line="249" w:lineRule="auto"/>
              <w:ind w:left="27" w:right="143"/>
              <w:jc w:val="both"/>
              <w:rPr>
                <w:sz w:val="14"/>
              </w:rPr>
            </w:pPr>
            <w:r>
              <w:rPr>
                <w:w w:val="105"/>
                <w:sz w:val="14"/>
              </w:rPr>
              <w:t>第二十九条 审批本条例第二十八条规定的建设活动，审批机关应当组织专家论证，并将审批事项予以公示，征求公众意见，告知利害关系人有要求举行听证的权利。公示时间不得少于20日。利害关系人要求听证的，应当在公示期间提出，审批机关应当在公示期满后及时举行听证。</w:t>
            </w:r>
          </w:p>
          <w:p>
            <w:pPr>
              <w:pStyle w:val="20"/>
              <w:spacing w:before="1"/>
              <w:ind w:left="27"/>
              <w:rPr>
                <w:sz w:val="14"/>
              </w:rPr>
            </w:pPr>
            <w:r>
              <w:rPr>
                <w:w w:val="105"/>
                <w:sz w:val="14"/>
              </w:rPr>
              <w:t>【政府规章】《山东省行政程序规定》（省政府令第238号，2012年1月1日起施行。）</w:t>
            </w:r>
          </w:p>
          <w:p>
            <w:pPr>
              <w:pStyle w:val="20"/>
              <w:spacing w:before="8" w:line="249" w:lineRule="auto"/>
              <w:ind w:left="27" w:right="71"/>
              <w:rPr>
                <w:sz w:val="14"/>
              </w:rPr>
            </w:pPr>
            <w:r>
              <w:rPr>
                <w:w w:val="105"/>
                <w:sz w:val="14"/>
              </w:rPr>
              <w:t>第七十七条 当事人、利害关系人申请听证符合条件的，行政机关应当自接到申请之日起 5日内受理，并自受理之日起20日内组织听证；不符合条件的，应当自接到申请之日起5日内书面告知，并说明理由。</w:t>
            </w:r>
          </w:p>
        </w:tc>
        <w:tc>
          <w:tcPr>
            <w:tcW w:w="1866" w:type="dxa"/>
            <w:vMerge w:val="restart"/>
          </w:tcPr>
          <w:p>
            <w:pPr>
              <w:pStyle w:val="20"/>
              <w:rPr>
                <w:rFonts w:ascii="方正小标宋简体"/>
                <w:sz w:val="14"/>
              </w:rPr>
            </w:pPr>
          </w:p>
          <w:p>
            <w:pPr>
              <w:pStyle w:val="20"/>
              <w:rPr>
                <w:rFonts w:ascii="方正小标宋简体"/>
                <w:sz w:val="14"/>
              </w:rPr>
            </w:pPr>
          </w:p>
          <w:p>
            <w:pPr>
              <w:pStyle w:val="20"/>
              <w:spacing w:before="2"/>
              <w:rPr>
                <w:rFonts w:ascii="方正小标宋简体"/>
                <w:sz w:val="9"/>
              </w:rPr>
            </w:pPr>
          </w:p>
          <w:p>
            <w:pPr>
              <w:pStyle w:val="20"/>
              <w:ind w:left="28"/>
              <w:rPr>
                <w:sz w:val="14"/>
              </w:rPr>
            </w:pPr>
            <w:r>
              <w:rPr>
                <w:w w:val="105"/>
                <w:sz w:val="14"/>
              </w:rPr>
              <w:t>涉及“历史文化街区、名镇</w:t>
            </w:r>
          </w:p>
          <w:p>
            <w:pPr>
              <w:pStyle w:val="20"/>
              <w:spacing w:before="8" w:line="247" w:lineRule="auto"/>
              <w:ind w:left="28" w:right="12"/>
              <w:jc w:val="both"/>
              <w:rPr>
                <w:sz w:val="14"/>
              </w:rPr>
            </w:pPr>
            <w:r>
              <w:rPr>
                <w:w w:val="105"/>
                <w:sz w:val="14"/>
              </w:rPr>
              <w:t>、名村核心保护范围内，拆除历史建筑以外的建筑物、构筑物或者其他设施审批” 的项目。</w:t>
            </w:r>
          </w:p>
        </w:tc>
        <w:tc>
          <w:tcPr>
            <w:tcW w:w="1127" w:type="dxa"/>
            <w:vAlign w:val="center"/>
          </w:tcPr>
          <w:p>
            <w:pPr>
              <w:pStyle w:val="20"/>
              <w:spacing w:line="252" w:lineRule="auto"/>
              <w:jc w:val="center"/>
              <w:rPr>
                <w:w w:val="105"/>
                <w:sz w:val="14"/>
              </w:rPr>
            </w:pPr>
            <w:r>
              <w:rPr>
                <w:w w:val="105"/>
                <w:sz w:val="14"/>
              </w:rPr>
              <w:t xml:space="preserve">法定时限：5 </w:t>
            </w:r>
          </w:p>
          <w:p>
            <w:pPr>
              <w:pStyle w:val="20"/>
              <w:spacing w:line="252" w:lineRule="auto"/>
              <w:jc w:val="center"/>
              <w:rPr>
                <w:sz w:val="14"/>
              </w:rPr>
            </w:pPr>
            <w:r>
              <w:rPr>
                <w:w w:val="105"/>
                <w:sz w:val="14"/>
              </w:rPr>
              <w:t>承诺时限：</w:t>
            </w:r>
            <w:r>
              <w:rPr>
                <w:w w:val="104"/>
                <w:sz w:val="14"/>
              </w:rPr>
              <w:t>5</w:t>
            </w:r>
          </w:p>
        </w:tc>
        <w:tc>
          <w:tcPr>
            <w:tcW w:w="911" w:type="dxa"/>
            <w:vMerge w:val="continue"/>
            <w:tcBorders>
              <w:top w:val="nil"/>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1" w:hRule="atLeast"/>
          <w:jc w:val="center"/>
        </w:trPr>
        <w:tc>
          <w:tcPr>
            <w:tcW w:w="350" w:type="dxa"/>
            <w:vMerge w:val="continue"/>
            <w:tcBorders>
              <w:top w:val="nil"/>
            </w:tcBorders>
          </w:tcPr>
          <w:p>
            <w:pPr>
              <w:rPr>
                <w:sz w:val="2"/>
                <w:szCs w:val="2"/>
                <w:lang w:eastAsia="zh-CN"/>
              </w:rPr>
            </w:pPr>
          </w:p>
        </w:tc>
        <w:tc>
          <w:tcPr>
            <w:tcW w:w="830" w:type="dxa"/>
            <w:vMerge w:val="continue"/>
            <w:tcBorders>
              <w:top w:val="nil"/>
            </w:tcBorders>
          </w:tcPr>
          <w:p>
            <w:pPr>
              <w:rPr>
                <w:sz w:val="2"/>
                <w:szCs w:val="2"/>
                <w:lang w:eastAsia="zh-CN"/>
              </w:rPr>
            </w:pPr>
          </w:p>
        </w:tc>
        <w:tc>
          <w:tcPr>
            <w:tcW w:w="1166" w:type="dxa"/>
            <w:vMerge w:val="continue"/>
            <w:tcBorders>
              <w:top w:val="nil"/>
            </w:tcBorders>
            <w:vAlign w:val="center"/>
          </w:tcPr>
          <w:p>
            <w:pPr>
              <w:jc w:val="both"/>
              <w:rPr>
                <w:sz w:val="2"/>
                <w:szCs w:val="2"/>
                <w:lang w:eastAsia="zh-CN"/>
              </w:rPr>
            </w:pPr>
          </w:p>
        </w:tc>
        <w:tc>
          <w:tcPr>
            <w:tcW w:w="1262" w:type="dxa"/>
          </w:tcPr>
          <w:p>
            <w:pPr>
              <w:pStyle w:val="20"/>
              <w:spacing w:before="12"/>
              <w:rPr>
                <w:rFonts w:ascii="方正小标宋简体"/>
                <w:sz w:val="18"/>
              </w:rPr>
            </w:pPr>
          </w:p>
          <w:p>
            <w:pPr>
              <w:pStyle w:val="20"/>
              <w:ind w:left="32" w:right="7"/>
              <w:jc w:val="center"/>
              <w:rPr>
                <w:sz w:val="14"/>
              </w:rPr>
            </w:pPr>
            <w:r>
              <w:rPr>
                <w:w w:val="105"/>
                <w:sz w:val="14"/>
              </w:rPr>
              <w:t>公示</w:t>
            </w:r>
          </w:p>
        </w:tc>
        <w:tc>
          <w:tcPr>
            <w:tcW w:w="6532" w:type="dxa"/>
            <w:vMerge w:val="continue"/>
            <w:tcBorders>
              <w:top w:val="nil"/>
            </w:tcBorders>
          </w:tcPr>
          <w:p>
            <w:pPr>
              <w:rPr>
                <w:sz w:val="2"/>
                <w:szCs w:val="2"/>
              </w:rPr>
            </w:pPr>
          </w:p>
        </w:tc>
        <w:tc>
          <w:tcPr>
            <w:tcW w:w="1866" w:type="dxa"/>
            <w:vMerge w:val="continue"/>
            <w:tcBorders>
              <w:top w:val="nil"/>
            </w:tcBorders>
          </w:tcPr>
          <w:p>
            <w:pPr>
              <w:rPr>
                <w:sz w:val="2"/>
                <w:szCs w:val="2"/>
              </w:rPr>
            </w:pPr>
          </w:p>
        </w:tc>
        <w:tc>
          <w:tcPr>
            <w:tcW w:w="1127" w:type="dxa"/>
            <w:vAlign w:val="center"/>
          </w:tcPr>
          <w:p>
            <w:pPr>
              <w:pStyle w:val="20"/>
              <w:jc w:val="center"/>
              <w:rPr>
                <w:rFonts w:ascii="方正小标宋简体"/>
                <w:sz w:val="7"/>
              </w:rPr>
            </w:pPr>
          </w:p>
          <w:p>
            <w:pPr>
              <w:pStyle w:val="20"/>
              <w:spacing w:line="247" w:lineRule="auto"/>
              <w:jc w:val="center"/>
              <w:rPr>
                <w:w w:val="105"/>
                <w:sz w:val="14"/>
              </w:rPr>
            </w:pPr>
            <w:r>
              <w:rPr>
                <w:spacing w:val="2"/>
                <w:w w:val="105"/>
                <w:sz w:val="14"/>
              </w:rPr>
              <w:t>法定时限</w:t>
            </w:r>
            <w:r>
              <w:rPr>
                <w:w w:val="105"/>
                <w:sz w:val="14"/>
              </w:rPr>
              <w:t>：20</w:t>
            </w:r>
          </w:p>
          <w:p>
            <w:pPr>
              <w:pStyle w:val="20"/>
              <w:spacing w:line="247" w:lineRule="auto"/>
              <w:jc w:val="center"/>
              <w:rPr>
                <w:sz w:val="14"/>
              </w:rPr>
            </w:pPr>
            <w:r>
              <w:rPr>
                <w:spacing w:val="-1"/>
                <w:w w:val="105"/>
                <w:sz w:val="14"/>
              </w:rPr>
              <w:t>承诺时限：</w:t>
            </w:r>
            <w:r>
              <w:rPr>
                <w:w w:val="105"/>
                <w:sz w:val="14"/>
              </w:rPr>
              <w:t>20</w:t>
            </w:r>
          </w:p>
        </w:tc>
        <w:tc>
          <w:tcPr>
            <w:tcW w:w="911" w:type="dxa"/>
            <w:vMerge w:val="continue"/>
            <w:tcBorders>
              <w:top w:val="nil"/>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00" w:hRule="atLeast"/>
          <w:jc w:val="center"/>
        </w:trPr>
        <w:tc>
          <w:tcPr>
            <w:tcW w:w="350" w:type="dxa"/>
            <w:vMerge w:val="continue"/>
            <w:tcBorders>
              <w:top w:val="nil"/>
            </w:tcBorders>
          </w:tcPr>
          <w:p>
            <w:pPr>
              <w:rPr>
                <w:sz w:val="2"/>
                <w:szCs w:val="2"/>
                <w:lang w:eastAsia="zh-CN"/>
              </w:rPr>
            </w:pPr>
          </w:p>
        </w:tc>
        <w:tc>
          <w:tcPr>
            <w:tcW w:w="830" w:type="dxa"/>
            <w:vMerge w:val="continue"/>
            <w:tcBorders>
              <w:top w:val="nil"/>
            </w:tcBorders>
          </w:tcPr>
          <w:p>
            <w:pPr>
              <w:rPr>
                <w:sz w:val="2"/>
                <w:szCs w:val="2"/>
                <w:lang w:eastAsia="zh-CN"/>
              </w:rPr>
            </w:pPr>
          </w:p>
        </w:tc>
        <w:tc>
          <w:tcPr>
            <w:tcW w:w="1166" w:type="dxa"/>
            <w:vMerge w:val="continue"/>
            <w:tcBorders>
              <w:top w:val="nil"/>
            </w:tcBorders>
            <w:vAlign w:val="center"/>
          </w:tcPr>
          <w:p>
            <w:pPr>
              <w:jc w:val="both"/>
              <w:rPr>
                <w:sz w:val="2"/>
                <w:szCs w:val="2"/>
                <w:lang w:eastAsia="zh-CN"/>
              </w:rPr>
            </w:pPr>
          </w:p>
        </w:tc>
        <w:tc>
          <w:tcPr>
            <w:tcW w:w="1262" w:type="dxa"/>
          </w:tcPr>
          <w:p>
            <w:pPr>
              <w:pStyle w:val="20"/>
              <w:rPr>
                <w:rFonts w:ascii="方正小标宋简体"/>
                <w:sz w:val="13"/>
              </w:rPr>
            </w:pPr>
          </w:p>
          <w:p>
            <w:pPr>
              <w:pStyle w:val="20"/>
              <w:ind w:left="32" w:right="7"/>
              <w:jc w:val="center"/>
              <w:rPr>
                <w:sz w:val="14"/>
              </w:rPr>
            </w:pPr>
            <w:r>
              <w:rPr>
                <w:w w:val="105"/>
                <w:sz w:val="14"/>
              </w:rPr>
              <w:t>听证</w:t>
            </w:r>
          </w:p>
        </w:tc>
        <w:tc>
          <w:tcPr>
            <w:tcW w:w="6532" w:type="dxa"/>
            <w:vMerge w:val="continue"/>
            <w:tcBorders>
              <w:top w:val="nil"/>
            </w:tcBorders>
          </w:tcPr>
          <w:p>
            <w:pPr>
              <w:rPr>
                <w:sz w:val="2"/>
                <w:szCs w:val="2"/>
              </w:rPr>
            </w:pPr>
          </w:p>
        </w:tc>
        <w:tc>
          <w:tcPr>
            <w:tcW w:w="1866" w:type="dxa"/>
            <w:vMerge w:val="continue"/>
            <w:tcBorders>
              <w:top w:val="nil"/>
            </w:tcBorders>
          </w:tcPr>
          <w:p>
            <w:pPr>
              <w:rPr>
                <w:sz w:val="2"/>
                <w:szCs w:val="2"/>
              </w:rPr>
            </w:pPr>
          </w:p>
        </w:tc>
        <w:tc>
          <w:tcPr>
            <w:tcW w:w="1127" w:type="dxa"/>
            <w:vAlign w:val="center"/>
          </w:tcPr>
          <w:p>
            <w:pPr>
              <w:pStyle w:val="20"/>
              <w:spacing w:line="242" w:lineRule="auto"/>
              <w:jc w:val="center"/>
              <w:rPr>
                <w:w w:val="105"/>
                <w:sz w:val="14"/>
              </w:rPr>
            </w:pPr>
            <w:r>
              <w:rPr>
                <w:spacing w:val="2"/>
                <w:w w:val="105"/>
                <w:sz w:val="14"/>
              </w:rPr>
              <w:t>法定时限</w:t>
            </w:r>
            <w:r>
              <w:rPr>
                <w:w w:val="105"/>
                <w:sz w:val="14"/>
              </w:rPr>
              <w:t>：25</w:t>
            </w:r>
          </w:p>
          <w:p>
            <w:pPr>
              <w:pStyle w:val="20"/>
              <w:spacing w:line="242" w:lineRule="auto"/>
              <w:jc w:val="center"/>
              <w:rPr>
                <w:sz w:val="14"/>
              </w:rPr>
            </w:pPr>
            <w:r>
              <w:rPr>
                <w:spacing w:val="-1"/>
                <w:w w:val="105"/>
                <w:sz w:val="14"/>
              </w:rPr>
              <w:t>承诺时限：</w:t>
            </w:r>
            <w:r>
              <w:rPr>
                <w:w w:val="105"/>
                <w:sz w:val="14"/>
              </w:rPr>
              <w:t>10</w:t>
            </w:r>
          </w:p>
        </w:tc>
        <w:tc>
          <w:tcPr>
            <w:tcW w:w="911" w:type="dxa"/>
            <w:vMerge w:val="continue"/>
            <w:tcBorders>
              <w:top w:val="nil"/>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37" w:hRule="atLeast"/>
          <w:jc w:val="center"/>
        </w:trPr>
        <w:tc>
          <w:tcPr>
            <w:tcW w:w="350" w:type="dxa"/>
            <w:vMerge w:val="continue"/>
            <w:tcBorders>
              <w:top w:val="nil"/>
            </w:tcBorders>
          </w:tcPr>
          <w:p>
            <w:pPr>
              <w:rPr>
                <w:sz w:val="2"/>
                <w:szCs w:val="2"/>
                <w:lang w:eastAsia="zh-CN"/>
              </w:rPr>
            </w:pPr>
          </w:p>
        </w:tc>
        <w:tc>
          <w:tcPr>
            <w:tcW w:w="830" w:type="dxa"/>
            <w:vMerge w:val="continue"/>
            <w:tcBorders>
              <w:top w:val="nil"/>
            </w:tcBorders>
          </w:tcPr>
          <w:p>
            <w:pPr>
              <w:rPr>
                <w:sz w:val="2"/>
                <w:szCs w:val="2"/>
                <w:lang w:eastAsia="zh-CN"/>
              </w:rPr>
            </w:pPr>
          </w:p>
        </w:tc>
        <w:tc>
          <w:tcPr>
            <w:tcW w:w="1166" w:type="dxa"/>
            <w:vMerge w:val="continue"/>
            <w:tcBorders>
              <w:top w:val="nil"/>
            </w:tcBorders>
            <w:vAlign w:val="center"/>
          </w:tcPr>
          <w:p>
            <w:pPr>
              <w:jc w:val="both"/>
              <w:rPr>
                <w:sz w:val="2"/>
                <w:szCs w:val="2"/>
                <w:lang w:eastAsia="zh-CN"/>
              </w:rPr>
            </w:pPr>
          </w:p>
        </w:tc>
        <w:tc>
          <w:tcPr>
            <w:tcW w:w="1262" w:type="dxa"/>
          </w:tcPr>
          <w:p>
            <w:pPr>
              <w:pStyle w:val="20"/>
              <w:rPr>
                <w:rFonts w:ascii="方正小标宋简体"/>
                <w:sz w:val="14"/>
              </w:rPr>
            </w:pPr>
          </w:p>
          <w:p>
            <w:pPr>
              <w:pStyle w:val="20"/>
              <w:rPr>
                <w:rFonts w:ascii="方正小标宋简体"/>
                <w:sz w:val="14"/>
              </w:rPr>
            </w:pPr>
          </w:p>
          <w:p>
            <w:pPr>
              <w:pStyle w:val="20"/>
              <w:spacing w:before="9"/>
              <w:rPr>
                <w:rFonts w:ascii="方正小标宋简体"/>
                <w:sz w:val="16"/>
              </w:rPr>
            </w:pPr>
          </w:p>
          <w:p>
            <w:pPr>
              <w:pStyle w:val="20"/>
              <w:ind w:left="32" w:right="15"/>
              <w:jc w:val="center"/>
              <w:rPr>
                <w:sz w:val="14"/>
              </w:rPr>
            </w:pPr>
            <w:r>
              <w:rPr>
                <w:w w:val="105"/>
                <w:sz w:val="14"/>
              </w:rPr>
              <w:t>征求部门意见</w:t>
            </w:r>
          </w:p>
        </w:tc>
        <w:tc>
          <w:tcPr>
            <w:tcW w:w="6532" w:type="dxa"/>
          </w:tcPr>
          <w:p>
            <w:pPr>
              <w:pStyle w:val="20"/>
              <w:spacing w:before="100"/>
              <w:ind w:left="27"/>
              <w:jc w:val="both"/>
              <w:rPr>
                <w:sz w:val="14"/>
              </w:rPr>
            </w:pPr>
            <w:r>
              <w:rPr>
                <w:w w:val="105"/>
                <w:sz w:val="14"/>
              </w:rPr>
              <w:t>【行政法规】《历史文化名城名镇名村保护条例》（国务院令524号，2017年10月修改）</w:t>
            </w:r>
          </w:p>
          <w:p>
            <w:pPr>
              <w:pStyle w:val="20"/>
              <w:spacing w:before="8" w:line="249" w:lineRule="auto"/>
              <w:ind w:left="27" w:right="11"/>
              <w:jc w:val="both"/>
              <w:rPr>
                <w:sz w:val="14"/>
              </w:rPr>
            </w:pPr>
            <w:r>
              <w:rPr>
                <w:w w:val="105"/>
                <w:sz w:val="14"/>
              </w:rPr>
              <w:t>第二十八条  在历史文化街区、名镇、名村核心保护范围内，新建、扩建必要的基础设施和公共服务设施的，城市、县人民政府城乡规划主管部门核发建设工程规划许可证、乡村建设规划许可证前，应当征求同级文物主管部门的意见。</w:t>
            </w:r>
          </w:p>
          <w:p>
            <w:pPr>
              <w:pStyle w:val="20"/>
              <w:spacing w:before="2" w:line="249" w:lineRule="auto"/>
              <w:ind w:left="27"/>
              <w:jc w:val="both"/>
              <w:rPr>
                <w:w w:val="105"/>
                <w:sz w:val="14"/>
              </w:rPr>
            </w:pPr>
            <w:r>
              <w:rPr>
                <w:w w:val="105"/>
                <w:sz w:val="14"/>
              </w:rPr>
              <w:t>【行政法规】《山东省历史文化名城名镇名村保护条例》（2019年11月发布，2020年3月施行）</w:t>
            </w:r>
          </w:p>
          <w:p>
            <w:pPr>
              <w:pStyle w:val="20"/>
              <w:spacing w:before="2" w:line="249" w:lineRule="auto"/>
              <w:ind w:left="27"/>
              <w:jc w:val="both"/>
              <w:rPr>
                <w:sz w:val="14"/>
              </w:rPr>
            </w:pPr>
            <w:r>
              <w:rPr>
                <w:w w:val="105"/>
                <w:sz w:val="14"/>
              </w:rPr>
              <w:t>第二十八条 第1款 在历史文化名镇、名村和历史文化街区核心保护范围内，不得进行新建、扩建活动。确需新建、扩建基础设施、公共服务设施的，自然资源主管部门核发建设工程规划许可证、乡村建设规划许可证前，应当征求同级保护主管部门、文物主管部门意见。</w:t>
            </w:r>
          </w:p>
        </w:tc>
        <w:tc>
          <w:tcPr>
            <w:tcW w:w="1866" w:type="dxa"/>
          </w:tcPr>
          <w:p>
            <w:pPr>
              <w:pStyle w:val="20"/>
              <w:rPr>
                <w:rFonts w:ascii="方正小标宋简体"/>
                <w:sz w:val="14"/>
              </w:rPr>
            </w:pPr>
          </w:p>
          <w:p>
            <w:pPr>
              <w:pStyle w:val="20"/>
              <w:spacing w:before="1"/>
              <w:rPr>
                <w:rFonts w:ascii="方正小标宋简体"/>
                <w:sz w:val="14"/>
              </w:rPr>
            </w:pPr>
          </w:p>
          <w:p>
            <w:pPr>
              <w:pStyle w:val="20"/>
              <w:spacing w:line="249" w:lineRule="auto"/>
              <w:ind w:left="28"/>
              <w:jc w:val="both"/>
              <w:rPr>
                <w:sz w:val="14"/>
              </w:rPr>
            </w:pPr>
            <w:r>
              <w:rPr>
                <w:w w:val="105"/>
                <w:sz w:val="14"/>
              </w:rPr>
              <w:t>在历史文化街区、名镇、名村核心保护范围内，新建、扩建必要的基础设施和公共服务设施的。</w:t>
            </w:r>
          </w:p>
        </w:tc>
        <w:tc>
          <w:tcPr>
            <w:tcW w:w="1127" w:type="dxa"/>
            <w:vAlign w:val="center"/>
          </w:tcPr>
          <w:p>
            <w:pPr>
              <w:pStyle w:val="20"/>
              <w:spacing w:line="244" w:lineRule="auto"/>
              <w:jc w:val="center"/>
              <w:rPr>
                <w:w w:val="105"/>
                <w:sz w:val="14"/>
              </w:rPr>
            </w:pPr>
            <w:r>
              <w:rPr>
                <w:w w:val="105"/>
                <w:sz w:val="14"/>
              </w:rPr>
              <w:t>法定时限：7</w:t>
            </w:r>
          </w:p>
          <w:p>
            <w:pPr>
              <w:pStyle w:val="20"/>
              <w:spacing w:line="244" w:lineRule="auto"/>
              <w:jc w:val="center"/>
              <w:rPr>
                <w:sz w:val="14"/>
              </w:rPr>
            </w:pPr>
            <w:r>
              <w:rPr>
                <w:w w:val="105"/>
                <w:sz w:val="14"/>
              </w:rPr>
              <w:t>承诺时限：</w:t>
            </w:r>
            <w:r>
              <w:rPr>
                <w:w w:val="104"/>
                <w:sz w:val="14"/>
              </w:rPr>
              <w:t>5</w:t>
            </w:r>
          </w:p>
        </w:tc>
        <w:tc>
          <w:tcPr>
            <w:tcW w:w="911" w:type="dxa"/>
            <w:vMerge w:val="continue"/>
            <w:tcBorders>
              <w:top w:val="nil"/>
            </w:tcBorders>
          </w:tcPr>
          <w:p>
            <w:pPr>
              <w:rPr>
                <w:sz w:val="2"/>
                <w:szCs w:val="2"/>
                <w:lang w:eastAsia="zh-CN"/>
              </w:rPr>
            </w:pPr>
          </w:p>
        </w:tc>
      </w:tr>
    </w:tbl>
    <w:p>
      <w:pPr>
        <w:rPr>
          <w:sz w:val="2"/>
          <w:szCs w:val="2"/>
          <w:lang w:eastAsia="zh-CN"/>
        </w:rPr>
        <w:sectPr>
          <w:pgSz w:w="16840" w:h="11910" w:orient="landscape"/>
          <w:pgMar w:top="1000" w:right="980" w:bottom="1140" w:left="980" w:header="0" w:footer="94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spacing w:before="11"/>
              <w:rPr>
                <w:rFonts w:ascii="方正小标宋简体"/>
                <w:sz w:val="20"/>
              </w:rPr>
            </w:pPr>
          </w:p>
          <w:p>
            <w:pPr>
              <w:pStyle w:val="20"/>
              <w:ind w:left="23"/>
              <w:jc w:val="center"/>
              <w:rPr>
                <w:rFonts w:ascii="黑体" w:eastAsia="黑体"/>
                <w:sz w:val="14"/>
              </w:rPr>
            </w:pPr>
            <w:r>
              <w:rPr>
                <w:rFonts w:hint="eastAsia" w:ascii="黑体" w:eastAsia="黑体"/>
                <w:w w:val="105"/>
                <w:sz w:val="14"/>
              </w:rPr>
              <w:t>序号</w:t>
            </w:r>
          </w:p>
        </w:tc>
        <w:tc>
          <w:tcPr>
            <w:tcW w:w="830" w:type="dxa"/>
          </w:tcPr>
          <w:p>
            <w:pPr>
              <w:pStyle w:val="20"/>
              <w:spacing w:before="11"/>
              <w:rPr>
                <w:rFonts w:ascii="方正小标宋简体"/>
                <w:sz w:val="20"/>
              </w:rPr>
            </w:pPr>
          </w:p>
          <w:p>
            <w:pPr>
              <w:pStyle w:val="20"/>
              <w:ind w:left="117"/>
              <w:rPr>
                <w:rFonts w:ascii="黑体" w:eastAsia="黑体"/>
                <w:sz w:val="14"/>
              </w:rPr>
            </w:pPr>
            <w:r>
              <w:rPr>
                <w:rFonts w:hint="eastAsia" w:ascii="黑体" w:eastAsia="黑体"/>
                <w:w w:val="105"/>
                <w:sz w:val="14"/>
              </w:rPr>
              <w:t>事项名称</w:t>
            </w:r>
          </w:p>
        </w:tc>
        <w:tc>
          <w:tcPr>
            <w:tcW w:w="1166" w:type="dxa"/>
            <w:vAlign w:val="center"/>
          </w:tcPr>
          <w:p>
            <w:pPr>
              <w:pStyle w:val="20"/>
              <w:jc w:val="both"/>
              <w:rPr>
                <w:rFonts w:ascii="方正小标宋简体"/>
                <w:sz w:val="9"/>
              </w:rPr>
            </w:pPr>
          </w:p>
          <w:p>
            <w:pPr>
              <w:pStyle w:val="20"/>
              <w:spacing w:line="249" w:lineRule="auto"/>
              <w:jc w:val="both"/>
              <w:rPr>
                <w:rFonts w:ascii="黑体" w:eastAsia="黑体"/>
                <w:sz w:val="14"/>
              </w:rPr>
            </w:pPr>
            <w:r>
              <w:rPr>
                <w:rFonts w:hint="eastAsia" w:ascii="黑体" w:eastAsia="黑体"/>
                <w:w w:val="105"/>
                <w:sz w:val="14"/>
              </w:rPr>
              <w:t>对应政务服务事项（承诺审批时限）</w:t>
            </w:r>
          </w:p>
        </w:tc>
        <w:tc>
          <w:tcPr>
            <w:tcW w:w="1262" w:type="dxa"/>
          </w:tcPr>
          <w:p>
            <w:pPr>
              <w:pStyle w:val="20"/>
              <w:spacing w:before="11"/>
              <w:rPr>
                <w:rFonts w:ascii="方正小标宋简体"/>
                <w:sz w:val="20"/>
              </w:rPr>
            </w:pPr>
          </w:p>
          <w:p>
            <w:pPr>
              <w:pStyle w:val="20"/>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spacing w:before="11"/>
              <w:rPr>
                <w:rFonts w:ascii="方正小标宋简体"/>
                <w:sz w:val="20"/>
              </w:rPr>
            </w:pPr>
          </w:p>
          <w:p>
            <w:pPr>
              <w:pStyle w:val="20"/>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5"/>
              <w:rPr>
                <w:rFonts w:ascii="方正小标宋简体"/>
                <w:sz w:val="15"/>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10"/>
              <w:rPr>
                <w:rFonts w:ascii="方正小标宋简体"/>
                <w:sz w:val="9"/>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8" w:line="252" w:lineRule="auto"/>
              <w:ind w:left="44" w:right="15"/>
              <w:jc w:val="center"/>
              <w:rPr>
                <w:rFonts w:ascii="黑体" w:eastAsia="黑体"/>
                <w:sz w:val="14"/>
              </w:rPr>
            </w:pPr>
            <w:r>
              <w:rPr>
                <w:rFonts w:hint="eastAsia" w:ascii="黑体" w:eastAsia="黑体"/>
                <w:w w:val="105"/>
                <w:sz w:val="14"/>
              </w:rPr>
              <w:t>办理时限（工作日）</w:t>
            </w:r>
          </w:p>
        </w:tc>
        <w:tc>
          <w:tcPr>
            <w:tcW w:w="911" w:type="dxa"/>
          </w:tcPr>
          <w:p>
            <w:pPr>
              <w:pStyle w:val="20"/>
              <w:spacing w:before="5"/>
              <w:rPr>
                <w:rFonts w:ascii="方正小标宋简体"/>
                <w:sz w:val="15"/>
              </w:rPr>
            </w:pPr>
          </w:p>
          <w:p>
            <w:pPr>
              <w:pStyle w:val="20"/>
              <w:spacing w:line="242" w:lineRule="auto"/>
              <w:ind w:left="391" w:right="61" w:hanging="303"/>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10" w:hRule="atLeast"/>
          <w:jc w:val="center"/>
        </w:trPr>
        <w:tc>
          <w:tcPr>
            <w:tcW w:w="350"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8"/>
              <w:rPr>
                <w:rFonts w:ascii="方正小标宋简体"/>
                <w:sz w:val="11"/>
              </w:rPr>
            </w:pPr>
          </w:p>
          <w:p>
            <w:pPr>
              <w:pStyle w:val="20"/>
              <w:ind w:left="29"/>
              <w:jc w:val="center"/>
              <w:rPr>
                <w:rFonts w:hint="eastAsia" w:eastAsia="宋体"/>
                <w:sz w:val="14"/>
                <w:lang w:eastAsia="zh-CN"/>
              </w:rPr>
            </w:pPr>
            <w:r>
              <w:rPr>
                <w:rFonts w:hint="eastAsia"/>
                <w:w w:val="104"/>
                <w:sz w:val="14"/>
                <w:lang w:val="en-US" w:eastAsia="zh-CN"/>
              </w:rPr>
              <w:t>5</w:t>
            </w:r>
          </w:p>
        </w:tc>
        <w:tc>
          <w:tcPr>
            <w:tcW w:w="830"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8"/>
              <w:rPr>
                <w:rFonts w:ascii="方正小标宋简体"/>
                <w:sz w:val="14"/>
              </w:rPr>
            </w:pPr>
          </w:p>
          <w:p>
            <w:pPr>
              <w:pStyle w:val="20"/>
              <w:spacing w:line="249" w:lineRule="auto"/>
              <w:ind w:left="40" w:right="28"/>
              <w:jc w:val="center"/>
              <w:rPr>
                <w:sz w:val="14"/>
              </w:rPr>
            </w:pPr>
            <w:r>
              <w:rPr>
                <w:w w:val="105"/>
                <w:sz w:val="14"/>
              </w:rPr>
              <w:t>建设工程规划类许可证核发</w:t>
            </w:r>
          </w:p>
        </w:tc>
        <w:tc>
          <w:tcPr>
            <w:tcW w:w="1166" w:type="dxa"/>
            <w:vMerge w:val="restart"/>
            <w:vAlign w:val="center"/>
          </w:tcPr>
          <w:p>
            <w:pPr>
              <w:pStyle w:val="20"/>
              <w:spacing w:line="249" w:lineRule="auto"/>
              <w:jc w:val="both"/>
              <w:rPr>
                <w:w w:val="105"/>
                <w:sz w:val="14"/>
              </w:rPr>
            </w:pPr>
            <w:r>
              <w:rPr>
                <w:w w:val="105"/>
                <w:sz w:val="14"/>
              </w:rPr>
              <w:t>1</w:t>
            </w:r>
            <w:r>
              <w:rPr>
                <w:spacing w:val="-1"/>
                <w:w w:val="105"/>
                <w:sz w:val="14"/>
              </w:rPr>
              <w:t>.建设工程、临</w:t>
            </w:r>
            <w:r>
              <w:rPr>
                <w:w w:val="105"/>
                <w:sz w:val="14"/>
              </w:rPr>
              <w:t>时建设工程规划许可</w:t>
            </w:r>
            <w:r>
              <w:rPr>
                <w:spacing w:val="2"/>
                <w:w w:val="105"/>
                <w:sz w:val="14"/>
              </w:rPr>
              <w:t>（10</w:t>
            </w:r>
            <w:r>
              <w:rPr>
                <w:spacing w:val="7"/>
                <w:w w:val="105"/>
                <w:sz w:val="14"/>
              </w:rPr>
              <w:t>日</w:t>
            </w:r>
            <w:r>
              <w:rPr>
                <w:w w:val="105"/>
                <w:sz w:val="14"/>
              </w:rPr>
              <w:t xml:space="preserve">） </w:t>
            </w:r>
          </w:p>
          <w:p>
            <w:pPr>
              <w:pStyle w:val="20"/>
              <w:spacing w:line="249" w:lineRule="auto"/>
              <w:jc w:val="both"/>
              <w:rPr>
                <w:w w:val="105"/>
                <w:sz w:val="14"/>
              </w:rPr>
            </w:pPr>
            <w:r>
              <w:rPr>
                <w:w w:val="105"/>
                <w:sz w:val="14"/>
              </w:rPr>
              <w:t>2.历史建筑实施原址保护审批</w:t>
            </w:r>
            <w:r>
              <w:rPr>
                <w:spacing w:val="2"/>
                <w:w w:val="105"/>
                <w:sz w:val="14"/>
              </w:rPr>
              <w:t>（10</w:t>
            </w:r>
            <w:r>
              <w:rPr>
                <w:w w:val="105"/>
                <w:sz w:val="14"/>
              </w:rPr>
              <w:t xml:space="preserve">日）  </w:t>
            </w:r>
          </w:p>
          <w:p>
            <w:pPr>
              <w:pStyle w:val="20"/>
              <w:spacing w:line="252" w:lineRule="auto"/>
              <w:jc w:val="both"/>
              <w:rPr>
                <w:spacing w:val="-14"/>
                <w:w w:val="105"/>
                <w:sz w:val="14"/>
              </w:rPr>
            </w:pPr>
            <w:r>
              <w:rPr>
                <w:w w:val="105"/>
                <w:sz w:val="14"/>
              </w:rPr>
              <w:t>3</w:t>
            </w:r>
            <w:r>
              <w:rPr>
                <w:spacing w:val="-2"/>
                <w:w w:val="105"/>
                <w:sz w:val="14"/>
              </w:rPr>
              <w:t>.历史文化街区</w:t>
            </w:r>
            <w:r>
              <w:rPr>
                <w:w w:val="105"/>
                <w:sz w:val="14"/>
              </w:rPr>
              <w:t>、名镇、名村核</w:t>
            </w:r>
            <w:r>
              <w:rPr>
                <w:spacing w:val="-1"/>
                <w:w w:val="105"/>
                <w:sz w:val="14"/>
              </w:rPr>
              <w:t>心保护范围内，</w:t>
            </w:r>
            <w:r>
              <w:rPr>
                <w:w w:val="105"/>
                <w:sz w:val="14"/>
              </w:rPr>
              <w:t>拆除历史建筑以</w:t>
            </w:r>
            <w:r>
              <w:rPr>
                <w:spacing w:val="-2"/>
                <w:w w:val="105"/>
                <w:sz w:val="14"/>
              </w:rPr>
              <w:t>外的建筑物、构</w:t>
            </w:r>
            <w:r>
              <w:rPr>
                <w:w w:val="105"/>
                <w:sz w:val="14"/>
              </w:rPr>
              <w:t>筑物或者其他设</w:t>
            </w:r>
            <w:r>
              <w:rPr>
                <w:spacing w:val="1"/>
                <w:w w:val="105"/>
                <w:sz w:val="14"/>
              </w:rPr>
              <w:t>施审批</w:t>
            </w:r>
            <w:r>
              <w:rPr>
                <w:spacing w:val="2"/>
                <w:w w:val="105"/>
                <w:sz w:val="14"/>
              </w:rPr>
              <w:t>（15</w:t>
            </w:r>
            <w:r>
              <w:rPr>
                <w:spacing w:val="6"/>
                <w:w w:val="105"/>
                <w:sz w:val="14"/>
              </w:rPr>
              <w:t>日</w:t>
            </w:r>
            <w:r>
              <w:rPr>
                <w:spacing w:val="-14"/>
                <w:w w:val="105"/>
                <w:sz w:val="14"/>
              </w:rPr>
              <w:t xml:space="preserve">） </w:t>
            </w:r>
          </w:p>
          <w:p>
            <w:pPr>
              <w:pStyle w:val="20"/>
              <w:spacing w:line="252" w:lineRule="auto"/>
              <w:jc w:val="both"/>
              <w:rPr>
                <w:w w:val="105"/>
                <w:sz w:val="14"/>
              </w:rPr>
            </w:pPr>
            <w:r>
              <w:rPr>
                <w:w w:val="105"/>
                <w:sz w:val="14"/>
              </w:rPr>
              <w:t>4.历史建筑外部修缮装饰、添加设施以及改变历史建筑的结构或者使用性质审批</w:t>
            </w:r>
            <w:r>
              <w:rPr>
                <w:spacing w:val="2"/>
                <w:w w:val="105"/>
                <w:sz w:val="14"/>
              </w:rPr>
              <w:t>（15</w:t>
            </w:r>
            <w:r>
              <w:rPr>
                <w:w w:val="105"/>
                <w:sz w:val="14"/>
              </w:rPr>
              <w:t xml:space="preserve">日）  </w:t>
            </w:r>
          </w:p>
          <w:p>
            <w:pPr>
              <w:pStyle w:val="20"/>
              <w:spacing w:line="244" w:lineRule="auto"/>
              <w:jc w:val="both"/>
              <w:rPr>
                <w:w w:val="105"/>
                <w:sz w:val="14"/>
              </w:rPr>
            </w:pPr>
            <w:r>
              <w:rPr>
                <w:w w:val="105"/>
                <w:sz w:val="14"/>
              </w:rPr>
              <w:t>5</w:t>
            </w:r>
            <w:r>
              <w:rPr>
                <w:spacing w:val="-2"/>
                <w:w w:val="105"/>
                <w:sz w:val="14"/>
              </w:rPr>
              <w:t>.乡村建设规划</w:t>
            </w:r>
            <w:r>
              <w:rPr>
                <w:spacing w:val="3"/>
                <w:w w:val="105"/>
                <w:sz w:val="14"/>
              </w:rPr>
              <w:t>许可</w:t>
            </w:r>
            <w:r>
              <w:rPr>
                <w:w w:val="105"/>
                <w:sz w:val="14"/>
              </w:rPr>
              <w:t>（8</w:t>
            </w:r>
            <w:r>
              <w:rPr>
                <w:spacing w:val="6"/>
                <w:w w:val="105"/>
                <w:sz w:val="14"/>
              </w:rPr>
              <w:t>日</w:t>
            </w:r>
            <w:r>
              <w:rPr>
                <w:w w:val="105"/>
                <w:sz w:val="14"/>
              </w:rPr>
              <w:t xml:space="preserve">）  </w:t>
            </w:r>
          </w:p>
          <w:p>
            <w:pPr>
              <w:pStyle w:val="20"/>
              <w:spacing w:line="244" w:lineRule="auto"/>
              <w:jc w:val="both"/>
              <w:rPr>
                <w:sz w:val="14"/>
              </w:rPr>
            </w:pPr>
            <w:r>
              <w:rPr>
                <w:w w:val="105"/>
                <w:sz w:val="14"/>
              </w:rPr>
              <w:t>6</w:t>
            </w:r>
            <w:r>
              <w:rPr>
                <w:spacing w:val="-2"/>
                <w:w w:val="105"/>
                <w:sz w:val="14"/>
              </w:rPr>
              <w:t>.应建防空地下</w:t>
            </w:r>
            <w:r>
              <w:rPr>
                <w:spacing w:val="-3"/>
                <w:w w:val="105"/>
                <w:sz w:val="14"/>
              </w:rPr>
              <w:t>室的民用建筑项</w:t>
            </w:r>
            <w:r>
              <w:rPr>
                <w:spacing w:val="1"/>
                <w:w w:val="105"/>
                <w:sz w:val="14"/>
              </w:rPr>
              <w:t>目报建审批</w:t>
            </w:r>
            <w:r>
              <w:rPr>
                <w:w w:val="105"/>
                <w:sz w:val="14"/>
              </w:rPr>
              <w:t>（3</w:t>
            </w:r>
            <w:r>
              <w:rPr>
                <w:spacing w:val="6"/>
                <w:w w:val="105"/>
                <w:sz w:val="14"/>
              </w:rPr>
              <w:t>日</w:t>
            </w:r>
            <w:r>
              <w:rPr>
                <w:w w:val="105"/>
                <w:sz w:val="14"/>
              </w:rPr>
              <w:t>）</w:t>
            </w:r>
          </w:p>
        </w:tc>
        <w:tc>
          <w:tcPr>
            <w:tcW w:w="1262"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8"/>
              <w:rPr>
                <w:rFonts w:ascii="方正小标宋简体"/>
                <w:sz w:val="11"/>
              </w:rPr>
            </w:pPr>
          </w:p>
          <w:p>
            <w:pPr>
              <w:pStyle w:val="20"/>
              <w:ind w:left="185"/>
              <w:rPr>
                <w:sz w:val="14"/>
              </w:rPr>
            </w:pPr>
            <w:r>
              <w:rPr>
                <w:w w:val="105"/>
                <w:sz w:val="14"/>
              </w:rPr>
              <w:t>会同部门批准</w:t>
            </w:r>
          </w:p>
        </w:tc>
        <w:tc>
          <w:tcPr>
            <w:tcW w:w="6532" w:type="dxa"/>
            <w:vMerge w:val="restart"/>
            <w:vAlign w:val="center"/>
          </w:tcPr>
          <w:p>
            <w:pPr>
              <w:pStyle w:val="20"/>
              <w:ind w:left="27"/>
              <w:jc w:val="both"/>
              <w:rPr>
                <w:sz w:val="14"/>
              </w:rPr>
            </w:pPr>
            <w:r>
              <w:rPr>
                <w:w w:val="105"/>
                <w:sz w:val="14"/>
              </w:rPr>
              <w:t>【行政法规】《历史文化名城名镇名村保护条例》（国务院令524号，2017年10月修改）</w:t>
            </w:r>
          </w:p>
          <w:p>
            <w:pPr>
              <w:pStyle w:val="20"/>
              <w:spacing w:before="8"/>
              <w:ind w:left="27"/>
              <w:jc w:val="both"/>
              <w:rPr>
                <w:sz w:val="14"/>
              </w:rPr>
            </w:pPr>
            <w:r>
              <w:rPr>
                <w:w w:val="105"/>
                <w:sz w:val="14"/>
              </w:rPr>
              <w:t>第二十八条 第3款 在历史文化街区、名镇、名村核心保护范围内，拆除历史建筑以外的建筑物、构筑物或者其他设施的，应当经城市、县人民政府城乡规划主管部门会同同级文物主管部门批准。</w:t>
            </w:r>
          </w:p>
          <w:p>
            <w:pPr>
              <w:pStyle w:val="20"/>
              <w:spacing w:before="1"/>
              <w:ind w:left="27"/>
              <w:jc w:val="both"/>
              <w:rPr>
                <w:sz w:val="14"/>
              </w:rPr>
            </w:pPr>
            <w:r>
              <w:rPr>
                <w:w w:val="105"/>
                <w:sz w:val="14"/>
              </w:rPr>
              <w:t>【行政法规】《历史文化名城名镇名村保护条例》（国务院令524号，2017年10月修改）</w:t>
            </w:r>
          </w:p>
          <w:p>
            <w:pPr>
              <w:pStyle w:val="20"/>
              <w:spacing w:before="7" w:line="252" w:lineRule="auto"/>
              <w:ind w:left="27" w:right="1"/>
              <w:jc w:val="both"/>
              <w:rPr>
                <w:sz w:val="14"/>
              </w:rPr>
            </w:pPr>
            <w:r>
              <w:rPr>
                <w:w w:val="105"/>
                <w:sz w:val="14"/>
              </w:rPr>
              <w:t>第三十四条 第2款 对历史建筑实施原址保护的，建设单位应当事先确定保护措施，报城市、县人民政府保护主管部门会同同级文物主管部门批准。</w:t>
            </w:r>
          </w:p>
          <w:p>
            <w:pPr>
              <w:pStyle w:val="20"/>
              <w:spacing w:line="177" w:lineRule="exact"/>
              <w:ind w:left="27"/>
              <w:jc w:val="both"/>
              <w:rPr>
                <w:sz w:val="14"/>
              </w:rPr>
            </w:pPr>
            <w:r>
              <w:rPr>
                <w:w w:val="105"/>
                <w:sz w:val="14"/>
              </w:rPr>
              <w:t>【行政法规】《历史文化名城名镇名村保护条例》（国务院令524号，2017年10月修改）</w:t>
            </w:r>
          </w:p>
          <w:p>
            <w:pPr>
              <w:pStyle w:val="20"/>
              <w:spacing w:before="8" w:line="249" w:lineRule="auto"/>
              <w:ind w:left="27" w:right="4"/>
              <w:jc w:val="both"/>
              <w:rPr>
                <w:sz w:val="14"/>
              </w:rPr>
            </w:pPr>
            <w:r>
              <w:rPr>
                <w:w w:val="105"/>
                <w:sz w:val="14"/>
              </w:rPr>
              <w:t>第三十五条 对历史建筑进行外部修缮装饰、添加设施改变历史建筑结构或者使用性质的，应当经城市、县人民政府保护主管部门会同同级文物主管部门批准。</w:t>
            </w:r>
          </w:p>
          <w:p>
            <w:pPr>
              <w:pStyle w:val="20"/>
              <w:spacing w:line="249" w:lineRule="auto"/>
              <w:ind w:left="27" w:right="1"/>
              <w:jc w:val="both"/>
              <w:rPr>
                <w:w w:val="105"/>
                <w:sz w:val="14"/>
              </w:rPr>
            </w:pPr>
            <w:r>
              <w:rPr>
                <w:w w:val="105"/>
                <w:sz w:val="14"/>
              </w:rPr>
              <w:t>【行政法规】《山东省历史文化名城名镇名村保护条例》（2019年11月发布，2020年3月施行）</w:t>
            </w:r>
          </w:p>
          <w:p>
            <w:pPr>
              <w:pStyle w:val="20"/>
              <w:spacing w:line="249" w:lineRule="auto"/>
              <w:ind w:left="27" w:right="1"/>
              <w:jc w:val="both"/>
              <w:rPr>
                <w:sz w:val="14"/>
              </w:rPr>
            </w:pPr>
            <w:r>
              <w:rPr>
                <w:w w:val="105"/>
                <w:sz w:val="14"/>
              </w:rPr>
              <w:t>第二十八条 第2款 在历史文化名镇、名村和历史文化街区核心保护范围内，拆除历史建筑以外的建筑物、构筑物或者其他设施的，应当经城市、县人民政府保护主管部门会同同级文物主管部门批准。</w:t>
            </w:r>
          </w:p>
          <w:p>
            <w:pPr>
              <w:pStyle w:val="20"/>
              <w:spacing w:line="249" w:lineRule="auto"/>
              <w:ind w:left="27" w:right="1"/>
              <w:jc w:val="both"/>
              <w:rPr>
                <w:w w:val="105"/>
                <w:sz w:val="14"/>
              </w:rPr>
            </w:pPr>
            <w:r>
              <w:rPr>
                <w:w w:val="105"/>
                <w:sz w:val="14"/>
              </w:rPr>
              <w:t>【行政法规】《山东省历史文化名城名镇名村保护条例》（2019年11月发布，2020年3月施行）</w:t>
            </w:r>
          </w:p>
          <w:p>
            <w:pPr>
              <w:pStyle w:val="20"/>
              <w:spacing w:line="249" w:lineRule="auto"/>
              <w:ind w:left="27" w:right="1"/>
              <w:jc w:val="both"/>
              <w:rPr>
                <w:sz w:val="14"/>
              </w:rPr>
            </w:pPr>
            <w:r>
              <w:rPr>
                <w:w w:val="105"/>
                <w:sz w:val="14"/>
              </w:rPr>
              <w:t>第四十一条 第1款 对历史建筑实施原址保护的，建设单位应当事先确定保护措施，报城市、县人民政府保护主管部门会同同级文物主管部门批准。</w:t>
            </w:r>
          </w:p>
          <w:p>
            <w:pPr>
              <w:pStyle w:val="20"/>
              <w:spacing w:before="1" w:line="249" w:lineRule="auto"/>
              <w:ind w:left="27" w:right="1"/>
              <w:jc w:val="both"/>
              <w:rPr>
                <w:w w:val="105"/>
                <w:sz w:val="14"/>
              </w:rPr>
            </w:pPr>
            <w:r>
              <w:rPr>
                <w:w w:val="105"/>
                <w:sz w:val="14"/>
              </w:rPr>
              <w:t>【行政法规】《山东省历史文化名城名镇名村保护条例》（2019年11月发布，2020年3月施行）</w:t>
            </w:r>
          </w:p>
          <w:p>
            <w:pPr>
              <w:pStyle w:val="20"/>
              <w:spacing w:before="1" w:line="249" w:lineRule="auto"/>
              <w:ind w:left="27" w:right="1"/>
              <w:jc w:val="both"/>
              <w:rPr>
                <w:sz w:val="14"/>
              </w:rPr>
            </w:pPr>
            <w:r>
              <w:rPr>
                <w:w w:val="105"/>
                <w:sz w:val="14"/>
              </w:rPr>
              <w:t>第四十二条 对历史建筑进行外部修缮装饰、添加设施改变历史建筑结构或者使用性质的，应当经城市、县人民政府保护主管部门会同同级文物主管部门批准。</w:t>
            </w:r>
          </w:p>
        </w:tc>
        <w:tc>
          <w:tcPr>
            <w:tcW w:w="1866" w:type="dxa"/>
          </w:tcPr>
          <w:p>
            <w:pPr>
              <w:pStyle w:val="20"/>
              <w:spacing w:before="14"/>
              <w:rPr>
                <w:rFonts w:ascii="方正小标宋简体"/>
                <w:sz w:val="13"/>
              </w:rPr>
            </w:pPr>
          </w:p>
          <w:p>
            <w:pPr>
              <w:pStyle w:val="20"/>
              <w:ind w:left="28"/>
              <w:rPr>
                <w:sz w:val="14"/>
              </w:rPr>
            </w:pPr>
            <w:r>
              <w:rPr>
                <w:w w:val="105"/>
                <w:sz w:val="14"/>
              </w:rPr>
              <w:t>历史建筑实施原址保护审批</w:t>
            </w:r>
            <w:r>
              <w:rPr>
                <w:w w:val="104"/>
                <w:sz w:val="14"/>
              </w:rPr>
              <w:t>。</w:t>
            </w:r>
          </w:p>
        </w:tc>
        <w:tc>
          <w:tcPr>
            <w:tcW w:w="1127" w:type="dxa"/>
          </w:tcPr>
          <w:p>
            <w:pPr>
              <w:pStyle w:val="20"/>
              <w:spacing w:before="8"/>
              <w:rPr>
                <w:rFonts w:ascii="方正小标宋简体"/>
                <w:sz w:val="8"/>
              </w:rPr>
            </w:pPr>
          </w:p>
          <w:p>
            <w:pPr>
              <w:pStyle w:val="20"/>
              <w:spacing w:line="247" w:lineRule="auto"/>
              <w:ind w:left="44" w:right="11"/>
              <w:jc w:val="center"/>
              <w:rPr>
                <w:w w:val="105"/>
                <w:sz w:val="14"/>
              </w:rPr>
            </w:pPr>
            <w:r>
              <w:rPr>
                <w:spacing w:val="2"/>
                <w:w w:val="105"/>
                <w:sz w:val="14"/>
              </w:rPr>
              <w:t>法定时限</w:t>
            </w:r>
            <w:r>
              <w:rPr>
                <w:w w:val="105"/>
                <w:sz w:val="14"/>
              </w:rPr>
              <w:t xml:space="preserve">：10 </w:t>
            </w:r>
          </w:p>
          <w:p>
            <w:pPr>
              <w:pStyle w:val="20"/>
              <w:spacing w:line="247" w:lineRule="auto"/>
              <w:ind w:left="44" w:right="11"/>
              <w:jc w:val="center"/>
              <w:rPr>
                <w:sz w:val="14"/>
              </w:rPr>
            </w:pPr>
            <w:r>
              <w:rPr>
                <w:spacing w:val="-1"/>
                <w:w w:val="105"/>
                <w:sz w:val="14"/>
              </w:rPr>
              <w:t>承诺时限：</w:t>
            </w:r>
            <w:r>
              <w:rPr>
                <w:w w:val="105"/>
                <w:sz w:val="14"/>
              </w:rPr>
              <w:t>7</w:t>
            </w:r>
          </w:p>
        </w:tc>
        <w:tc>
          <w:tcPr>
            <w:tcW w:w="911" w:type="dxa"/>
            <w:vMerge w:val="restart"/>
            <w:vAlign w:val="center"/>
          </w:tcPr>
          <w:p>
            <w:pPr>
              <w:pStyle w:val="20"/>
              <w:spacing w:before="3"/>
              <w:ind w:left="88"/>
              <w:jc w:val="both"/>
              <w:rPr>
                <w:sz w:val="14"/>
              </w:rPr>
            </w:pPr>
            <w:r>
              <w:rPr>
                <w:rFonts w:hint="eastAsia"/>
                <w:sz w:val="14"/>
              </w:rPr>
              <w:t>区</w:t>
            </w:r>
            <w:r>
              <w:rPr>
                <w:sz w:val="14"/>
              </w:rPr>
              <w:t>自然资源局</w:t>
            </w:r>
            <w:r>
              <w:rPr>
                <w:spacing w:val="-3"/>
                <w:w w:val="105"/>
                <w:sz w:val="14"/>
              </w:rPr>
              <w:t>、</w:t>
            </w:r>
            <w:r>
              <w:rPr>
                <w:rFonts w:hint="eastAsia"/>
                <w:spacing w:val="-3"/>
                <w:w w:val="105"/>
                <w:sz w:val="14"/>
              </w:rPr>
              <w:t>区</w:t>
            </w:r>
            <w:r>
              <w:rPr>
                <w:spacing w:val="-3"/>
                <w:w w:val="105"/>
                <w:sz w:val="14"/>
              </w:rPr>
              <w:t>行政审批局、</w:t>
            </w:r>
            <w:r>
              <w:rPr>
                <w:rFonts w:hint="eastAsia"/>
                <w:spacing w:val="-3"/>
                <w:w w:val="105"/>
                <w:sz w:val="14"/>
              </w:rPr>
              <w:t>区</w:t>
            </w:r>
            <w:r>
              <w:rPr>
                <w:spacing w:val="-3"/>
                <w:w w:val="105"/>
                <w:sz w:val="14"/>
              </w:rPr>
              <w:t>文化和旅游局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65" w:hRule="atLeast"/>
          <w:jc w:val="center"/>
        </w:trPr>
        <w:tc>
          <w:tcPr>
            <w:tcW w:w="350" w:type="dxa"/>
            <w:vMerge w:val="continue"/>
            <w:tcBorders>
              <w:top w:val="nil"/>
            </w:tcBorders>
          </w:tcPr>
          <w:p>
            <w:pPr>
              <w:rPr>
                <w:sz w:val="2"/>
                <w:szCs w:val="2"/>
                <w:lang w:eastAsia="zh-CN"/>
              </w:rPr>
            </w:pPr>
          </w:p>
        </w:tc>
        <w:tc>
          <w:tcPr>
            <w:tcW w:w="830" w:type="dxa"/>
            <w:vMerge w:val="continue"/>
            <w:tcBorders>
              <w:top w:val="nil"/>
            </w:tcBorders>
          </w:tcPr>
          <w:p>
            <w:pPr>
              <w:rPr>
                <w:sz w:val="2"/>
                <w:szCs w:val="2"/>
                <w:lang w:eastAsia="zh-CN"/>
              </w:rPr>
            </w:pPr>
          </w:p>
        </w:tc>
        <w:tc>
          <w:tcPr>
            <w:tcW w:w="1166" w:type="dxa"/>
            <w:vMerge w:val="continue"/>
            <w:tcBorders>
              <w:top w:val="nil"/>
            </w:tcBorders>
            <w:vAlign w:val="center"/>
          </w:tcPr>
          <w:p>
            <w:pPr>
              <w:jc w:val="both"/>
              <w:rPr>
                <w:sz w:val="2"/>
                <w:szCs w:val="2"/>
                <w:lang w:eastAsia="zh-CN"/>
              </w:rPr>
            </w:pPr>
          </w:p>
        </w:tc>
        <w:tc>
          <w:tcPr>
            <w:tcW w:w="1262" w:type="dxa"/>
            <w:vMerge w:val="continue"/>
            <w:tcBorders>
              <w:top w:val="nil"/>
            </w:tcBorders>
          </w:tcPr>
          <w:p>
            <w:pPr>
              <w:rPr>
                <w:sz w:val="2"/>
                <w:szCs w:val="2"/>
                <w:lang w:eastAsia="zh-CN"/>
              </w:rPr>
            </w:pPr>
          </w:p>
        </w:tc>
        <w:tc>
          <w:tcPr>
            <w:tcW w:w="6532" w:type="dxa"/>
            <w:vMerge w:val="continue"/>
            <w:tcBorders>
              <w:top w:val="nil"/>
            </w:tcBorders>
          </w:tcPr>
          <w:p>
            <w:pPr>
              <w:rPr>
                <w:sz w:val="2"/>
                <w:szCs w:val="2"/>
                <w:lang w:eastAsia="zh-CN"/>
              </w:rPr>
            </w:pPr>
          </w:p>
        </w:tc>
        <w:tc>
          <w:tcPr>
            <w:tcW w:w="1866" w:type="dxa"/>
          </w:tcPr>
          <w:p>
            <w:pPr>
              <w:pStyle w:val="20"/>
              <w:spacing w:before="8"/>
              <w:rPr>
                <w:rFonts w:ascii="方正小标宋简体"/>
                <w:sz w:val="10"/>
              </w:rPr>
            </w:pPr>
          </w:p>
          <w:p>
            <w:pPr>
              <w:pStyle w:val="20"/>
              <w:spacing w:line="247" w:lineRule="auto"/>
              <w:ind w:left="28" w:right="1"/>
              <w:jc w:val="both"/>
              <w:rPr>
                <w:sz w:val="14"/>
              </w:rPr>
            </w:pPr>
            <w:r>
              <w:rPr>
                <w:w w:val="105"/>
                <w:sz w:val="14"/>
              </w:rPr>
              <w:t>历史文化街区、名镇、名村核心保护范围内，拆除历史建筑以外的建筑物、构筑物或者其他设施审批。</w:t>
            </w:r>
          </w:p>
        </w:tc>
        <w:tc>
          <w:tcPr>
            <w:tcW w:w="1127" w:type="dxa"/>
          </w:tcPr>
          <w:p>
            <w:pPr>
              <w:pStyle w:val="20"/>
              <w:spacing w:before="15"/>
              <w:rPr>
                <w:rFonts w:ascii="方正小标宋简体"/>
                <w:sz w:val="15"/>
              </w:rPr>
            </w:pPr>
          </w:p>
          <w:p>
            <w:pPr>
              <w:pStyle w:val="20"/>
              <w:spacing w:line="249" w:lineRule="auto"/>
              <w:ind w:left="44" w:right="11"/>
              <w:jc w:val="center"/>
              <w:rPr>
                <w:w w:val="105"/>
                <w:sz w:val="14"/>
              </w:rPr>
            </w:pPr>
            <w:r>
              <w:rPr>
                <w:spacing w:val="2"/>
                <w:w w:val="105"/>
                <w:sz w:val="14"/>
              </w:rPr>
              <w:t>法定时限</w:t>
            </w:r>
            <w:r>
              <w:rPr>
                <w:w w:val="105"/>
                <w:sz w:val="14"/>
              </w:rPr>
              <w:t xml:space="preserve">：15 </w:t>
            </w:r>
          </w:p>
          <w:p>
            <w:pPr>
              <w:pStyle w:val="20"/>
              <w:spacing w:line="249" w:lineRule="auto"/>
              <w:ind w:left="44" w:right="11"/>
              <w:jc w:val="center"/>
              <w:rPr>
                <w:sz w:val="14"/>
              </w:rPr>
            </w:pPr>
            <w:r>
              <w:rPr>
                <w:spacing w:val="-1"/>
                <w:w w:val="105"/>
                <w:sz w:val="14"/>
              </w:rPr>
              <w:t>承诺时限：</w:t>
            </w:r>
            <w:r>
              <w:rPr>
                <w:w w:val="105"/>
                <w:sz w:val="14"/>
              </w:rPr>
              <w:t>10</w:t>
            </w:r>
          </w:p>
        </w:tc>
        <w:tc>
          <w:tcPr>
            <w:tcW w:w="911" w:type="dxa"/>
            <w:vMerge w:val="continue"/>
            <w:tcBorders>
              <w:top w:val="nil"/>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51" w:hRule="atLeast"/>
          <w:jc w:val="center"/>
        </w:trPr>
        <w:tc>
          <w:tcPr>
            <w:tcW w:w="350" w:type="dxa"/>
            <w:vMerge w:val="continue"/>
            <w:tcBorders>
              <w:top w:val="nil"/>
            </w:tcBorders>
          </w:tcPr>
          <w:p>
            <w:pPr>
              <w:rPr>
                <w:sz w:val="2"/>
                <w:szCs w:val="2"/>
                <w:lang w:eastAsia="zh-CN"/>
              </w:rPr>
            </w:pPr>
          </w:p>
        </w:tc>
        <w:tc>
          <w:tcPr>
            <w:tcW w:w="830" w:type="dxa"/>
            <w:vMerge w:val="continue"/>
            <w:tcBorders>
              <w:top w:val="nil"/>
            </w:tcBorders>
          </w:tcPr>
          <w:p>
            <w:pPr>
              <w:rPr>
                <w:sz w:val="2"/>
                <w:szCs w:val="2"/>
                <w:lang w:eastAsia="zh-CN"/>
              </w:rPr>
            </w:pPr>
          </w:p>
        </w:tc>
        <w:tc>
          <w:tcPr>
            <w:tcW w:w="1166" w:type="dxa"/>
            <w:vMerge w:val="continue"/>
            <w:tcBorders>
              <w:top w:val="nil"/>
            </w:tcBorders>
            <w:vAlign w:val="center"/>
          </w:tcPr>
          <w:p>
            <w:pPr>
              <w:jc w:val="both"/>
              <w:rPr>
                <w:sz w:val="2"/>
                <w:szCs w:val="2"/>
                <w:lang w:eastAsia="zh-CN"/>
              </w:rPr>
            </w:pPr>
          </w:p>
        </w:tc>
        <w:tc>
          <w:tcPr>
            <w:tcW w:w="1262" w:type="dxa"/>
            <w:vMerge w:val="continue"/>
            <w:tcBorders>
              <w:top w:val="nil"/>
            </w:tcBorders>
          </w:tcPr>
          <w:p>
            <w:pPr>
              <w:rPr>
                <w:sz w:val="2"/>
                <w:szCs w:val="2"/>
                <w:lang w:eastAsia="zh-CN"/>
              </w:rPr>
            </w:pPr>
          </w:p>
        </w:tc>
        <w:tc>
          <w:tcPr>
            <w:tcW w:w="6532" w:type="dxa"/>
            <w:vMerge w:val="continue"/>
            <w:tcBorders>
              <w:top w:val="nil"/>
            </w:tcBorders>
          </w:tcPr>
          <w:p>
            <w:pPr>
              <w:rPr>
                <w:sz w:val="2"/>
                <w:szCs w:val="2"/>
                <w:lang w:eastAsia="zh-CN"/>
              </w:rPr>
            </w:pPr>
          </w:p>
        </w:tc>
        <w:tc>
          <w:tcPr>
            <w:tcW w:w="1866"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4"/>
              <w:rPr>
                <w:rFonts w:ascii="方正小标宋简体"/>
                <w:sz w:val="14"/>
              </w:rPr>
            </w:pPr>
          </w:p>
          <w:p>
            <w:pPr>
              <w:pStyle w:val="20"/>
              <w:spacing w:before="1" w:line="247" w:lineRule="auto"/>
              <w:ind w:left="28"/>
              <w:jc w:val="both"/>
              <w:rPr>
                <w:sz w:val="14"/>
              </w:rPr>
            </w:pPr>
            <w:r>
              <w:rPr>
                <w:w w:val="105"/>
                <w:sz w:val="14"/>
              </w:rPr>
              <w:t>历史建筑外部修缮装饰、添加设施以及改变历史建筑的结构或者使用性质审批。</w:t>
            </w:r>
          </w:p>
        </w:tc>
        <w:tc>
          <w:tcPr>
            <w:tcW w:w="1127"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4"/>
              <w:rPr>
                <w:rFonts w:ascii="方正小标宋简体"/>
                <w:sz w:val="14"/>
              </w:rPr>
            </w:pPr>
          </w:p>
          <w:p>
            <w:pPr>
              <w:pStyle w:val="20"/>
              <w:spacing w:before="1" w:line="247" w:lineRule="auto"/>
              <w:ind w:left="44" w:right="11"/>
              <w:jc w:val="center"/>
              <w:rPr>
                <w:w w:val="105"/>
                <w:sz w:val="14"/>
              </w:rPr>
            </w:pPr>
            <w:r>
              <w:rPr>
                <w:spacing w:val="2"/>
                <w:w w:val="105"/>
                <w:sz w:val="14"/>
              </w:rPr>
              <w:t>法定时限</w:t>
            </w:r>
            <w:r>
              <w:rPr>
                <w:w w:val="105"/>
                <w:sz w:val="14"/>
              </w:rPr>
              <w:t xml:space="preserve">：15 </w:t>
            </w:r>
          </w:p>
          <w:p>
            <w:pPr>
              <w:pStyle w:val="20"/>
              <w:spacing w:before="1" w:line="247" w:lineRule="auto"/>
              <w:ind w:left="44" w:right="11"/>
              <w:jc w:val="center"/>
              <w:rPr>
                <w:sz w:val="14"/>
              </w:rPr>
            </w:pPr>
            <w:r>
              <w:rPr>
                <w:spacing w:val="-1"/>
                <w:w w:val="105"/>
                <w:sz w:val="14"/>
              </w:rPr>
              <w:t>承诺时限：</w:t>
            </w:r>
            <w:r>
              <w:rPr>
                <w:w w:val="105"/>
                <w:sz w:val="14"/>
              </w:rPr>
              <w:t>10</w:t>
            </w:r>
          </w:p>
        </w:tc>
        <w:tc>
          <w:tcPr>
            <w:tcW w:w="911" w:type="dxa"/>
            <w:vMerge w:val="continue"/>
            <w:tcBorders>
              <w:top w:val="nil"/>
            </w:tcBorders>
          </w:tcPr>
          <w:p>
            <w:pPr>
              <w:rPr>
                <w:sz w:val="2"/>
                <w:szCs w:val="2"/>
                <w:lang w:eastAsia="zh-CN"/>
              </w:rPr>
            </w:pPr>
          </w:p>
        </w:tc>
      </w:tr>
    </w:tbl>
    <w:p>
      <w:pPr>
        <w:spacing w:line="252" w:lineRule="auto"/>
        <w:rPr>
          <w:sz w:val="14"/>
        </w:rPr>
        <w:sectPr>
          <w:pgSz w:w="16840" w:h="11910" w:orient="landscape"/>
          <w:pgMar w:top="1000" w:right="980" w:bottom="1140" w:left="980" w:header="0" w:footer="94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spacing w:before="11"/>
              <w:rPr>
                <w:rFonts w:ascii="方正小标宋简体"/>
                <w:sz w:val="20"/>
              </w:rPr>
            </w:pPr>
          </w:p>
          <w:p>
            <w:pPr>
              <w:pStyle w:val="20"/>
              <w:ind w:left="23"/>
              <w:jc w:val="center"/>
              <w:rPr>
                <w:rFonts w:ascii="黑体" w:eastAsia="黑体"/>
                <w:sz w:val="14"/>
              </w:rPr>
            </w:pPr>
            <w:r>
              <w:rPr>
                <w:rFonts w:hint="eastAsia" w:ascii="黑体" w:eastAsia="黑体"/>
                <w:w w:val="105"/>
                <w:sz w:val="14"/>
              </w:rPr>
              <w:t>序号</w:t>
            </w:r>
          </w:p>
        </w:tc>
        <w:tc>
          <w:tcPr>
            <w:tcW w:w="830" w:type="dxa"/>
          </w:tcPr>
          <w:p>
            <w:pPr>
              <w:pStyle w:val="20"/>
              <w:spacing w:before="11"/>
              <w:rPr>
                <w:rFonts w:ascii="方正小标宋简体"/>
                <w:sz w:val="20"/>
              </w:rPr>
            </w:pPr>
          </w:p>
          <w:p>
            <w:pPr>
              <w:pStyle w:val="20"/>
              <w:ind w:left="117"/>
              <w:rPr>
                <w:rFonts w:ascii="黑体" w:eastAsia="黑体"/>
                <w:sz w:val="14"/>
              </w:rPr>
            </w:pPr>
            <w:r>
              <w:rPr>
                <w:rFonts w:hint="eastAsia" w:ascii="黑体" w:eastAsia="黑体"/>
                <w:w w:val="105"/>
                <w:sz w:val="14"/>
              </w:rPr>
              <w:t>事项名称</w:t>
            </w:r>
          </w:p>
        </w:tc>
        <w:tc>
          <w:tcPr>
            <w:tcW w:w="1166" w:type="dxa"/>
          </w:tcPr>
          <w:p>
            <w:pPr>
              <w:pStyle w:val="20"/>
              <w:spacing w:before="10"/>
              <w:rPr>
                <w:rFonts w:ascii="方正小标宋简体"/>
                <w:sz w:val="9"/>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62" w:type="dxa"/>
          </w:tcPr>
          <w:p>
            <w:pPr>
              <w:pStyle w:val="20"/>
              <w:spacing w:before="11"/>
              <w:rPr>
                <w:rFonts w:ascii="方正小标宋简体"/>
                <w:sz w:val="20"/>
              </w:rPr>
            </w:pPr>
          </w:p>
          <w:p>
            <w:pPr>
              <w:pStyle w:val="20"/>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spacing w:before="11"/>
              <w:rPr>
                <w:rFonts w:ascii="方正小标宋简体"/>
                <w:sz w:val="20"/>
              </w:rPr>
            </w:pPr>
          </w:p>
          <w:p>
            <w:pPr>
              <w:pStyle w:val="20"/>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5"/>
              <w:rPr>
                <w:rFonts w:ascii="方正小标宋简体"/>
                <w:sz w:val="15"/>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10"/>
              <w:rPr>
                <w:rFonts w:ascii="方正小标宋简体"/>
                <w:sz w:val="9"/>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8" w:line="252" w:lineRule="auto"/>
              <w:ind w:left="44" w:right="15"/>
              <w:jc w:val="center"/>
              <w:rPr>
                <w:rFonts w:ascii="黑体" w:eastAsia="黑体"/>
                <w:sz w:val="14"/>
              </w:rPr>
            </w:pPr>
            <w:r>
              <w:rPr>
                <w:rFonts w:hint="eastAsia" w:ascii="黑体" w:eastAsia="黑体"/>
                <w:w w:val="105"/>
                <w:sz w:val="14"/>
              </w:rPr>
              <w:t>办理时限（工作日）</w:t>
            </w:r>
          </w:p>
        </w:tc>
        <w:tc>
          <w:tcPr>
            <w:tcW w:w="911" w:type="dxa"/>
            <w:vAlign w:val="center"/>
          </w:tcPr>
          <w:p>
            <w:pPr>
              <w:pStyle w:val="20"/>
              <w:jc w:val="center"/>
              <w:rPr>
                <w:rFonts w:ascii="方正小标宋简体"/>
                <w:sz w:val="15"/>
              </w:rPr>
            </w:pPr>
          </w:p>
          <w:p>
            <w:pPr>
              <w:pStyle w:val="20"/>
              <w:spacing w:line="242" w:lineRule="auto"/>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31" w:hRule="atLeast"/>
          <w:jc w:val="center"/>
        </w:trPr>
        <w:tc>
          <w:tcPr>
            <w:tcW w:w="350" w:type="dxa"/>
          </w:tcPr>
          <w:p>
            <w:pPr>
              <w:pStyle w:val="20"/>
              <w:rPr>
                <w:rFonts w:ascii="方正小标宋简体"/>
                <w:sz w:val="14"/>
              </w:rPr>
            </w:pPr>
          </w:p>
          <w:p>
            <w:pPr>
              <w:pStyle w:val="20"/>
              <w:spacing w:before="3"/>
              <w:rPr>
                <w:rFonts w:ascii="方正小标宋简体"/>
                <w:sz w:val="15"/>
              </w:rPr>
            </w:pPr>
          </w:p>
          <w:p>
            <w:pPr>
              <w:pStyle w:val="20"/>
              <w:ind w:left="28"/>
              <w:jc w:val="center"/>
              <w:rPr>
                <w:rFonts w:hint="eastAsia" w:eastAsia="宋体"/>
                <w:sz w:val="14"/>
                <w:lang w:eastAsia="zh-CN"/>
              </w:rPr>
            </w:pPr>
            <w:r>
              <w:rPr>
                <w:rFonts w:hint="eastAsia"/>
                <w:w w:val="105"/>
                <w:sz w:val="14"/>
                <w:lang w:val="en-US" w:eastAsia="zh-CN"/>
              </w:rPr>
              <w:t>6</w:t>
            </w:r>
          </w:p>
        </w:tc>
        <w:tc>
          <w:tcPr>
            <w:tcW w:w="830" w:type="dxa"/>
          </w:tcPr>
          <w:p>
            <w:pPr>
              <w:pStyle w:val="20"/>
              <w:rPr>
                <w:rFonts w:ascii="方正小标宋简体"/>
                <w:sz w:val="14"/>
              </w:rPr>
            </w:pPr>
          </w:p>
          <w:p>
            <w:pPr>
              <w:pStyle w:val="20"/>
              <w:spacing w:before="13"/>
              <w:rPr>
                <w:rFonts w:ascii="方正小标宋简体"/>
                <w:sz w:val="9"/>
              </w:rPr>
            </w:pPr>
          </w:p>
          <w:p>
            <w:pPr>
              <w:pStyle w:val="20"/>
              <w:spacing w:line="244" w:lineRule="auto"/>
              <w:ind w:left="343" w:right="28" w:hanging="303"/>
              <w:rPr>
                <w:sz w:val="14"/>
              </w:rPr>
            </w:pPr>
            <w:r>
              <w:rPr>
                <w:w w:val="105"/>
                <w:sz w:val="14"/>
              </w:rPr>
              <w:t>用地规划核验</w:t>
            </w:r>
          </w:p>
        </w:tc>
        <w:tc>
          <w:tcPr>
            <w:tcW w:w="1166" w:type="dxa"/>
          </w:tcPr>
          <w:p>
            <w:pPr>
              <w:pStyle w:val="20"/>
              <w:numPr>
                <w:ilvl w:val="0"/>
                <w:numId w:val="1"/>
              </w:numPr>
              <w:tabs>
                <w:tab w:val="left" w:pos="181"/>
              </w:tabs>
              <w:spacing w:before="119" w:line="177" w:lineRule="exact"/>
              <w:ind w:right="75" w:firstLine="0"/>
              <w:jc w:val="left"/>
              <w:rPr>
                <w:sz w:val="14"/>
              </w:rPr>
            </w:pPr>
            <w:r>
              <w:rPr>
                <w:spacing w:val="-3"/>
                <w:w w:val="105"/>
                <w:sz w:val="14"/>
              </w:rPr>
              <w:t>建设工程竣工</w:t>
            </w:r>
            <w:r>
              <w:rPr>
                <w:w w:val="105"/>
                <w:sz w:val="14"/>
              </w:rPr>
              <w:t>规划核实（15日）</w:t>
            </w:r>
          </w:p>
          <w:p>
            <w:pPr>
              <w:pStyle w:val="20"/>
              <w:numPr>
                <w:ilvl w:val="0"/>
                <w:numId w:val="1"/>
              </w:numPr>
              <w:tabs>
                <w:tab w:val="left" w:pos="181"/>
              </w:tabs>
              <w:spacing w:before="8" w:line="249" w:lineRule="auto"/>
              <w:ind w:right="75" w:firstLine="0"/>
              <w:rPr>
                <w:sz w:val="14"/>
              </w:rPr>
            </w:pPr>
            <w:r>
              <w:rPr>
                <w:spacing w:val="-3"/>
                <w:w w:val="105"/>
                <w:sz w:val="14"/>
              </w:rPr>
              <w:t>建设用地检查</w:t>
            </w:r>
            <w:r>
              <w:rPr>
                <w:spacing w:val="3"/>
                <w:w w:val="105"/>
                <w:sz w:val="14"/>
              </w:rPr>
              <w:t>核验</w:t>
            </w:r>
            <w:r>
              <w:rPr>
                <w:w w:val="105"/>
                <w:sz w:val="14"/>
              </w:rPr>
              <w:t>（5</w:t>
            </w:r>
            <w:r>
              <w:rPr>
                <w:spacing w:val="6"/>
                <w:w w:val="105"/>
                <w:sz w:val="14"/>
              </w:rPr>
              <w:t>日</w:t>
            </w:r>
            <w:r>
              <w:rPr>
                <w:w w:val="105"/>
                <w:sz w:val="14"/>
              </w:rPr>
              <w:t>）</w:t>
            </w:r>
          </w:p>
        </w:tc>
        <w:tc>
          <w:tcPr>
            <w:tcW w:w="1262" w:type="dxa"/>
          </w:tcPr>
          <w:p>
            <w:pPr>
              <w:pStyle w:val="20"/>
              <w:rPr>
                <w:rFonts w:ascii="方正小标宋简体"/>
                <w:sz w:val="14"/>
              </w:rPr>
            </w:pPr>
          </w:p>
          <w:p>
            <w:pPr>
              <w:pStyle w:val="20"/>
              <w:spacing w:before="3"/>
              <w:rPr>
                <w:rFonts w:ascii="方正小标宋简体"/>
                <w:sz w:val="15"/>
              </w:rPr>
            </w:pPr>
          </w:p>
          <w:p>
            <w:pPr>
              <w:pStyle w:val="20"/>
              <w:ind w:left="32" w:right="15"/>
              <w:jc w:val="center"/>
              <w:rPr>
                <w:sz w:val="14"/>
              </w:rPr>
            </w:pPr>
            <w:r>
              <w:rPr>
                <w:w w:val="105"/>
                <w:sz w:val="14"/>
              </w:rPr>
              <w:t>竣工规划勘验</w:t>
            </w:r>
          </w:p>
        </w:tc>
        <w:tc>
          <w:tcPr>
            <w:tcW w:w="6532" w:type="dxa"/>
          </w:tcPr>
          <w:p>
            <w:pPr>
              <w:pStyle w:val="20"/>
              <w:spacing w:before="119"/>
              <w:ind w:left="27"/>
              <w:jc w:val="both"/>
              <w:rPr>
                <w:sz w:val="14"/>
              </w:rPr>
            </w:pPr>
            <w:r>
              <w:rPr>
                <w:w w:val="105"/>
                <w:sz w:val="14"/>
              </w:rPr>
              <w:t>【行政法规】《山东省城乡规划条例》（2012年8月通过，2018年9月修正）</w:t>
            </w:r>
          </w:p>
          <w:p>
            <w:pPr>
              <w:pStyle w:val="20"/>
              <w:spacing w:before="8" w:line="249" w:lineRule="auto"/>
              <w:ind w:left="27" w:right="11"/>
              <w:jc w:val="both"/>
              <w:rPr>
                <w:sz w:val="14"/>
              </w:rPr>
            </w:pPr>
            <w:r>
              <w:rPr>
                <w:w w:val="105"/>
                <w:sz w:val="14"/>
              </w:rPr>
              <w:t>第五十三条：建设工程竣工后，建设单位和个人应当向城市、县城乡规划主管部门申请竣工规划核实。城乡规划主管部门应当通过政府向社会购买服务方式 ，委托具备相应条件的单位对建设工程进行竣工规划勘验，并出具竣工勘验测绘报告；对经审核符合规划许可内容的，核发建设工程竣工规划核实认可文件。</w:t>
            </w:r>
          </w:p>
        </w:tc>
        <w:tc>
          <w:tcPr>
            <w:tcW w:w="1866" w:type="dxa"/>
          </w:tcPr>
          <w:p>
            <w:pPr>
              <w:pStyle w:val="20"/>
              <w:rPr>
                <w:rFonts w:ascii="方正小标宋简体"/>
                <w:sz w:val="14"/>
              </w:rPr>
            </w:pPr>
          </w:p>
          <w:p>
            <w:pPr>
              <w:pStyle w:val="20"/>
              <w:spacing w:before="13"/>
              <w:rPr>
                <w:rFonts w:ascii="方正小标宋简体"/>
                <w:sz w:val="9"/>
              </w:rPr>
            </w:pPr>
          </w:p>
          <w:p>
            <w:pPr>
              <w:pStyle w:val="20"/>
              <w:spacing w:line="244" w:lineRule="auto"/>
              <w:ind w:left="28" w:right="21"/>
              <w:rPr>
                <w:sz w:val="14"/>
              </w:rPr>
            </w:pPr>
            <w:r>
              <w:rPr>
                <w:w w:val="105"/>
                <w:sz w:val="14"/>
              </w:rPr>
              <w:t>需要办理该审批服务事项的项目。</w:t>
            </w:r>
          </w:p>
        </w:tc>
        <w:tc>
          <w:tcPr>
            <w:tcW w:w="1127" w:type="dxa"/>
          </w:tcPr>
          <w:p>
            <w:pPr>
              <w:pStyle w:val="20"/>
              <w:spacing w:before="2"/>
              <w:rPr>
                <w:rFonts w:ascii="方正小标宋简体"/>
                <w:sz w:val="18"/>
              </w:rPr>
            </w:pPr>
          </w:p>
          <w:p>
            <w:pPr>
              <w:pStyle w:val="20"/>
              <w:spacing w:line="249" w:lineRule="auto"/>
              <w:ind w:left="44" w:right="11"/>
              <w:jc w:val="center"/>
              <w:rPr>
                <w:w w:val="105"/>
                <w:sz w:val="14"/>
              </w:rPr>
            </w:pPr>
            <w:r>
              <w:rPr>
                <w:spacing w:val="2"/>
                <w:w w:val="105"/>
                <w:sz w:val="14"/>
              </w:rPr>
              <w:t>法定时限</w:t>
            </w:r>
            <w:r>
              <w:rPr>
                <w:w w:val="105"/>
                <w:sz w:val="14"/>
              </w:rPr>
              <w:t xml:space="preserve">：20 </w:t>
            </w:r>
          </w:p>
          <w:p>
            <w:pPr>
              <w:pStyle w:val="20"/>
              <w:spacing w:line="249" w:lineRule="auto"/>
              <w:ind w:left="44" w:right="11"/>
              <w:jc w:val="center"/>
              <w:rPr>
                <w:sz w:val="14"/>
              </w:rPr>
            </w:pPr>
            <w:r>
              <w:rPr>
                <w:spacing w:val="-1"/>
                <w:w w:val="105"/>
                <w:sz w:val="14"/>
              </w:rPr>
              <w:t>承诺时限：</w:t>
            </w:r>
            <w:r>
              <w:rPr>
                <w:w w:val="105"/>
                <w:sz w:val="14"/>
              </w:rPr>
              <w:t>10</w:t>
            </w:r>
          </w:p>
        </w:tc>
        <w:tc>
          <w:tcPr>
            <w:tcW w:w="911" w:type="dxa"/>
            <w:vAlign w:val="center"/>
          </w:tcPr>
          <w:p>
            <w:pPr>
              <w:pStyle w:val="20"/>
              <w:spacing w:line="245" w:lineRule="auto"/>
              <w:jc w:val="both"/>
              <w:rPr>
                <w:sz w:val="14"/>
              </w:rPr>
            </w:pPr>
            <w:r>
              <w:rPr>
                <w:rFonts w:hint="eastAsia"/>
                <w:sz w:val="14"/>
              </w:rPr>
              <w:t>区</w:t>
            </w:r>
            <w:r>
              <w:rPr>
                <w:sz w:val="14"/>
              </w:rPr>
              <w:t>自然资源局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295" w:hRule="atLeast"/>
          <w:jc w:val="center"/>
        </w:trPr>
        <w:tc>
          <w:tcPr>
            <w:tcW w:w="350"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1"/>
              <w:rPr>
                <w:rFonts w:ascii="方正小标宋简体"/>
                <w:sz w:val="13"/>
              </w:rPr>
            </w:pPr>
          </w:p>
          <w:p>
            <w:pPr>
              <w:pStyle w:val="20"/>
              <w:ind w:left="107"/>
              <w:rPr>
                <w:rFonts w:hint="eastAsia" w:eastAsia="宋体"/>
                <w:sz w:val="14"/>
                <w:lang w:eastAsia="zh-CN"/>
              </w:rPr>
            </w:pPr>
            <w:r>
              <w:rPr>
                <w:rFonts w:hint="eastAsia"/>
                <w:w w:val="105"/>
                <w:sz w:val="14"/>
                <w:lang w:val="en-US" w:eastAsia="zh-CN"/>
              </w:rPr>
              <w:t>7</w:t>
            </w:r>
          </w:p>
        </w:tc>
        <w:tc>
          <w:tcPr>
            <w:tcW w:w="830"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0"/>
              <w:rPr>
                <w:rFonts w:ascii="方正小标宋简体"/>
                <w:sz w:val="16"/>
              </w:rPr>
            </w:pPr>
          </w:p>
          <w:p>
            <w:pPr>
              <w:pStyle w:val="20"/>
              <w:spacing w:line="249" w:lineRule="auto"/>
              <w:ind w:left="40" w:right="28"/>
              <w:jc w:val="center"/>
              <w:rPr>
                <w:sz w:val="14"/>
              </w:rPr>
            </w:pPr>
            <w:r>
              <w:rPr>
                <w:w w:val="105"/>
                <w:sz w:val="14"/>
              </w:rPr>
              <w:t>建设工程消防验收或备案</w:t>
            </w:r>
          </w:p>
        </w:tc>
        <w:tc>
          <w:tcPr>
            <w:tcW w:w="1166" w:type="dxa"/>
          </w:tcPr>
          <w:p>
            <w:pPr>
              <w:pStyle w:val="20"/>
              <w:rPr>
                <w:rFonts w:ascii="方正小标宋简体"/>
                <w:sz w:val="14"/>
              </w:rPr>
            </w:pPr>
          </w:p>
          <w:p>
            <w:pPr>
              <w:pStyle w:val="20"/>
              <w:rPr>
                <w:rFonts w:ascii="方正小标宋简体"/>
                <w:sz w:val="14"/>
              </w:rPr>
            </w:pPr>
          </w:p>
          <w:p>
            <w:pPr>
              <w:pStyle w:val="20"/>
              <w:spacing w:before="4"/>
              <w:rPr>
                <w:rFonts w:ascii="方正小标宋简体"/>
                <w:sz w:val="18"/>
              </w:rPr>
            </w:pPr>
          </w:p>
          <w:p>
            <w:pPr>
              <w:pStyle w:val="20"/>
              <w:spacing w:line="252" w:lineRule="auto"/>
              <w:ind w:left="27" w:right="79"/>
              <w:rPr>
                <w:sz w:val="14"/>
              </w:rPr>
            </w:pPr>
            <w:r>
              <w:rPr>
                <w:w w:val="105"/>
                <w:sz w:val="14"/>
              </w:rPr>
              <w:t>建设工程消防验收（15日）</w:t>
            </w:r>
          </w:p>
        </w:tc>
        <w:tc>
          <w:tcPr>
            <w:tcW w:w="1262"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5"/>
              <w:rPr>
                <w:rFonts w:ascii="方正小标宋简体"/>
                <w:sz w:val="9"/>
              </w:rPr>
            </w:pPr>
          </w:p>
          <w:p>
            <w:pPr>
              <w:pStyle w:val="20"/>
              <w:ind w:left="32" w:right="16"/>
              <w:jc w:val="center"/>
              <w:rPr>
                <w:sz w:val="14"/>
              </w:rPr>
            </w:pPr>
            <w:r>
              <w:rPr>
                <w:w w:val="105"/>
                <w:sz w:val="14"/>
              </w:rPr>
              <w:t>现场评定</w:t>
            </w:r>
          </w:p>
        </w:tc>
        <w:tc>
          <w:tcPr>
            <w:tcW w:w="6532" w:type="dxa"/>
          </w:tcPr>
          <w:p>
            <w:pPr>
              <w:pStyle w:val="20"/>
              <w:spacing w:before="11"/>
              <w:rPr>
                <w:rFonts w:ascii="方正小标宋简体"/>
                <w:sz w:val="7"/>
              </w:rPr>
            </w:pPr>
          </w:p>
          <w:p>
            <w:pPr>
              <w:pStyle w:val="20"/>
              <w:spacing w:line="249" w:lineRule="auto"/>
              <w:ind w:left="27" w:right="146"/>
              <w:jc w:val="both"/>
              <w:rPr>
                <w:sz w:val="14"/>
              </w:rPr>
            </w:pPr>
            <w:r>
              <w:rPr>
                <w:w w:val="105"/>
                <w:sz w:val="14"/>
              </w:rPr>
              <w:t>【部门规章】《建设工程消防设计审查验收管理暂行规定》（住房和城乡建设部令第51号，2020 年4月发布）</w:t>
            </w:r>
          </w:p>
          <w:p>
            <w:pPr>
              <w:pStyle w:val="20"/>
              <w:spacing w:before="1" w:line="249" w:lineRule="auto"/>
              <w:ind w:left="27" w:right="147"/>
              <w:jc w:val="both"/>
              <w:rPr>
                <w:sz w:val="14"/>
              </w:rPr>
            </w:pPr>
            <w:r>
              <w:rPr>
                <w:w w:val="105"/>
                <w:sz w:val="14"/>
              </w:rPr>
              <w:t>第二十九条 消防设计审查验收主管部门受理消防验收申请后，应当按照国家有关规定，对特殊建设工程进行现场评定。</w:t>
            </w:r>
          </w:p>
          <w:p>
            <w:pPr>
              <w:pStyle w:val="20"/>
              <w:spacing w:before="1" w:line="242" w:lineRule="auto"/>
              <w:ind w:left="27" w:right="152"/>
              <w:jc w:val="both"/>
              <w:rPr>
                <w:sz w:val="14"/>
              </w:rPr>
            </w:pPr>
            <w:r>
              <w:rPr>
                <w:w w:val="105"/>
                <w:sz w:val="14"/>
              </w:rPr>
              <w:t>【政策文件】住房和城乡建设部关于印发《建设工程消防设计审查验收工作细则》和《建设工程消防设计审查、消防验收、备案和抽查文书式样》的通知(建科规〔2020〕5号)</w:t>
            </w:r>
          </w:p>
          <w:p>
            <w:pPr>
              <w:pStyle w:val="20"/>
              <w:spacing w:before="7" w:line="249" w:lineRule="auto"/>
              <w:ind w:left="27" w:right="171"/>
              <w:jc w:val="both"/>
              <w:rPr>
                <w:sz w:val="14"/>
              </w:rPr>
            </w:pPr>
            <w:r>
              <w:rPr>
                <w:w w:val="105"/>
                <w:sz w:val="14"/>
              </w:rPr>
              <w:t>第十七条 消防设计审查验收主管部门可以委托具备相应能力的技术服务机构开展特殊建设工程消防验收的消防设施检测、现场评定，并形成意见或者报告，作为出具特殊建设工程消防验收意见的依据。</w:t>
            </w:r>
          </w:p>
        </w:tc>
        <w:tc>
          <w:tcPr>
            <w:tcW w:w="1866"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5"/>
              <w:rPr>
                <w:rFonts w:ascii="方正小标宋简体"/>
                <w:sz w:val="9"/>
              </w:rPr>
            </w:pPr>
          </w:p>
          <w:p>
            <w:pPr>
              <w:pStyle w:val="20"/>
              <w:ind w:left="28"/>
              <w:rPr>
                <w:sz w:val="14"/>
              </w:rPr>
            </w:pPr>
            <w:r>
              <w:rPr>
                <w:w w:val="105"/>
                <w:sz w:val="14"/>
              </w:rPr>
              <w:t>特殊建设工程。</w:t>
            </w:r>
          </w:p>
        </w:tc>
        <w:tc>
          <w:tcPr>
            <w:tcW w:w="1127" w:type="dxa"/>
          </w:tcPr>
          <w:p>
            <w:pPr>
              <w:pStyle w:val="20"/>
              <w:rPr>
                <w:rFonts w:ascii="方正小标宋简体"/>
                <w:sz w:val="14"/>
              </w:rPr>
            </w:pPr>
          </w:p>
          <w:p>
            <w:pPr>
              <w:pStyle w:val="20"/>
              <w:rPr>
                <w:rFonts w:ascii="方正小标宋简体"/>
                <w:sz w:val="14"/>
              </w:rPr>
            </w:pPr>
          </w:p>
          <w:p>
            <w:pPr>
              <w:pStyle w:val="20"/>
              <w:spacing w:before="14"/>
              <w:rPr>
                <w:rFonts w:ascii="方正小标宋简体"/>
                <w:sz w:val="12"/>
              </w:rPr>
            </w:pPr>
          </w:p>
          <w:p>
            <w:pPr>
              <w:pStyle w:val="20"/>
              <w:spacing w:line="247" w:lineRule="auto"/>
              <w:ind w:left="44" w:right="11"/>
              <w:jc w:val="center"/>
              <w:rPr>
                <w:w w:val="105"/>
                <w:sz w:val="14"/>
              </w:rPr>
            </w:pPr>
            <w:r>
              <w:rPr>
                <w:spacing w:val="2"/>
                <w:w w:val="105"/>
                <w:sz w:val="14"/>
              </w:rPr>
              <w:t>法定时限</w:t>
            </w:r>
            <w:r>
              <w:rPr>
                <w:w w:val="105"/>
                <w:sz w:val="14"/>
              </w:rPr>
              <w:t xml:space="preserve">：15 </w:t>
            </w:r>
          </w:p>
          <w:p>
            <w:pPr>
              <w:pStyle w:val="20"/>
              <w:spacing w:line="247" w:lineRule="auto"/>
              <w:ind w:left="44" w:right="11"/>
              <w:jc w:val="center"/>
              <w:rPr>
                <w:sz w:val="14"/>
              </w:rPr>
            </w:pPr>
            <w:r>
              <w:rPr>
                <w:spacing w:val="-1"/>
                <w:w w:val="105"/>
                <w:sz w:val="14"/>
              </w:rPr>
              <w:t>承诺时限：</w:t>
            </w:r>
            <w:r>
              <w:rPr>
                <w:w w:val="105"/>
                <w:sz w:val="14"/>
              </w:rPr>
              <w:t>7</w:t>
            </w:r>
          </w:p>
        </w:tc>
        <w:tc>
          <w:tcPr>
            <w:tcW w:w="911" w:type="dxa"/>
            <w:vMerge w:val="restart"/>
            <w:vAlign w:val="center"/>
          </w:tcPr>
          <w:p>
            <w:pPr>
              <w:pStyle w:val="20"/>
              <w:spacing w:line="242" w:lineRule="auto"/>
              <w:jc w:val="both"/>
              <w:rPr>
                <w:sz w:val="14"/>
              </w:rPr>
            </w:pPr>
            <w:r>
              <w:rPr>
                <w:rFonts w:hint="eastAsia"/>
                <w:sz w:val="14"/>
              </w:rPr>
              <w:t>区</w:t>
            </w:r>
            <w:r>
              <w:rPr>
                <w:sz w:val="14"/>
              </w:rPr>
              <w:t>住房城乡建设局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50"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166" w:type="dxa"/>
          </w:tcPr>
          <w:p>
            <w:pPr>
              <w:pStyle w:val="20"/>
              <w:spacing w:before="81" w:line="252" w:lineRule="auto"/>
              <w:ind w:left="27" w:right="79"/>
              <w:rPr>
                <w:sz w:val="14"/>
              </w:rPr>
            </w:pPr>
            <w:r>
              <w:rPr>
                <w:w w:val="105"/>
                <w:sz w:val="14"/>
              </w:rPr>
              <w:t>其他建设工程消防验收备案抽查</w:t>
            </w:r>
            <w:r>
              <w:rPr>
                <w:spacing w:val="6"/>
                <w:w w:val="105"/>
                <w:sz w:val="14"/>
              </w:rPr>
              <w:t>（</w:t>
            </w:r>
            <w:r>
              <w:rPr>
                <w:spacing w:val="-3"/>
                <w:w w:val="105"/>
                <w:sz w:val="14"/>
              </w:rPr>
              <w:t>不含房屋市政</w:t>
            </w:r>
            <w:r>
              <w:rPr>
                <w:spacing w:val="1"/>
                <w:w w:val="105"/>
                <w:sz w:val="14"/>
              </w:rPr>
              <w:t>类工程</w:t>
            </w:r>
            <w:r>
              <w:rPr>
                <w:spacing w:val="4"/>
                <w:w w:val="105"/>
                <w:sz w:val="14"/>
              </w:rPr>
              <w:t>）（</w:t>
            </w:r>
            <w:r>
              <w:rPr>
                <w:w w:val="105"/>
                <w:sz w:val="14"/>
              </w:rPr>
              <w:t>即</w:t>
            </w:r>
            <w:r>
              <w:rPr>
                <w:spacing w:val="6"/>
                <w:w w:val="105"/>
                <w:sz w:val="14"/>
              </w:rPr>
              <w:t>办</w:t>
            </w:r>
            <w:r>
              <w:rPr>
                <w:w w:val="105"/>
                <w:sz w:val="14"/>
              </w:rPr>
              <w:t>）</w:t>
            </w:r>
          </w:p>
        </w:tc>
        <w:tc>
          <w:tcPr>
            <w:tcW w:w="1262" w:type="dxa"/>
          </w:tcPr>
          <w:p>
            <w:pPr>
              <w:pStyle w:val="20"/>
              <w:rPr>
                <w:rFonts w:ascii="方正小标宋简体"/>
                <w:sz w:val="14"/>
              </w:rPr>
            </w:pPr>
          </w:p>
          <w:p>
            <w:pPr>
              <w:pStyle w:val="20"/>
              <w:spacing w:before="15"/>
              <w:rPr>
                <w:rFonts w:ascii="方正小标宋简体"/>
                <w:sz w:val="12"/>
              </w:rPr>
            </w:pPr>
          </w:p>
          <w:p>
            <w:pPr>
              <w:pStyle w:val="20"/>
              <w:spacing w:before="1"/>
              <w:ind w:left="20"/>
              <w:jc w:val="center"/>
              <w:rPr>
                <w:sz w:val="14"/>
              </w:rPr>
            </w:pPr>
            <w:r>
              <w:rPr>
                <w:w w:val="104"/>
                <w:sz w:val="14"/>
              </w:rPr>
              <w:t>无</w:t>
            </w:r>
          </w:p>
        </w:tc>
        <w:tc>
          <w:tcPr>
            <w:tcW w:w="6532" w:type="dxa"/>
          </w:tcPr>
          <w:p>
            <w:pPr>
              <w:pStyle w:val="20"/>
              <w:rPr>
                <w:rFonts w:ascii="方正小标宋简体"/>
                <w:sz w:val="14"/>
              </w:rPr>
            </w:pPr>
          </w:p>
          <w:p>
            <w:pPr>
              <w:pStyle w:val="20"/>
              <w:spacing w:before="15"/>
              <w:rPr>
                <w:rFonts w:ascii="方正小标宋简体"/>
                <w:sz w:val="12"/>
              </w:rPr>
            </w:pPr>
          </w:p>
          <w:p>
            <w:pPr>
              <w:pStyle w:val="20"/>
              <w:spacing w:before="1"/>
              <w:ind w:left="24"/>
              <w:jc w:val="center"/>
              <w:rPr>
                <w:sz w:val="14"/>
              </w:rPr>
            </w:pPr>
            <w:r>
              <w:rPr>
                <w:w w:val="104"/>
                <w:sz w:val="14"/>
              </w:rPr>
              <w:t>/</w:t>
            </w:r>
          </w:p>
        </w:tc>
        <w:tc>
          <w:tcPr>
            <w:tcW w:w="1866" w:type="dxa"/>
          </w:tcPr>
          <w:p>
            <w:pPr>
              <w:pStyle w:val="20"/>
              <w:rPr>
                <w:rFonts w:ascii="方正小标宋简体"/>
                <w:sz w:val="14"/>
              </w:rPr>
            </w:pPr>
          </w:p>
          <w:p>
            <w:pPr>
              <w:pStyle w:val="20"/>
              <w:spacing w:before="15"/>
              <w:rPr>
                <w:rFonts w:ascii="方正小标宋简体"/>
                <w:sz w:val="12"/>
              </w:rPr>
            </w:pPr>
          </w:p>
          <w:p>
            <w:pPr>
              <w:pStyle w:val="20"/>
              <w:spacing w:before="1"/>
              <w:ind w:left="26"/>
              <w:jc w:val="center"/>
              <w:rPr>
                <w:sz w:val="14"/>
              </w:rPr>
            </w:pPr>
            <w:r>
              <w:rPr>
                <w:w w:val="104"/>
                <w:sz w:val="14"/>
              </w:rPr>
              <w:t>/</w:t>
            </w:r>
          </w:p>
        </w:tc>
        <w:tc>
          <w:tcPr>
            <w:tcW w:w="1127" w:type="dxa"/>
          </w:tcPr>
          <w:p>
            <w:pPr>
              <w:pStyle w:val="20"/>
              <w:rPr>
                <w:rFonts w:ascii="方正小标宋简体"/>
                <w:sz w:val="14"/>
              </w:rPr>
            </w:pPr>
          </w:p>
          <w:p>
            <w:pPr>
              <w:pStyle w:val="20"/>
              <w:spacing w:before="15"/>
              <w:rPr>
                <w:rFonts w:ascii="方正小标宋简体"/>
                <w:sz w:val="12"/>
              </w:rPr>
            </w:pPr>
          </w:p>
          <w:p>
            <w:pPr>
              <w:pStyle w:val="20"/>
              <w:spacing w:before="1"/>
              <w:ind w:left="534"/>
              <w:rPr>
                <w:sz w:val="14"/>
              </w:rPr>
            </w:pPr>
            <w:r>
              <w:rPr>
                <w:w w:val="104"/>
                <w:sz w:val="14"/>
              </w:rPr>
              <w:t>/</w:t>
            </w:r>
          </w:p>
        </w:tc>
        <w:tc>
          <w:tcPr>
            <w:tcW w:w="911" w:type="dxa"/>
            <w:vMerge w:val="continue"/>
            <w:tcBorders>
              <w:top w:val="nil"/>
            </w:tcBorders>
            <w:vAlign w:val="center"/>
          </w:tcPr>
          <w:p>
            <w:pPr>
              <w:jc w:val="both"/>
              <w:rPr>
                <w:sz w:val="2"/>
                <w:szCs w:val="2"/>
              </w:rPr>
            </w:pPr>
          </w:p>
        </w:tc>
      </w:tr>
    </w:tbl>
    <w:p>
      <w:pPr>
        <w:rPr>
          <w:sz w:val="2"/>
          <w:szCs w:val="2"/>
        </w:rPr>
        <w:sectPr>
          <w:pgSz w:w="16840" w:h="11910" w:orient="landscape"/>
          <w:pgMar w:top="1000" w:right="980" w:bottom="1140" w:left="980" w:header="0" w:footer="94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395"/>
        <w:gridCol w:w="1033"/>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spacing w:before="11"/>
              <w:rPr>
                <w:rFonts w:ascii="方正小标宋简体"/>
                <w:sz w:val="20"/>
              </w:rPr>
            </w:pPr>
          </w:p>
          <w:p>
            <w:pPr>
              <w:pStyle w:val="20"/>
              <w:ind w:left="23"/>
              <w:jc w:val="center"/>
              <w:rPr>
                <w:rFonts w:ascii="黑体" w:eastAsia="黑体"/>
                <w:sz w:val="14"/>
              </w:rPr>
            </w:pPr>
            <w:r>
              <w:rPr>
                <w:rFonts w:hint="eastAsia" w:ascii="黑体" w:eastAsia="黑体"/>
                <w:w w:val="105"/>
                <w:sz w:val="14"/>
              </w:rPr>
              <w:t>序号</w:t>
            </w:r>
          </w:p>
        </w:tc>
        <w:tc>
          <w:tcPr>
            <w:tcW w:w="830" w:type="dxa"/>
          </w:tcPr>
          <w:p>
            <w:pPr>
              <w:pStyle w:val="20"/>
              <w:spacing w:before="11"/>
              <w:rPr>
                <w:rFonts w:ascii="方正小标宋简体"/>
                <w:sz w:val="20"/>
              </w:rPr>
            </w:pPr>
          </w:p>
          <w:p>
            <w:pPr>
              <w:pStyle w:val="20"/>
              <w:ind w:left="117"/>
              <w:rPr>
                <w:rFonts w:ascii="黑体" w:eastAsia="黑体"/>
                <w:sz w:val="14"/>
              </w:rPr>
            </w:pPr>
            <w:r>
              <w:rPr>
                <w:rFonts w:hint="eastAsia" w:ascii="黑体" w:eastAsia="黑体"/>
                <w:w w:val="105"/>
                <w:sz w:val="14"/>
              </w:rPr>
              <w:t>事项名称</w:t>
            </w:r>
          </w:p>
        </w:tc>
        <w:tc>
          <w:tcPr>
            <w:tcW w:w="1395" w:type="dxa"/>
          </w:tcPr>
          <w:p>
            <w:pPr>
              <w:pStyle w:val="20"/>
              <w:spacing w:before="10"/>
              <w:rPr>
                <w:rFonts w:ascii="方正小标宋简体"/>
                <w:sz w:val="9"/>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033" w:type="dxa"/>
          </w:tcPr>
          <w:p>
            <w:pPr>
              <w:pStyle w:val="20"/>
              <w:spacing w:before="11"/>
              <w:rPr>
                <w:rFonts w:ascii="方正小标宋简体"/>
                <w:sz w:val="20"/>
              </w:rPr>
            </w:pPr>
          </w:p>
          <w:p>
            <w:pPr>
              <w:pStyle w:val="20"/>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spacing w:before="11"/>
              <w:rPr>
                <w:rFonts w:ascii="方正小标宋简体"/>
                <w:sz w:val="20"/>
              </w:rPr>
            </w:pPr>
          </w:p>
          <w:p>
            <w:pPr>
              <w:pStyle w:val="20"/>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5"/>
              <w:rPr>
                <w:rFonts w:ascii="方正小标宋简体"/>
                <w:sz w:val="15"/>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10"/>
              <w:rPr>
                <w:rFonts w:ascii="方正小标宋简体"/>
                <w:sz w:val="9"/>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8" w:line="252" w:lineRule="auto"/>
              <w:ind w:left="44" w:right="15"/>
              <w:jc w:val="center"/>
              <w:rPr>
                <w:rFonts w:ascii="黑体" w:eastAsia="黑体"/>
                <w:sz w:val="14"/>
              </w:rPr>
            </w:pPr>
            <w:r>
              <w:rPr>
                <w:rFonts w:hint="eastAsia" w:ascii="黑体" w:eastAsia="黑体"/>
                <w:w w:val="105"/>
                <w:sz w:val="14"/>
              </w:rPr>
              <w:t>办理时限（工作日）</w:t>
            </w:r>
          </w:p>
        </w:tc>
        <w:tc>
          <w:tcPr>
            <w:tcW w:w="911" w:type="dxa"/>
            <w:vAlign w:val="center"/>
          </w:tcPr>
          <w:p>
            <w:pPr>
              <w:pStyle w:val="20"/>
              <w:spacing w:before="5"/>
              <w:jc w:val="both"/>
              <w:rPr>
                <w:rFonts w:ascii="方正小标宋简体"/>
                <w:sz w:val="15"/>
              </w:rPr>
            </w:pPr>
          </w:p>
          <w:p>
            <w:pPr>
              <w:pStyle w:val="20"/>
              <w:spacing w:line="242" w:lineRule="auto"/>
              <w:ind w:left="391" w:right="61" w:hanging="303"/>
              <w:jc w:val="both"/>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01" w:hRule="atLeast"/>
          <w:jc w:val="center"/>
        </w:trPr>
        <w:tc>
          <w:tcPr>
            <w:tcW w:w="350"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9"/>
              <w:rPr>
                <w:rFonts w:ascii="方正小标宋简体"/>
                <w:sz w:val="12"/>
              </w:rPr>
            </w:pPr>
          </w:p>
          <w:p>
            <w:pPr>
              <w:pStyle w:val="20"/>
              <w:spacing w:before="1"/>
              <w:ind w:left="107"/>
              <w:rPr>
                <w:rFonts w:hint="eastAsia" w:eastAsia="宋体"/>
                <w:sz w:val="14"/>
                <w:lang w:eastAsia="zh-CN"/>
              </w:rPr>
            </w:pPr>
            <w:r>
              <w:rPr>
                <w:rFonts w:hint="eastAsia"/>
                <w:w w:val="105"/>
                <w:sz w:val="14"/>
                <w:lang w:val="en-US" w:eastAsia="zh-CN"/>
              </w:rPr>
              <w:t>8</w:t>
            </w:r>
          </w:p>
        </w:tc>
        <w:tc>
          <w:tcPr>
            <w:tcW w:w="830" w:type="dxa"/>
            <w:vMerge w:val="restart"/>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8"/>
              <w:rPr>
                <w:rFonts w:ascii="方正小标宋简体"/>
                <w:sz w:val="15"/>
              </w:rPr>
            </w:pPr>
          </w:p>
          <w:p>
            <w:pPr>
              <w:pStyle w:val="20"/>
              <w:spacing w:line="249" w:lineRule="auto"/>
              <w:ind w:left="40" w:right="28"/>
              <w:jc w:val="both"/>
              <w:rPr>
                <w:sz w:val="14"/>
              </w:rPr>
            </w:pPr>
            <w:r>
              <w:rPr>
                <w:w w:val="105"/>
                <w:sz w:val="14"/>
              </w:rPr>
              <w:t>建设项目环境影响评价审批备案</w:t>
            </w:r>
          </w:p>
        </w:tc>
        <w:tc>
          <w:tcPr>
            <w:tcW w:w="1395" w:type="dxa"/>
            <w:vMerge w:val="restart"/>
            <w:vAlign w:val="center"/>
          </w:tcPr>
          <w:p>
            <w:pPr>
              <w:pStyle w:val="20"/>
              <w:rPr>
                <w:w w:val="105"/>
                <w:sz w:val="14"/>
              </w:rPr>
            </w:pPr>
            <w:r>
              <w:rPr>
                <w:w w:val="105"/>
                <w:sz w:val="14"/>
              </w:rPr>
              <w:t xml:space="preserve">1.环境影响登记表备案（即办） </w:t>
            </w:r>
          </w:p>
          <w:p>
            <w:pPr>
              <w:pStyle w:val="20"/>
              <w:rPr>
                <w:w w:val="105"/>
                <w:sz w:val="14"/>
              </w:rPr>
            </w:pPr>
            <w:r>
              <w:rPr>
                <w:w w:val="105"/>
                <w:sz w:val="14"/>
              </w:rPr>
              <w:t>2.一般建设项目环境影响评价审批（环境影响报告表）（3日）</w:t>
            </w:r>
          </w:p>
          <w:p>
            <w:pPr>
              <w:pStyle w:val="20"/>
              <w:rPr>
                <w:w w:val="105"/>
                <w:sz w:val="14"/>
              </w:rPr>
            </w:pPr>
            <w:r>
              <w:rPr>
                <w:w w:val="105"/>
                <w:sz w:val="14"/>
              </w:rPr>
              <w:t xml:space="preserve">3.一般建设项目环境影响评价审批（环境影响报告书）（3日） </w:t>
            </w:r>
          </w:p>
          <w:p>
            <w:pPr>
              <w:pStyle w:val="20"/>
              <w:rPr>
                <w:sz w:val="14"/>
              </w:rPr>
            </w:pPr>
            <w:r>
              <w:rPr>
                <w:w w:val="105"/>
                <w:sz w:val="14"/>
              </w:rPr>
              <w:t>4.海洋工程建设项目环境影响评价审批（环境影响报告表）（3日）</w:t>
            </w:r>
          </w:p>
          <w:p>
            <w:pPr>
              <w:pStyle w:val="20"/>
              <w:tabs>
                <w:tab w:val="left" w:pos="213"/>
              </w:tabs>
              <w:rPr>
                <w:sz w:val="14"/>
              </w:rPr>
            </w:pPr>
            <w:r>
              <w:rPr>
                <w:rFonts w:hint="eastAsia"/>
                <w:w w:val="105"/>
                <w:sz w:val="14"/>
              </w:rPr>
              <w:t>5.</w:t>
            </w:r>
            <w:r>
              <w:rPr>
                <w:w w:val="105"/>
                <w:sz w:val="14"/>
              </w:rPr>
              <w:t>海洋工程建设项目环境影响评</w:t>
            </w:r>
            <w:r>
              <w:rPr>
                <w:spacing w:val="1"/>
                <w:w w:val="105"/>
                <w:sz w:val="14"/>
              </w:rPr>
              <w:t>价审批</w:t>
            </w:r>
            <w:r>
              <w:rPr>
                <w:spacing w:val="6"/>
                <w:w w:val="105"/>
                <w:sz w:val="14"/>
              </w:rPr>
              <w:t>（</w:t>
            </w:r>
            <w:r>
              <w:rPr>
                <w:w w:val="105"/>
                <w:sz w:val="14"/>
              </w:rPr>
              <w:t>环境影</w:t>
            </w:r>
            <w:r>
              <w:rPr>
                <w:spacing w:val="2"/>
                <w:w w:val="105"/>
                <w:sz w:val="14"/>
              </w:rPr>
              <w:t>响报告书</w:t>
            </w:r>
            <w:r>
              <w:rPr>
                <w:w w:val="105"/>
                <w:sz w:val="14"/>
              </w:rPr>
              <w:t>）（3</w:t>
            </w:r>
            <w:r>
              <w:rPr>
                <w:spacing w:val="6"/>
                <w:w w:val="105"/>
                <w:sz w:val="14"/>
              </w:rPr>
              <w:t>日</w:t>
            </w:r>
            <w:r>
              <w:rPr>
                <w:w w:val="105"/>
                <w:sz w:val="14"/>
              </w:rPr>
              <w:t>）</w:t>
            </w:r>
          </w:p>
          <w:p>
            <w:pPr>
              <w:pStyle w:val="20"/>
              <w:tabs>
                <w:tab w:val="left" w:pos="213"/>
              </w:tabs>
              <w:rPr>
                <w:sz w:val="14"/>
              </w:rPr>
            </w:pPr>
            <w:r>
              <w:rPr>
                <w:rFonts w:hint="eastAsia"/>
                <w:w w:val="105"/>
                <w:sz w:val="14"/>
              </w:rPr>
              <w:t>6.</w:t>
            </w:r>
            <w:r>
              <w:rPr>
                <w:w w:val="105"/>
                <w:sz w:val="14"/>
              </w:rPr>
              <w:t>核与辐射类建设项目环境影响</w:t>
            </w:r>
            <w:r>
              <w:rPr>
                <w:spacing w:val="2"/>
                <w:w w:val="105"/>
                <w:sz w:val="14"/>
              </w:rPr>
              <w:t>评价审批</w:t>
            </w:r>
            <w:r>
              <w:rPr>
                <w:w w:val="105"/>
                <w:sz w:val="14"/>
              </w:rPr>
              <w:t>（</w:t>
            </w:r>
            <w:r>
              <w:rPr>
                <w:spacing w:val="-7"/>
                <w:w w:val="105"/>
                <w:sz w:val="14"/>
              </w:rPr>
              <w:t>环境</w:t>
            </w:r>
            <w:r>
              <w:rPr>
                <w:spacing w:val="1"/>
                <w:w w:val="105"/>
                <w:sz w:val="14"/>
              </w:rPr>
              <w:t>影响报告表</w:t>
            </w:r>
            <w:r>
              <w:rPr>
                <w:w w:val="105"/>
                <w:sz w:val="14"/>
              </w:rPr>
              <w:t>）（3日）</w:t>
            </w:r>
          </w:p>
          <w:p>
            <w:pPr>
              <w:pStyle w:val="20"/>
              <w:tabs>
                <w:tab w:val="left" w:pos="213"/>
              </w:tabs>
              <w:rPr>
                <w:sz w:val="14"/>
              </w:rPr>
            </w:pPr>
            <w:r>
              <w:rPr>
                <w:rFonts w:hint="eastAsia"/>
                <w:w w:val="105"/>
                <w:sz w:val="14"/>
              </w:rPr>
              <w:t>7.</w:t>
            </w:r>
            <w:r>
              <w:rPr>
                <w:w w:val="105"/>
                <w:sz w:val="14"/>
              </w:rPr>
              <w:t>核与辐射类建设项目环境影响</w:t>
            </w:r>
            <w:r>
              <w:rPr>
                <w:spacing w:val="2"/>
                <w:w w:val="105"/>
                <w:sz w:val="14"/>
              </w:rPr>
              <w:t>评价审批</w:t>
            </w:r>
            <w:r>
              <w:rPr>
                <w:w w:val="105"/>
                <w:sz w:val="14"/>
              </w:rPr>
              <w:t>（</w:t>
            </w:r>
            <w:r>
              <w:rPr>
                <w:spacing w:val="-7"/>
                <w:w w:val="105"/>
                <w:sz w:val="14"/>
              </w:rPr>
              <w:t>环境</w:t>
            </w:r>
            <w:r>
              <w:rPr>
                <w:spacing w:val="1"/>
                <w:w w:val="105"/>
                <w:sz w:val="14"/>
              </w:rPr>
              <w:t>影响报告书</w:t>
            </w:r>
            <w:r>
              <w:rPr>
                <w:w w:val="105"/>
                <w:sz w:val="14"/>
              </w:rPr>
              <w:t>）（3日）</w:t>
            </w:r>
          </w:p>
        </w:tc>
        <w:tc>
          <w:tcPr>
            <w:tcW w:w="1033"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0"/>
              <w:rPr>
                <w:rFonts w:ascii="方正小标宋简体"/>
                <w:sz w:val="15"/>
              </w:rPr>
            </w:pPr>
          </w:p>
          <w:p>
            <w:pPr>
              <w:pStyle w:val="20"/>
              <w:ind w:left="32" w:right="16"/>
              <w:jc w:val="center"/>
              <w:rPr>
                <w:sz w:val="14"/>
              </w:rPr>
            </w:pPr>
            <w:r>
              <w:rPr>
                <w:w w:val="105"/>
                <w:sz w:val="14"/>
              </w:rPr>
              <w:t>受理公示</w:t>
            </w:r>
          </w:p>
        </w:tc>
        <w:tc>
          <w:tcPr>
            <w:tcW w:w="6532" w:type="dxa"/>
          </w:tcPr>
          <w:p>
            <w:pPr>
              <w:pStyle w:val="20"/>
              <w:spacing w:before="5"/>
              <w:rPr>
                <w:rFonts w:ascii="方正小标宋简体"/>
                <w:sz w:val="13"/>
              </w:rPr>
            </w:pPr>
          </w:p>
          <w:p>
            <w:pPr>
              <w:pStyle w:val="20"/>
              <w:ind w:left="27"/>
              <w:jc w:val="both"/>
              <w:rPr>
                <w:sz w:val="14"/>
              </w:rPr>
            </w:pPr>
            <w:r>
              <w:rPr>
                <w:w w:val="105"/>
                <w:sz w:val="14"/>
              </w:rPr>
              <w:t>【部门规章】《环境影响评价公众参与暂行办法》（部令 第4号）</w:t>
            </w:r>
          </w:p>
          <w:p>
            <w:pPr>
              <w:pStyle w:val="20"/>
              <w:spacing w:before="8" w:line="249" w:lineRule="auto"/>
              <w:ind w:left="27" w:right="21"/>
              <w:jc w:val="both"/>
              <w:rPr>
                <w:sz w:val="14"/>
              </w:rPr>
            </w:pPr>
            <w:r>
              <w:rPr>
                <w:w w:val="105"/>
                <w:sz w:val="14"/>
              </w:rPr>
              <w:t>第二十二条：生态环境主管部门受理建设项目环境影响报告书后，应当通过其网站或者其他方式向社会公开下列信息:(一)环境影响报告书全文;(二)公众参与说明;(三)公众提出意见的方式和途径。公开期限不得少于10个工作日。</w:t>
            </w:r>
          </w:p>
          <w:p>
            <w:pPr>
              <w:pStyle w:val="20"/>
              <w:spacing w:before="2"/>
              <w:ind w:left="27"/>
              <w:jc w:val="both"/>
              <w:rPr>
                <w:sz w:val="14"/>
              </w:rPr>
            </w:pPr>
            <w:r>
              <w:rPr>
                <w:w w:val="105"/>
                <w:sz w:val="14"/>
              </w:rPr>
              <w:t>【部门规章】《生态环境部建设项目环境影响报告书（表）审批程序规定》（部令 第14号）</w:t>
            </w:r>
          </w:p>
          <w:p>
            <w:pPr>
              <w:pStyle w:val="20"/>
              <w:spacing w:before="7" w:line="252" w:lineRule="auto"/>
              <w:ind w:left="27" w:right="11"/>
              <w:jc w:val="both"/>
              <w:rPr>
                <w:sz w:val="14"/>
              </w:rPr>
            </w:pPr>
            <w:r>
              <w:rPr>
                <w:w w:val="105"/>
                <w:sz w:val="14"/>
              </w:rPr>
              <w:t>第八条：生态环境部受理报批的建设项目环境影响报告书 （表）后，应当按照《环境影响评价公众参与办法》的规定，公开环境影响报告书（表）、公众参与说明、公众提出意见的方式和途径</w:t>
            </w:r>
          </w:p>
          <w:p>
            <w:pPr>
              <w:pStyle w:val="20"/>
              <w:spacing w:line="242" w:lineRule="auto"/>
              <w:ind w:left="27" w:right="35"/>
              <w:jc w:val="both"/>
              <w:rPr>
                <w:sz w:val="14"/>
              </w:rPr>
            </w:pPr>
            <w:r>
              <w:rPr>
                <w:w w:val="105"/>
                <w:sz w:val="14"/>
              </w:rPr>
              <w:t>。环境影响报告书的公开期限不得少于十个工作日，环境影响报告表的公开期限不得少于五个工作日。</w:t>
            </w:r>
          </w:p>
        </w:tc>
        <w:tc>
          <w:tcPr>
            <w:tcW w:w="1866"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5"/>
              <w:rPr>
                <w:rFonts w:ascii="方正小标宋简体"/>
                <w:sz w:val="9"/>
              </w:rPr>
            </w:pPr>
          </w:p>
          <w:p>
            <w:pPr>
              <w:pStyle w:val="20"/>
              <w:spacing w:line="252" w:lineRule="auto"/>
              <w:ind w:left="28" w:right="21"/>
              <w:rPr>
                <w:sz w:val="14"/>
              </w:rPr>
            </w:pPr>
            <w:r>
              <w:rPr>
                <w:w w:val="105"/>
                <w:sz w:val="14"/>
              </w:rPr>
              <w:t>需要办理该审批服务事项的项目。</w:t>
            </w:r>
          </w:p>
        </w:tc>
        <w:tc>
          <w:tcPr>
            <w:tcW w:w="1127" w:type="dxa"/>
          </w:tcPr>
          <w:p>
            <w:pPr>
              <w:pStyle w:val="20"/>
              <w:rPr>
                <w:rFonts w:ascii="方正小标宋简体"/>
                <w:sz w:val="14"/>
              </w:rPr>
            </w:pPr>
          </w:p>
          <w:p>
            <w:pPr>
              <w:pStyle w:val="20"/>
              <w:rPr>
                <w:rFonts w:ascii="方正小标宋简体"/>
                <w:sz w:val="14"/>
              </w:rPr>
            </w:pPr>
          </w:p>
          <w:p>
            <w:pPr>
              <w:pStyle w:val="20"/>
              <w:spacing w:before="7"/>
              <w:rPr>
                <w:rFonts w:ascii="方正小标宋简体"/>
                <w:sz w:val="7"/>
              </w:rPr>
            </w:pPr>
          </w:p>
          <w:p>
            <w:pPr>
              <w:pStyle w:val="20"/>
              <w:spacing w:before="1"/>
              <w:rPr>
                <w:w w:val="105"/>
                <w:sz w:val="14"/>
              </w:rPr>
            </w:pPr>
            <w:r>
              <w:rPr>
                <w:spacing w:val="2"/>
                <w:w w:val="105"/>
                <w:sz w:val="14"/>
              </w:rPr>
              <w:t>法定时限</w:t>
            </w:r>
            <w:r>
              <w:rPr>
                <w:w w:val="105"/>
                <w:sz w:val="14"/>
              </w:rPr>
              <w:t>：10</w:t>
            </w:r>
            <w:r>
              <w:rPr>
                <w:spacing w:val="6"/>
                <w:w w:val="105"/>
                <w:sz w:val="14"/>
              </w:rPr>
              <w:t>（</w:t>
            </w:r>
            <w:r>
              <w:rPr>
                <w:spacing w:val="1"/>
                <w:w w:val="105"/>
                <w:sz w:val="14"/>
              </w:rPr>
              <w:t>报告书</w:t>
            </w:r>
            <w:r>
              <w:rPr>
                <w:w w:val="105"/>
                <w:sz w:val="14"/>
              </w:rPr>
              <w:t>）</w:t>
            </w:r>
          </w:p>
          <w:p>
            <w:pPr>
              <w:pStyle w:val="20"/>
              <w:spacing w:before="7" w:line="249" w:lineRule="auto"/>
              <w:ind w:left="44" w:right="11"/>
              <w:rPr>
                <w:sz w:val="14"/>
              </w:rPr>
            </w:pPr>
            <w:r>
              <w:rPr>
                <w:spacing w:val="-1"/>
                <w:w w:val="105"/>
                <w:sz w:val="14"/>
              </w:rPr>
              <w:t>承诺时限：</w:t>
            </w:r>
            <w:r>
              <w:rPr>
                <w:spacing w:val="2"/>
                <w:w w:val="105"/>
                <w:sz w:val="14"/>
              </w:rPr>
              <w:t>10（</w:t>
            </w:r>
            <w:r>
              <w:rPr>
                <w:w w:val="105"/>
                <w:sz w:val="14"/>
              </w:rPr>
              <w:t>报告书)、5(报告表)</w:t>
            </w:r>
          </w:p>
        </w:tc>
        <w:tc>
          <w:tcPr>
            <w:tcW w:w="911" w:type="dxa"/>
            <w:vMerge w:val="restart"/>
            <w:vAlign w:val="center"/>
          </w:tcPr>
          <w:p>
            <w:pPr>
              <w:pStyle w:val="20"/>
              <w:spacing w:line="250" w:lineRule="auto"/>
              <w:rPr>
                <w:sz w:val="14"/>
              </w:rPr>
            </w:pPr>
            <w:r>
              <w:rPr>
                <w:rFonts w:hint="eastAsia"/>
                <w:sz w:val="14"/>
              </w:rPr>
              <w:t>市</w:t>
            </w:r>
            <w:r>
              <w:rPr>
                <w:sz w:val="14"/>
              </w:rPr>
              <w:t>生态环境局</w:t>
            </w:r>
            <w:r>
              <w:rPr>
                <w:rFonts w:hint="eastAsia"/>
                <w:sz w:val="14"/>
              </w:rPr>
              <w:t>西海岸新区分局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76" w:hRule="atLeast"/>
          <w:jc w:val="center"/>
        </w:trPr>
        <w:tc>
          <w:tcPr>
            <w:tcW w:w="350" w:type="dxa"/>
            <w:vMerge w:val="continue"/>
            <w:tcBorders>
              <w:top w:val="nil"/>
            </w:tcBorders>
          </w:tcPr>
          <w:p>
            <w:pPr>
              <w:rPr>
                <w:sz w:val="2"/>
                <w:szCs w:val="2"/>
                <w:lang w:eastAsia="zh-CN"/>
              </w:rPr>
            </w:pPr>
          </w:p>
        </w:tc>
        <w:tc>
          <w:tcPr>
            <w:tcW w:w="830" w:type="dxa"/>
            <w:vMerge w:val="continue"/>
            <w:tcBorders>
              <w:top w:val="nil"/>
            </w:tcBorders>
          </w:tcPr>
          <w:p>
            <w:pPr>
              <w:rPr>
                <w:sz w:val="2"/>
                <w:szCs w:val="2"/>
                <w:lang w:eastAsia="zh-CN"/>
              </w:rPr>
            </w:pPr>
          </w:p>
        </w:tc>
        <w:tc>
          <w:tcPr>
            <w:tcW w:w="1395" w:type="dxa"/>
            <w:vMerge w:val="continue"/>
            <w:tcBorders>
              <w:top w:val="nil"/>
            </w:tcBorders>
          </w:tcPr>
          <w:p>
            <w:pPr>
              <w:rPr>
                <w:sz w:val="2"/>
                <w:szCs w:val="2"/>
                <w:lang w:eastAsia="zh-CN"/>
              </w:rPr>
            </w:pPr>
          </w:p>
        </w:tc>
        <w:tc>
          <w:tcPr>
            <w:tcW w:w="1033"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2"/>
              <w:rPr>
                <w:rFonts w:ascii="方正小标宋简体"/>
                <w:sz w:val="20"/>
              </w:rPr>
            </w:pPr>
          </w:p>
          <w:p>
            <w:pPr>
              <w:pStyle w:val="20"/>
              <w:ind w:left="32" w:right="16"/>
              <w:jc w:val="center"/>
              <w:rPr>
                <w:sz w:val="14"/>
              </w:rPr>
            </w:pPr>
            <w:r>
              <w:rPr>
                <w:w w:val="105"/>
                <w:sz w:val="14"/>
              </w:rPr>
              <w:t>技术评估</w:t>
            </w:r>
          </w:p>
        </w:tc>
        <w:tc>
          <w:tcPr>
            <w:tcW w:w="6532" w:type="dxa"/>
          </w:tcPr>
          <w:p>
            <w:pPr>
              <w:pStyle w:val="20"/>
              <w:rPr>
                <w:rFonts w:ascii="方正小标宋简体"/>
                <w:sz w:val="14"/>
              </w:rPr>
            </w:pPr>
          </w:p>
          <w:p>
            <w:pPr>
              <w:pStyle w:val="20"/>
              <w:rPr>
                <w:rFonts w:ascii="方正小标宋简体"/>
                <w:sz w:val="14"/>
              </w:rPr>
            </w:pPr>
          </w:p>
          <w:p>
            <w:pPr>
              <w:pStyle w:val="20"/>
              <w:spacing w:before="6"/>
              <w:rPr>
                <w:rFonts w:ascii="方正小标宋简体"/>
                <w:sz w:val="15"/>
              </w:rPr>
            </w:pPr>
          </w:p>
          <w:p>
            <w:pPr>
              <w:pStyle w:val="20"/>
              <w:ind w:left="27"/>
              <w:rPr>
                <w:sz w:val="14"/>
              </w:rPr>
            </w:pPr>
            <w:r>
              <w:rPr>
                <w:w w:val="105"/>
                <w:sz w:val="14"/>
              </w:rPr>
              <w:t>【部门规章】《建设项目环境保护管理条例》</w:t>
            </w:r>
          </w:p>
          <w:p>
            <w:pPr>
              <w:pStyle w:val="20"/>
              <w:spacing w:before="9" w:line="249" w:lineRule="auto"/>
              <w:ind w:left="27"/>
              <w:rPr>
                <w:sz w:val="14"/>
              </w:rPr>
            </w:pPr>
            <w:r>
              <w:rPr>
                <w:w w:val="105"/>
                <w:sz w:val="14"/>
              </w:rPr>
              <w:t>第九条：环境保护行政主管部门审批环境影响报告书、环境影响报告表，应当重点审查建设项目的环境可行性、环境影响分析预测评估的可靠性、环境保护措施的有效性、环境影响评价结论的科学性等，并分别自收到环境影响报告书之日起60日内、收到环境影响报告表之日起30日内，作出审批决定并书面通知建设单位。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p>
            <w:pPr>
              <w:pStyle w:val="20"/>
              <w:spacing w:line="178" w:lineRule="exact"/>
              <w:ind w:left="27"/>
              <w:jc w:val="both"/>
              <w:rPr>
                <w:sz w:val="14"/>
              </w:rPr>
            </w:pPr>
            <w:r>
              <w:rPr>
                <w:w w:val="105"/>
                <w:sz w:val="14"/>
              </w:rPr>
              <w:t>【部门规章】《生态环境部建设项目环境影响报告书（表）审批程序规定》（部令 第14号）</w:t>
            </w:r>
          </w:p>
          <w:p>
            <w:pPr>
              <w:pStyle w:val="20"/>
              <w:spacing w:before="8" w:line="249" w:lineRule="auto"/>
              <w:ind w:left="27" w:right="5"/>
              <w:jc w:val="both"/>
              <w:rPr>
                <w:sz w:val="14"/>
              </w:rPr>
            </w:pPr>
            <w:r>
              <w:rPr>
                <w:w w:val="105"/>
                <w:sz w:val="14"/>
              </w:rPr>
              <w:t>第十条：环境影响报告书（表）的技术评估期限不超过三十个工作日 ；情况特别复杂的，生态环境部可以根据实际情况适当延长技术评估期限。”第十八条：“生态环境部审批环境影响报告书的期限，依法不超过六十日；审批环境影响报告表的期限，依法不超过三十日。依法需要进行听证、专家评审、技术评估的，所需时间不计算在审批期限内。</w:t>
            </w:r>
          </w:p>
        </w:tc>
        <w:tc>
          <w:tcPr>
            <w:tcW w:w="1866"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2"/>
              <w:rPr>
                <w:rFonts w:ascii="方正小标宋简体"/>
                <w:sz w:val="14"/>
              </w:rPr>
            </w:pPr>
          </w:p>
          <w:p>
            <w:pPr>
              <w:pStyle w:val="20"/>
              <w:spacing w:line="244" w:lineRule="auto"/>
              <w:ind w:left="28" w:right="21"/>
              <w:rPr>
                <w:sz w:val="14"/>
              </w:rPr>
            </w:pPr>
            <w:r>
              <w:rPr>
                <w:w w:val="105"/>
                <w:sz w:val="14"/>
              </w:rPr>
              <w:t>需要办理该审批服务事项的项目。</w:t>
            </w:r>
          </w:p>
        </w:tc>
        <w:tc>
          <w:tcPr>
            <w:tcW w:w="1127" w:type="dxa"/>
          </w:tcPr>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rPr>
                <w:rFonts w:ascii="方正小标宋简体"/>
                <w:sz w:val="14"/>
              </w:rPr>
            </w:pPr>
          </w:p>
          <w:p>
            <w:pPr>
              <w:pStyle w:val="20"/>
              <w:spacing w:before="12"/>
              <w:rPr>
                <w:rFonts w:ascii="方正小标宋简体"/>
                <w:sz w:val="14"/>
              </w:rPr>
            </w:pPr>
          </w:p>
          <w:p>
            <w:pPr>
              <w:pStyle w:val="20"/>
              <w:spacing w:line="244" w:lineRule="auto"/>
              <w:ind w:left="495" w:right="11" w:hanging="451"/>
              <w:rPr>
                <w:sz w:val="14"/>
              </w:rPr>
            </w:pPr>
            <w:r>
              <w:rPr>
                <w:w w:val="105"/>
                <w:sz w:val="14"/>
              </w:rPr>
              <w:t>承诺时限：10</w:t>
            </w:r>
          </w:p>
        </w:tc>
        <w:tc>
          <w:tcPr>
            <w:tcW w:w="911" w:type="dxa"/>
            <w:vMerge w:val="continue"/>
            <w:tcBorders>
              <w:top w:val="nil"/>
            </w:tcBorders>
            <w:vAlign w:val="center"/>
          </w:tcPr>
          <w:p>
            <w:pPr>
              <w:jc w:val="both"/>
              <w:rPr>
                <w:sz w:val="2"/>
                <w:szCs w:val="2"/>
              </w:rPr>
            </w:pPr>
          </w:p>
        </w:tc>
      </w:tr>
    </w:tbl>
    <w:p>
      <w:pPr>
        <w:jc w:val="center"/>
        <w:sectPr>
          <w:footerReference r:id="rId5" w:type="default"/>
          <w:pgSz w:w="16840" w:h="11910" w:orient="landscape"/>
          <w:pgMar w:top="1000" w:right="980" w:bottom="280" w:left="980" w:header="0" w:footer="0"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678"/>
        <w:gridCol w:w="750"/>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678"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750"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3"/>
              <w:rPr>
                <w:sz w:val="20"/>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tcPr>
          <w:p>
            <w:pPr>
              <w:pStyle w:val="20"/>
              <w:rPr>
                <w:sz w:val="20"/>
              </w:rPr>
            </w:pPr>
          </w:p>
          <w:p>
            <w:pPr>
              <w:pStyle w:val="20"/>
              <w:spacing w:line="242" w:lineRule="auto"/>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795" w:hRule="atLeast"/>
          <w:jc w:val="center"/>
        </w:trPr>
        <w:tc>
          <w:tcPr>
            <w:tcW w:w="350" w:type="dxa"/>
            <w:vAlign w:val="center"/>
          </w:tcPr>
          <w:p>
            <w:pPr>
              <w:pStyle w:val="20"/>
              <w:spacing w:before="110"/>
              <w:ind w:left="28"/>
              <w:jc w:val="center"/>
              <w:rPr>
                <w:rFonts w:hint="eastAsia" w:eastAsia="宋体"/>
                <w:sz w:val="14"/>
                <w:lang w:eastAsia="zh-CN"/>
              </w:rPr>
            </w:pPr>
            <w:r>
              <w:rPr>
                <w:rFonts w:hint="eastAsia"/>
                <w:w w:val="105"/>
                <w:sz w:val="14"/>
                <w:lang w:val="en-US" w:eastAsia="zh-CN"/>
              </w:rPr>
              <w:t>8</w:t>
            </w:r>
          </w:p>
        </w:tc>
        <w:tc>
          <w:tcPr>
            <w:tcW w:w="830" w:type="dxa"/>
            <w:vAlign w:val="center"/>
          </w:tcPr>
          <w:p>
            <w:pPr>
              <w:pStyle w:val="20"/>
              <w:spacing w:before="103" w:line="247" w:lineRule="auto"/>
              <w:ind w:left="40" w:right="28"/>
              <w:jc w:val="both"/>
              <w:rPr>
                <w:sz w:val="14"/>
              </w:rPr>
            </w:pPr>
            <w:r>
              <w:rPr>
                <w:w w:val="105"/>
                <w:sz w:val="14"/>
              </w:rPr>
              <w:t>建设项目环境影响评价审批备案</w:t>
            </w:r>
          </w:p>
        </w:tc>
        <w:tc>
          <w:tcPr>
            <w:tcW w:w="1678" w:type="dxa"/>
            <w:vAlign w:val="center"/>
          </w:tcPr>
          <w:p>
            <w:pPr>
              <w:pStyle w:val="20"/>
              <w:spacing w:line="249" w:lineRule="auto"/>
              <w:ind w:left="27" w:right="67"/>
              <w:jc w:val="both"/>
              <w:rPr>
                <w:w w:val="105"/>
                <w:sz w:val="14"/>
              </w:rPr>
            </w:pPr>
            <w:r>
              <w:rPr>
                <w:w w:val="105"/>
                <w:sz w:val="14"/>
              </w:rPr>
              <w:t xml:space="preserve">1.环境影响登记表备案（即办） </w:t>
            </w:r>
          </w:p>
          <w:p>
            <w:pPr>
              <w:pStyle w:val="20"/>
              <w:spacing w:line="249" w:lineRule="auto"/>
              <w:ind w:left="27" w:right="67"/>
              <w:jc w:val="both"/>
              <w:rPr>
                <w:w w:val="105"/>
                <w:sz w:val="14"/>
              </w:rPr>
            </w:pPr>
            <w:r>
              <w:rPr>
                <w:w w:val="105"/>
                <w:sz w:val="14"/>
              </w:rPr>
              <w:t xml:space="preserve">2.一般建设项目环境影响评价审批（环境影响报告表）（3日） </w:t>
            </w:r>
          </w:p>
          <w:p>
            <w:pPr>
              <w:pStyle w:val="20"/>
              <w:spacing w:line="249" w:lineRule="auto"/>
              <w:ind w:left="27" w:right="67"/>
              <w:jc w:val="both"/>
              <w:rPr>
                <w:w w:val="105"/>
                <w:sz w:val="14"/>
              </w:rPr>
            </w:pPr>
            <w:r>
              <w:rPr>
                <w:w w:val="105"/>
                <w:sz w:val="14"/>
              </w:rPr>
              <w:t xml:space="preserve">3.一般建设项目环境影响评价审批（环境影响报告书）（3日） </w:t>
            </w:r>
          </w:p>
          <w:p>
            <w:pPr>
              <w:pStyle w:val="20"/>
              <w:spacing w:line="249" w:lineRule="auto"/>
              <w:ind w:left="27" w:right="67"/>
              <w:jc w:val="both"/>
              <w:rPr>
                <w:sz w:val="14"/>
              </w:rPr>
            </w:pPr>
            <w:r>
              <w:rPr>
                <w:w w:val="105"/>
                <w:sz w:val="14"/>
              </w:rPr>
              <w:t>4.海洋工程建设项目环境影响评价审批（环境影响报告表）（3日）</w:t>
            </w:r>
          </w:p>
          <w:p>
            <w:pPr>
              <w:pStyle w:val="20"/>
              <w:numPr>
                <w:ilvl w:val="0"/>
                <w:numId w:val="2"/>
              </w:numPr>
              <w:tabs>
                <w:tab w:val="left" w:pos="181"/>
              </w:tabs>
              <w:spacing w:before="5" w:line="249" w:lineRule="auto"/>
              <w:ind w:right="66" w:firstLine="0"/>
              <w:jc w:val="both"/>
              <w:rPr>
                <w:sz w:val="14"/>
              </w:rPr>
            </w:pPr>
            <w:r>
              <w:rPr>
                <w:w w:val="105"/>
                <w:sz w:val="14"/>
              </w:rPr>
              <w:t>海洋工程建设项目环境影响评</w:t>
            </w:r>
            <w:r>
              <w:rPr>
                <w:spacing w:val="1"/>
                <w:w w:val="105"/>
                <w:sz w:val="14"/>
              </w:rPr>
              <w:t>价审批</w:t>
            </w:r>
            <w:r>
              <w:rPr>
                <w:spacing w:val="6"/>
                <w:w w:val="105"/>
                <w:sz w:val="14"/>
              </w:rPr>
              <w:t>（</w:t>
            </w:r>
            <w:r>
              <w:rPr>
                <w:w w:val="105"/>
                <w:sz w:val="14"/>
              </w:rPr>
              <w:t>环境影</w:t>
            </w:r>
            <w:r>
              <w:rPr>
                <w:spacing w:val="2"/>
                <w:w w:val="105"/>
                <w:sz w:val="14"/>
              </w:rPr>
              <w:t>响报告书</w:t>
            </w:r>
            <w:r>
              <w:rPr>
                <w:w w:val="105"/>
                <w:sz w:val="14"/>
              </w:rPr>
              <w:t>）（3</w:t>
            </w:r>
            <w:r>
              <w:rPr>
                <w:spacing w:val="6"/>
                <w:w w:val="105"/>
                <w:sz w:val="14"/>
              </w:rPr>
              <w:t>日</w:t>
            </w:r>
            <w:r>
              <w:rPr>
                <w:w w:val="105"/>
                <w:sz w:val="14"/>
              </w:rPr>
              <w:t>）</w:t>
            </w:r>
          </w:p>
          <w:p>
            <w:pPr>
              <w:pStyle w:val="20"/>
              <w:numPr>
                <w:ilvl w:val="0"/>
                <w:numId w:val="2"/>
              </w:numPr>
              <w:tabs>
                <w:tab w:val="left" w:pos="181"/>
              </w:tabs>
              <w:spacing w:before="1" w:line="249" w:lineRule="auto"/>
              <w:ind w:right="72" w:firstLine="0"/>
              <w:jc w:val="both"/>
              <w:rPr>
                <w:sz w:val="14"/>
              </w:rPr>
            </w:pPr>
            <w:r>
              <w:rPr>
                <w:spacing w:val="-2"/>
                <w:w w:val="105"/>
                <w:sz w:val="14"/>
              </w:rPr>
              <w:t>核与辐射类建</w:t>
            </w:r>
            <w:r>
              <w:rPr>
                <w:w w:val="105"/>
                <w:sz w:val="14"/>
              </w:rPr>
              <w:t>设项目环境影响</w:t>
            </w:r>
            <w:r>
              <w:rPr>
                <w:spacing w:val="2"/>
                <w:w w:val="105"/>
                <w:sz w:val="14"/>
              </w:rPr>
              <w:t>评价审批</w:t>
            </w:r>
            <w:r>
              <w:rPr>
                <w:w w:val="105"/>
                <w:sz w:val="14"/>
              </w:rPr>
              <w:t>（</w:t>
            </w:r>
            <w:r>
              <w:rPr>
                <w:spacing w:val="-8"/>
                <w:w w:val="105"/>
                <w:sz w:val="14"/>
              </w:rPr>
              <w:t>环境</w:t>
            </w:r>
            <w:r>
              <w:rPr>
                <w:spacing w:val="1"/>
                <w:w w:val="105"/>
                <w:sz w:val="14"/>
              </w:rPr>
              <w:t>影响报告表</w:t>
            </w:r>
            <w:r>
              <w:rPr>
                <w:w w:val="105"/>
                <w:sz w:val="14"/>
              </w:rPr>
              <w:t>）（3日）</w:t>
            </w:r>
          </w:p>
          <w:p>
            <w:pPr>
              <w:pStyle w:val="20"/>
              <w:numPr>
                <w:ilvl w:val="0"/>
                <w:numId w:val="2"/>
              </w:numPr>
              <w:tabs>
                <w:tab w:val="left" w:pos="181"/>
              </w:tabs>
              <w:spacing w:before="8" w:line="249" w:lineRule="auto"/>
              <w:ind w:right="72" w:firstLine="0"/>
              <w:jc w:val="both"/>
              <w:rPr>
                <w:sz w:val="14"/>
              </w:rPr>
            </w:pPr>
            <w:r>
              <w:rPr>
                <w:spacing w:val="-2"/>
                <w:w w:val="105"/>
                <w:sz w:val="14"/>
              </w:rPr>
              <w:t>核与辐射类建</w:t>
            </w:r>
            <w:r>
              <w:rPr>
                <w:w w:val="105"/>
                <w:sz w:val="14"/>
              </w:rPr>
              <w:t>设项目环境影响</w:t>
            </w:r>
            <w:r>
              <w:rPr>
                <w:spacing w:val="2"/>
                <w:w w:val="105"/>
                <w:sz w:val="14"/>
              </w:rPr>
              <w:t>评价审批</w:t>
            </w:r>
            <w:r>
              <w:rPr>
                <w:w w:val="105"/>
                <w:sz w:val="14"/>
              </w:rPr>
              <w:t>（</w:t>
            </w:r>
            <w:r>
              <w:rPr>
                <w:spacing w:val="-8"/>
                <w:w w:val="105"/>
                <w:sz w:val="14"/>
              </w:rPr>
              <w:t>环境</w:t>
            </w:r>
            <w:r>
              <w:rPr>
                <w:spacing w:val="1"/>
                <w:w w:val="105"/>
                <w:sz w:val="14"/>
              </w:rPr>
              <w:t>影响报告书</w:t>
            </w:r>
            <w:r>
              <w:rPr>
                <w:w w:val="105"/>
                <w:sz w:val="14"/>
              </w:rPr>
              <w:t>）</w:t>
            </w:r>
            <w:r>
              <w:rPr>
                <w:spacing w:val="2"/>
                <w:w w:val="105"/>
                <w:sz w:val="14"/>
              </w:rPr>
              <w:t>（3</w:t>
            </w:r>
            <w:r>
              <w:rPr>
                <w:w w:val="105"/>
                <w:sz w:val="14"/>
              </w:rPr>
              <w:t>日）</w:t>
            </w:r>
          </w:p>
        </w:tc>
        <w:tc>
          <w:tcPr>
            <w:tcW w:w="750" w:type="dxa"/>
            <w:vAlign w:val="center"/>
          </w:tcPr>
          <w:p>
            <w:pPr>
              <w:pStyle w:val="20"/>
              <w:spacing w:before="110"/>
              <w:ind w:left="32" w:right="16"/>
              <w:jc w:val="both"/>
              <w:rPr>
                <w:sz w:val="14"/>
              </w:rPr>
            </w:pPr>
            <w:r>
              <w:rPr>
                <w:w w:val="105"/>
                <w:sz w:val="14"/>
              </w:rPr>
              <w:t>批前公示</w:t>
            </w:r>
          </w:p>
        </w:tc>
        <w:tc>
          <w:tcPr>
            <w:tcW w:w="6532" w:type="dxa"/>
            <w:vAlign w:val="center"/>
          </w:tcPr>
          <w:p>
            <w:pPr>
              <w:pStyle w:val="20"/>
              <w:spacing w:before="94"/>
              <w:ind w:left="27"/>
              <w:jc w:val="both"/>
              <w:rPr>
                <w:sz w:val="14"/>
              </w:rPr>
            </w:pPr>
            <w:r>
              <w:rPr>
                <w:w w:val="105"/>
                <w:sz w:val="14"/>
              </w:rPr>
              <w:t>【部门规章】《环境影响评价公众参与暂行办法》（部令第4号）</w:t>
            </w:r>
          </w:p>
          <w:p>
            <w:pPr>
              <w:pStyle w:val="20"/>
              <w:spacing w:before="9" w:line="247" w:lineRule="auto"/>
              <w:ind w:left="27"/>
              <w:jc w:val="both"/>
              <w:rPr>
                <w:sz w:val="14"/>
              </w:rPr>
            </w:pPr>
            <w:r>
              <w:rPr>
                <w:w w:val="105"/>
                <w:sz w:val="14"/>
              </w:rPr>
              <w:t>第二十三条：生态环境主管部门对环境影响报告书作出审批决定前 ，应当通过其网站或者其他方式向社会公开下列信息：（一）建设项目名称、建设地点；（二）建设单位名称；（三）环境影响报告书编制单位名称；（四）建设项目概况、主要环境影响和环境保护对策与措施；（五）建设单位开展的公众参与情况；（六）公众提出意见的方式和途径。公开期限不得少于5个工作日。</w:t>
            </w:r>
          </w:p>
        </w:tc>
        <w:tc>
          <w:tcPr>
            <w:tcW w:w="1866" w:type="dxa"/>
            <w:vAlign w:val="center"/>
          </w:tcPr>
          <w:p>
            <w:pPr>
              <w:pStyle w:val="20"/>
              <w:spacing w:before="1" w:line="249" w:lineRule="auto"/>
              <w:ind w:left="28" w:right="21"/>
              <w:jc w:val="both"/>
              <w:rPr>
                <w:sz w:val="14"/>
              </w:rPr>
            </w:pPr>
            <w:r>
              <w:rPr>
                <w:w w:val="105"/>
                <w:sz w:val="14"/>
              </w:rPr>
              <w:t>需要办理该审批服务事项的项目。</w:t>
            </w:r>
          </w:p>
        </w:tc>
        <w:tc>
          <w:tcPr>
            <w:tcW w:w="1127" w:type="dxa"/>
            <w:vAlign w:val="center"/>
          </w:tcPr>
          <w:p>
            <w:pPr>
              <w:pStyle w:val="20"/>
              <w:spacing w:before="94"/>
              <w:jc w:val="both"/>
              <w:rPr>
                <w:w w:val="105"/>
                <w:sz w:val="14"/>
              </w:rPr>
            </w:pPr>
            <w:r>
              <w:rPr>
                <w:w w:val="105"/>
                <w:sz w:val="14"/>
              </w:rPr>
              <w:t>法定时限：5</w:t>
            </w:r>
            <w:r>
              <w:rPr>
                <w:spacing w:val="6"/>
                <w:w w:val="105"/>
                <w:sz w:val="14"/>
              </w:rPr>
              <w:t>（</w:t>
            </w:r>
            <w:r>
              <w:rPr>
                <w:spacing w:val="1"/>
                <w:w w:val="105"/>
                <w:sz w:val="14"/>
              </w:rPr>
              <w:t>报告书</w:t>
            </w:r>
            <w:r>
              <w:rPr>
                <w:w w:val="105"/>
                <w:sz w:val="14"/>
              </w:rPr>
              <w:t xml:space="preserve">） </w:t>
            </w:r>
          </w:p>
          <w:p>
            <w:pPr>
              <w:pStyle w:val="20"/>
              <w:spacing w:before="9" w:line="247" w:lineRule="auto"/>
              <w:ind w:left="44" w:right="11"/>
              <w:jc w:val="both"/>
              <w:rPr>
                <w:sz w:val="14"/>
              </w:rPr>
            </w:pPr>
            <w:r>
              <w:rPr>
                <w:spacing w:val="-1"/>
                <w:w w:val="105"/>
                <w:sz w:val="14"/>
              </w:rPr>
              <w:t>承诺时限：</w:t>
            </w:r>
            <w:r>
              <w:rPr>
                <w:w w:val="105"/>
                <w:sz w:val="14"/>
              </w:rPr>
              <w:t>5（报告书)、</w:t>
            </w:r>
            <w:r>
              <w:rPr>
                <w:spacing w:val="2"/>
                <w:w w:val="105"/>
                <w:sz w:val="14"/>
              </w:rPr>
              <w:t>5</w:t>
            </w:r>
            <w:r>
              <w:rPr>
                <w:w w:val="105"/>
                <w:sz w:val="14"/>
              </w:rPr>
              <w:t>(报告表)</w:t>
            </w:r>
          </w:p>
        </w:tc>
        <w:tc>
          <w:tcPr>
            <w:tcW w:w="911" w:type="dxa"/>
            <w:vAlign w:val="center"/>
          </w:tcPr>
          <w:p>
            <w:pPr>
              <w:pStyle w:val="20"/>
              <w:spacing w:line="249" w:lineRule="auto"/>
              <w:jc w:val="both"/>
              <w:rPr>
                <w:sz w:val="14"/>
              </w:rPr>
            </w:pPr>
            <w:r>
              <w:rPr>
                <w:rFonts w:hint="eastAsia"/>
                <w:sz w:val="14"/>
              </w:rPr>
              <w:t>市</w:t>
            </w:r>
            <w:r>
              <w:rPr>
                <w:sz w:val="14"/>
              </w:rPr>
              <w:t>生态环境局</w:t>
            </w:r>
            <w:r>
              <w:rPr>
                <w:rFonts w:hint="eastAsia"/>
                <w:sz w:val="14"/>
              </w:rPr>
              <w:t>西海岸新区分局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41" w:hRule="atLeast"/>
          <w:jc w:val="center"/>
        </w:trPr>
        <w:tc>
          <w:tcPr>
            <w:tcW w:w="350" w:type="dxa"/>
            <w:vAlign w:val="center"/>
          </w:tcPr>
          <w:p>
            <w:pPr>
              <w:pStyle w:val="20"/>
              <w:ind w:left="28"/>
              <w:jc w:val="center"/>
              <w:rPr>
                <w:rFonts w:hint="eastAsia" w:eastAsia="宋体"/>
                <w:sz w:val="14"/>
                <w:lang w:eastAsia="zh-CN"/>
              </w:rPr>
            </w:pPr>
            <w:r>
              <w:rPr>
                <w:rFonts w:hint="eastAsia"/>
                <w:w w:val="105"/>
                <w:sz w:val="14"/>
                <w:lang w:val="en-US" w:eastAsia="zh-CN"/>
              </w:rPr>
              <w:t>9</w:t>
            </w:r>
          </w:p>
        </w:tc>
        <w:tc>
          <w:tcPr>
            <w:tcW w:w="830" w:type="dxa"/>
            <w:vAlign w:val="center"/>
          </w:tcPr>
          <w:p>
            <w:pPr>
              <w:pStyle w:val="20"/>
              <w:spacing w:line="249" w:lineRule="auto"/>
              <w:ind w:left="40" w:right="28"/>
              <w:jc w:val="both"/>
              <w:rPr>
                <w:sz w:val="14"/>
              </w:rPr>
            </w:pPr>
            <w:r>
              <w:rPr>
                <w:w w:val="105"/>
                <w:sz w:val="14"/>
              </w:rPr>
              <w:t>固定资产投资项目节能审查</w:t>
            </w:r>
          </w:p>
        </w:tc>
        <w:tc>
          <w:tcPr>
            <w:tcW w:w="1678" w:type="dxa"/>
            <w:vAlign w:val="center"/>
          </w:tcPr>
          <w:p>
            <w:pPr>
              <w:pStyle w:val="20"/>
              <w:spacing w:line="249" w:lineRule="auto"/>
              <w:ind w:left="27" w:right="79"/>
              <w:jc w:val="both"/>
              <w:rPr>
                <w:sz w:val="14"/>
              </w:rPr>
            </w:pPr>
            <w:r>
              <w:rPr>
                <w:w w:val="105"/>
                <w:sz w:val="14"/>
              </w:rPr>
              <w:t>固定资产投资项目节能审查（7日）</w:t>
            </w:r>
          </w:p>
        </w:tc>
        <w:tc>
          <w:tcPr>
            <w:tcW w:w="750" w:type="dxa"/>
            <w:vAlign w:val="center"/>
          </w:tcPr>
          <w:p>
            <w:pPr>
              <w:pStyle w:val="20"/>
              <w:ind w:right="11"/>
              <w:jc w:val="both"/>
              <w:rPr>
                <w:sz w:val="14"/>
              </w:rPr>
            </w:pPr>
            <w:r>
              <w:rPr>
                <w:w w:val="105"/>
                <w:sz w:val="14"/>
              </w:rPr>
              <w:t>委托评审、函询</w:t>
            </w:r>
          </w:p>
        </w:tc>
        <w:tc>
          <w:tcPr>
            <w:tcW w:w="6532" w:type="dxa"/>
            <w:vAlign w:val="center"/>
          </w:tcPr>
          <w:p>
            <w:pPr>
              <w:pStyle w:val="20"/>
              <w:spacing w:before="1"/>
              <w:ind w:left="27"/>
              <w:jc w:val="both"/>
              <w:rPr>
                <w:sz w:val="14"/>
              </w:rPr>
            </w:pPr>
            <w:r>
              <w:rPr>
                <w:w w:val="105"/>
                <w:sz w:val="14"/>
              </w:rPr>
              <w:t>【部门规章】《固定资产投资项目节能审查办法》（国家发展和改革委员会令第44号）</w:t>
            </w:r>
          </w:p>
          <w:p>
            <w:pPr>
              <w:pStyle w:val="20"/>
              <w:spacing w:before="7" w:line="247" w:lineRule="auto"/>
              <w:ind w:left="27" w:right="11"/>
              <w:jc w:val="both"/>
              <w:rPr>
                <w:sz w:val="14"/>
              </w:rPr>
            </w:pPr>
            <w:r>
              <w:rPr>
                <w:spacing w:val="1"/>
                <w:w w:val="105"/>
                <w:sz w:val="14"/>
              </w:rPr>
              <w:t>第八条 节能审查机关受理节能报告后，应委托有关机构进行评审，形成评审意见，作为节能审查的重要依据。节能审查应依据项目是否符合节能有关法律法规、标准规范、政策；项目用能分析</w:t>
            </w:r>
            <w:r>
              <w:rPr>
                <w:spacing w:val="4"/>
                <w:w w:val="105"/>
                <w:sz w:val="14"/>
              </w:rPr>
              <w:t>是否客观准确，方法是否科学，结论是否准确；节能措施是否合理可行；项目的能源消费量和能</w:t>
            </w:r>
            <w:r>
              <w:rPr>
                <w:w w:val="105"/>
                <w:sz w:val="14"/>
              </w:rPr>
              <w:t>效水平是否满足本地区能源消耗总量和强度“双控”管理要求等对项目节能报告进行审查。</w:t>
            </w:r>
          </w:p>
          <w:p>
            <w:pPr>
              <w:pStyle w:val="20"/>
              <w:spacing w:before="5"/>
              <w:ind w:left="27"/>
              <w:jc w:val="both"/>
              <w:rPr>
                <w:sz w:val="14"/>
              </w:rPr>
            </w:pPr>
            <w:r>
              <w:rPr>
                <w:spacing w:val="1"/>
                <w:w w:val="105"/>
                <w:sz w:val="14"/>
              </w:rPr>
              <w:t>【政策文件】《山东省固定资产投资项目节能审查实施办法》</w:t>
            </w:r>
            <w:r>
              <w:rPr>
                <w:w w:val="105"/>
                <w:sz w:val="14"/>
              </w:rPr>
              <w:t>（</w:t>
            </w:r>
            <w:r>
              <w:rPr>
                <w:spacing w:val="2"/>
                <w:w w:val="105"/>
                <w:sz w:val="14"/>
              </w:rPr>
              <w:t>山东省发展和改革委员会</w:t>
            </w:r>
            <w:r>
              <w:rPr>
                <w:w w:val="105"/>
                <w:sz w:val="14"/>
              </w:rPr>
              <w:t>）</w:t>
            </w:r>
          </w:p>
          <w:p>
            <w:pPr>
              <w:pStyle w:val="20"/>
              <w:spacing w:before="8" w:line="249" w:lineRule="auto"/>
              <w:ind w:left="27" w:right="11"/>
              <w:jc w:val="both"/>
              <w:rPr>
                <w:sz w:val="14"/>
              </w:rPr>
            </w:pPr>
            <w:r>
              <w:rPr>
                <w:w w:val="105"/>
                <w:sz w:val="14"/>
              </w:rPr>
              <w:t>第十条 节能审查机关受理节能报告后，应委托有关机构进行评审，形成评审意见，作为节能审查的重要依据。按照国家严格实行能耗强度和能耗总量 "双控"的要求，节能审查机关需向项目所在地能源消费总量控制主管部门进行函询，有关部门应在节能评审期间予以函复，出具支持项目建设的意见和将项目建成后能源消费纳入当地能源消费总量控制的承诺。</w:t>
            </w:r>
          </w:p>
        </w:tc>
        <w:tc>
          <w:tcPr>
            <w:tcW w:w="1866" w:type="dxa"/>
            <w:vAlign w:val="center"/>
          </w:tcPr>
          <w:p>
            <w:pPr>
              <w:pStyle w:val="20"/>
              <w:spacing w:before="101" w:line="252" w:lineRule="auto"/>
              <w:ind w:left="28" w:right="21"/>
              <w:jc w:val="center"/>
              <w:rPr>
                <w:sz w:val="14"/>
              </w:rPr>
            </w:pPr>
            <w:r>
              <w:rPr>
                <w:w w:val="105"/>
                <w:sz w:val="14"/>
              </w:rPr>
              <w:t>需要办理该审批服务事项的项目。</w:t>
            </w:r>
          </w:p>
        </w:tc>
        <w:tc>
          <w:tcPr>
            <w:tcW w:w="1127" w:type="dxa"/>
            <w:vAlign w:val="center"/>
          </w:tcPr>
          <w:p>
            <w:pPr>
              <w:pStyle w:val="20"/>
              <w:spacing w:before="101" w:line="252" w:lineRule="auto"/>
              <w:ind w:left="495" w:right="11" w:hanging="451"/>
              <w:jc w:val="center"/>
              <w:rPr>
                <w:sz w:val="14"/>
              </w:rPr>
            </w:pPr>
            <w:r>
              <w:rPr>
                <w:w w:val="105"/>
                <w:sz w:val="14"/>
              </w:rPr>
              <w:t>承诺时限：7</w:t>
            </w:r>
          </w:p>
        </w:tc>
        <w:tc>
          <w:tcPr>
            <w:tcW w:w="911" w:type="dxa"/>
            <w:vAlign w:val="center"/>
          </w:tcPr>
          <w:p>
            <w:pPr>
              <w:pStyle w:val="20"/>
              <w:spacing w:line="252" w:lineRule="auto"/>
              <w:jc w:val="center"/>
              <w:rPr>
                <w:sz w:val="14"/>
              </w:rPr>
            </w:pPr>
            <w:r>
              <w:rPr>
                <w:rFonts w:hint="eastAsia"/>
                <w:sz w:val="14"/>
              </w:rPr>
              <w:t>区</w:t>
            </w:r>
            <w:r>
              <w:rPr>
                <w:sz w:val="14"/>
              </w:rPr>
              <w:t>行政审批局</w:t>
            </w:r>
          </w:p>
        </w:tc>
      </w:tr>
    </w:tbl>
    <w:p>
      <w:pPr>
        <w:spacing w:line="252" w:lineRule="auto"/>
        <w:rPr>
          <w:sz w:val="14"/>
        </w:rPr>
        <w:sectPr>
          <w:footerReference r:id="rId6" w:type="default"/>
          <w:pgSz w:w="16840" w:h="11910" w:orient="landscape"/>
          <w:pgMar w:top="1000" w:right="980" w:bottom="1140" w:left="980" w:header="0" w:footer="941" w:gutter="0"/>
          <w:pgNumType w:start="12"/>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4" w:hRule="atLeast"/>
          <w:jc w:val="center"/>
        </w:trPr>
        <w:tc>
          <w:tcPr>
            <w:tcW w:w="350" w:type="dxa"/>
            <w:vAlign w:val="center"/>
          </w:tcPr>
          <w:p>
            <w:pPr>
              <w:pStyle w:val="20"/>
              <w:spacing w:before="1"/>
              <w:ind w:left="31"/>
              <w:jc w:val="center"/>
              <w:rPr>
                <w:rFonts w:ascii="黑体" w:eastAsia="黑体"/>
                <w:sz w:val="14"/>
              </w:rPr>
            </w:pPr>
            <w:r>
              <w:rPr>
                <w:rFonts w:hint="eastAsia" w:ascii="黑体" w:eastAsia="黑体"/>
                <w:w w:val="105"/>
                <w:sz w:val="14"/>
              </w:rPr>
              <w:t>序号</w:t>
            </w:r>
          </w:p>
        </w:tc>
        <w:tc>
          <w:tcPr>
            <w:tcW w:w="830" w:type="dxa"/>
            <w:vAlign w:val="center"/>
          </w:tcPr>
          <w:p>
            <w:pPr>
              <w:pStyle w:val="20"/>
              <w:spacing w:before="1"/>
              <w:ind w:left="117"/>
              <w:jc w:val="center"/>
              <w:rPr>
                <w:rFonts w:ascii="黑体" w:eastAsia="黑体"/>
                <w:sz w:val="14"/>
              </w:rPr>
            </w:pPr>
            <w:r>
              <w:rPr>
                <w:rFonts w:hint="eastAsia" w:ascii="黑体" w:eastAsia="黑体"/>
                <w:w w:val="105"/>
                <w:sz w:val="14"/>
              </w:rPr>
              <w:t>事项名称</w:t>
            </w:r>
          </w:p>
        </w:tc>
        <w:tc>
          <w:tcPr>
            <w:tcW w:w="1166" w:type="dxa"/>
            <w:vAlign w:val="center"/>
          </w:tcPr>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62" w:type="dxa"/>
            <w:vAlign w:val="center"/>
          </w:tcPr>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vAlign w:val="center"/>
          </w:tcPr>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866" w:type="dxa"/>
            <w:vAlign w:val="center"/>
          </w:tcPr>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vAlign w:val="center"/>
          </w:tcPr>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vAlign w:val="center"/>
          </w:tcPr>
          <w:p>
            <w:pPr>
              <w:pStyle w:val="20"/>
              <w:spacing w:line="242" w:lineRule="auto"/>
              <w:ind w:left="391" w:right="61" w:hanging="303"/>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04" w:hRule="atLeast"/>
          <w:jc w:val="center"/>
        </w:trPr>
        <w:tc>
          <w:tcPr>
            <w:tcW w:w="35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2"/>
              <w:rPr>
                <w:sz w:val="18"/>
              </w:rPr>
            </w:pPr>
          </w:p>
          <w:p>
            <w:pPr>
              <w:pStyle w:val="20"/>
              <w:ind w:left="107"/>
              <w:rPr>
                <w:rFonts w:hint="default" w:eastAsia="宋体"/>
                <w:sz w:val="14"/>
                <w:lang w:val="en-US" w:eastAsia="zh-CN"/>
              </w:rPr>
            </w:pPr>
            <w:r>
              <w:rPr>
                <w:rFonts w:hint="eastAsia"/>
                <w:w w:val="105"/>
                <w:sz w:val="14"/>
                <w:lang w:val="en-US" w:eastAsia="zh-CN"/>
              </w:rPr>
              <w:t>10</w:t>
            </w:r>
          </w:p>
        </w:tc>
        <w:tc>
          <w:tcPr>
            <w:tcW w:w="830" w:type="dxa"/>
            <w:vMerge w:val="restart"/>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4"/>
              <w:rPr>
                <w:color w:val="000000" w:themeColor="text1"/>
                <w:sz w:val="18"/>
              </w:rPr>
            </w:pPr>
          </w:p>
          <w:p>
            <w:pPr>
              <w:pStyle w:val="20"/>
              <w:spacing w:before="1" w:line="249" w:lineRule="auto"/>
              <w:ind w:left="40" w:right="28"/>
              <w:jc w:val="both"/>
              <w:rPr>
                <w:color w:val="000000" w:themeColor="text1"/>
                <w:sz w:val="14"/>
              </w:rPr>
            </w:pPr>
            <w:r>
              <w:rPr>
                <w:color w:val="000000" w:themeColor="text1"/>
                <w:w w:val="105"/>
                <w:sz w:val="14"/>
              </w:rPr>
              <w:t>生产建设项目水土保持方案审批</w:t>
            </w:r>
          </w:p>
        </w:tc>
        <w:tc>
          <w:tcPr>
            <w:tcW w:w="1166" w:type="dxa"/>
            <w:vMerge w:val="restart"/>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4"/>
              <w:rPr>
                <w:color w:val="000000" w:themeColor="text1"/>
                <w:sz w:val="18"/>
              </w:rPr>
            </w:pPr>
          </w:p>
          <w:p>
            <w:pPr>
              <w:pStyle w:val="20"/>
              <w:spacing w:before="1" w:line="249" w:lineRule="auto"/>
              <w:ind w:left="27" w:right="79"/>
              <w:rPr>
                <w:color w:val="000000" w:themeColor="text1"/>
                <w:sz w:val="14"/>
              </w:rPr>
            </w:pPr>
            <w:r>
              <w:rPr>
                <w:color w:val="000000" w:themeColor="text1"/>
                <w:w w:val="105"/>
                <w:sz w:val="14"/>
              </w:rPr>
              <w:t>生产建设项目水土保持方案审批（</w:t>
            </w:r>
            <w:r>
              <w:rPr>
                <w:rFonts w:hint="eastAsia"/>
                <w:color w:val="000000" w:themeColor="text1"/>
                <w:w w:val="105"/>
                <w:sz w:val="14"/>
              </w:rPr>
              <w:t>3</w:t>
            </w:r>
            <w:r>
              <w:rPr>
                <w:color w:val="000000" w:themeColor="text1"/>
                <w:w w:val="105"/>
                <w:sz w:val="14"/>
              </w:rPr>
              <w:t>日）</w:t>
            </w:r>
          </w:p>
        </w:tc>
        <w:tc>
          <w:tcPr>
            <w:tcW w:w="1262"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108"/>
              <w:ind w:left="32" w:right="16"/>
              <w:jc w:val="center"/>
              <w:rPr>
                <w:color w:val="000000" w:themeColor="text1"/>
                <w:sz w:val="14"/>
              </w:rPr>
            </w:pPr>
            <w:r>
              <w:rPr>
                <w:color w:val="000000" w:themeColor="text1"/>
                <w:w w:val="105"/>
                <w:sz w:val="14"/>
              </w:rPr>
              <w:t>技术审查</w:t>
            </w:r>
          </w:p>
        </w:tc>
        <w:tc>
          <w:tcPr>
            <w:tcW w:w="6532" w:type="dxa"/>
          </w:tcPr>
          <w:p>
            <w:pPr>
              <w:pStyle w:val="20"/>
              <w:spacing w:before="43" w:line="249" w:lineRule="auto"/>
              <w:ind w:left="27" w:right="1"/>
              <w:jc w:val="both"/>
              <w:rPr>
                <w:color w:val="000000" w:themeColor="text1"/>
                <w:sz w:val="14"/>
              </w:rPr>
            </w:pPr>
            <w:r>
              <w:rPr>
                <w:color w:val="000000" w:themeColor="text1"/>
                <w:w w:val="105"/>
                <w:sz w:val="14"/>
              </w:rPr>
              <w:t>【部门规章】《开发建设项目水土保持方案编报审批管理规定 （2017年修正）》 (1995年5月30日水利部令第5号发布，2005年7月8日水利部令第24号第一次修改，2017年12月22日水利部令第49号第二次修改)</w:t>
            </w:r>
          </w:p>
          <w:p>
            <w:pPr>
              <w:pStyle w:val="20"/>
              <w:spacing w:before="2" w:line="249" w:lineRule="auto"/>
              <w:ind w:left="27" w:right="32"/>
              <w:jc w:val="both"/>
              <w:rPr>
                <w:color w:val="000000" w:themeColor="text1"/>
                <w:sz w:val="14"/>
              </w:rPr>
            </w:pPr>
            <w:r>
              <w:rPr>
                <w:color w:val="000000" w:themeColor="text1"/>
                <w:spacing w:val="-1"/>
                <w:w w:val="105"/>
                <w:sz w:val="14"/>
              </w:rPr>
              <w:t>第九条 开发建设单位或者个人要求审批水土保持方案的，应当向有审批权的水行政主管部门提交</w:t>
            </w:r>
            <w:r>
              <w:rPr>
                <w:color w:val="000000" w:themeColor="text1"/>
                <w:spacing w:val="-2"/>
                <w:w w:val="105"/>
                <w:sz w:val="14"/>
              </w:rPr>
              <w:t>书面申请和水土保持方案报告书或者水土保持方案报告表各一式三份。</w:t>
            </w:r>
            <w:r>
              <w:rPr>
                <w:color w:val="000000" w:themeColor="text1"/>
                <w:w w:val="105"/>
                <w:sz w:val="14"/>
              </w:rPr>
              <w:t>有审批权的水行政主管部门受理申请后，应当依据有关法律、法规和技术规范组织审查，或者委托有关机构进行技术评审。水行政主管部门应当自受理水土保持方案报告书审批申请之日起二十日内，或者应当自受理水土保持方案报告表审批申请之日起十日内，作出审查决定。但是，技术评审时间除外。对于特殊性质或者特大型开发建设项目的水土保持方案报告书，二十日内不能作出审查决定的，经本行政机关负责人批准，可以延长十日，并应当将延长期限的理由告知申请单位或者个人。</w:t>
            </w:r>
          </w:p>
          <w:p>
            <w:pPr>
              <w:pStyle w:val="20"/>
              <w:spacing w:line="178" w:lineRule="exact"/>
              <w:ind w:left="27"/>
              <w:rPr>
                <w:color w:val="000000" w:themeColor="text1"/>
                <w:sz w:val="14"/>
              </w:rPr>
            </w:pPr>
            <w:r>
              <w:rPr>
                <w:color w:val="000000" w:themeColor="text1"/>
                <w:w w:val="105"/>
                <w:sz w:val="14"/>
              </w:rPr>
              <w:t>【政策文件】《山东省水利厅行政许可专家评审工作管理办法》（鲁水规字〔2021〕3号）</w:t>
            </w:r>
          </w:p>
          <w:p>
            <w:pPr>
              <w:pStyle w:val="20"/>
              <w:spacing w:before="8" w:line="249" w:lineRule="auto"/>
              <w:ind w:left="27"/>
              <w:jc w:val="both"/>
              <w:rPr>
                <w:color w:val="000000" w:themeColor="text1"/>
                <w:sz w:val="14"/>
              </w:rPr>
            </w:pPr>
            <w:r>
              <w:rPr>
                <w:color w:val="000000" w:themeColor="text1"/>
                <w:w w:val="105"/>
                <w:sz w:val="14"/>
              </w:rPr>
              <w:t>第十三条 为提高行政审批效率，省水利厅行政许可专家评审和技术审查期限为 20个工作日（不含报告或方案修改时间），包括现场核查、专家评审会（或书面函审）、报告（方案）复审、省流域中心出具技术审查意见等环节。其中，现场核查和专家评审在受理行政许可申请之日起12个工作日内组织完成；需要复审的，报告（方案）修改完成并提交后，5个工作日内完成复审，并出具专家评审意见；专家组出具评审意见之日起3个工作日内，省流域中心出具技术审查意见。</w:t>
            </w:r>
          </w:p>
          <w:p>
            <w:pPr>
              <w:pStyle w:val="20"/>
              <w:spacing w:before="4"/>
              <w:ind w:left="27"/>
              <w:jc w:val="both"/>
              <w:rPr>
                <w:color w:val="000000" w:themeColor="text1"/>
                <w:sz w:val="14"/>
              </w:rPr>
            </w:pPr>
            <w:r>
              <w:rPr>
                <w:color w:val="000000" w:themeColor="text1"/>
                <w:w w:val="105"/>
                <w:sz w:val="14"/>
              </w:rPr>
              <w:t>第二十三条：项目申请人在10个工作日内未完成报告（方案）修改完善的，由专家组视情况出具评审意见，省流域中心出具技术审查意见，省水利厅出具许可决定。</w:t>
            </w:r>
          </w:p>
        </w:tc>
        <w:tc>
          <w:tcPr>
            <w:tcW w:w="1866"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108"/>
              <w:ind w:left="28"/>
              <w:rPr>
                <w:color w:val="000000" w:themeColor="text1"/>
                <w:sz w:val="14"/>
              </w:rPr>
            </w:pPr>
            <w:r>
              <w:rPr>
                <w:color w:val="000000" w:themeColor="text1"/>
                <w:w w:val="105"/>
                <w:sz w:val="14"/>
              </w:rPr>
              <w:t>应当进行技术审查的项目。</w:t>
            </w:r>
          </w:p>
        </w:tc>
        <w:tc>
          <w:tcPr>
            <w:tcW w:w="1127"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line="249" w:lineRule="auto"/>
              <w:ind w:left="44" w:right="11"/>
              <w:rPr>
                <w:color w:val="000000" w:themeColor="text1"/>
                <w:spacing w:val="2"/>
                <w:w w:val="105"/>
                <w:sz w:val="14"/>
              </w:rPr>
            </w:pPr>
            <w:r>
              <w:rPr>
                <w:color w:val="000000" w:themeColor="text1"/>
                <w:spacing w:val="2"/>
                <w:w w:val="105"/>
                <w:sz w:val="14"/>
              </w:rPr>
              <w:t xml:space="preserve">法定时限：30 </w:t>
            </w:r>
          </w:p>
          <w:p>
            <w:pPr>
              <w:pStyle w:val="20"/>
              <w:spacing w:line="249" w:lineRule="auto"/>
              <w:ind w:left="44" w:right="11"/>
              <w:rPr>
                <w:color w:val="000000" w:themeColor="text1"/>
                <w:sz w:val="14"/>
              </w:rPr>
            </w:pPr>
            <w:r>
              <w:rPr>
                <w:color w:val="000000" w:themeColor="text1"/>
                <w:spacing w:val="2"/>
                <w:w w:val="105"/>
                <w:sz w:val="14"/>
              </w:rPr>
              <w:t>承诺时限：7</w:t>
            </w:r>
          </w:p>
        </w:tc>
        <w:tc>
          <w:tcPr>
            <w:tcW w:w="911"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2"/>
              <w:rPr>
                <w:sz w:val="18"/>
              </w:rPr>
            </w:pPr>
          </w:p>
          <w:p>
            <w:pPr>
              <w:pStyle w:val="20"/>
              <w:rPr>
                <w:sz w:val="14"/>
              </w:rPr>
            </w:pPr>
            <w:r>
              <w:rPr>
                <w:rFonts w:hint="eastAsia"/>
                <w:sz w:val="14"/>
              </w:rPr>
              <w:t>区</w:t>
            </w:r>
            <w:r>
              <w:rPr>
                <w:sz w:val="14"/>
              </w:rPr>
              <w:t>行政审批局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19"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color w:val="000000" w:themeColor="text1"/>
                <w:sz w:val="2"/>
                <w:szCs w:val="2"/>
              </w:rPr>
            </w:pPr>
          </w:p>
        </w:tc>
        <w:tc>
          <w:tcPr>
            <w:tcW w:w="1166" w:type="dxa"/>
            <w:vMerge w:val="continue"/>
            <w:tcBorders>
              <w:top w:val="nil"/>
            </w:tcBorders>
          </w:tcPr>
          <w:p>
            <w:pPr>
              <w:rPr>
                <w:color w:val="000000" w:themeColor="text1"/>
                <w:sz w:val="2"/>
                <w:szCs w:val="2"/>
              </w:rPr>
            </w:pPr>
          </w:p>
        </w:tc>
        <w:tc>
          <w:tcPr>
            <w:tcW w:w="1262"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9"/>
              <w:rPr>
                <w:color w:val="000000" w:themeColor="text1"/>
                <w:sz w:val="17"/>
              </w:rPr>
            </w:pPr>
          </w:p>
          <w:p>
            <w:pPr>
              <w:pStyle w:val="20"/>
              <w:spacing w:before="1"/>
              <w:ind w:left="32" w:right="7"/>
              <w:jc w:val="center"/>
              <w:rPr>
                <w:color w:val="000000" w:themeColor="text1"/>
                <w:sz w:val="14"/>
              </w:rPr>
            </w:pPr>
            <w:r>
              <w:rPr>
                <w:color w:val="000000" w:themeColor="text1"/>
                <w:w w:val="105"/>
                <w:sz w:val="14"/>
              </w:rPr>
              <w:t>听证</w:t>
            </w:r>
          </w:p>
        </w:tc>
        <w:tc>
          <w:tcPr>
            <w:tcW w:w="6532" w:type="dxa"/>
          </w:tcPr>
          <w:p>
            <w:pPr>
              <w:pStyle w:val="20"/>
              <w:spacing w:before="81"/>
              <w:ind w:left="27"/>
              <w:jc w:val="both"/>
              <w:rPr>
                <w:color w:val="000000" w:themeColor="text1"/>
                <w:sz w:val="14"/>
              </w:rPr>
            </w:pPr>
            <w:r>
              <w:rPr>
                <w:color w:val="000000" w:themeColor="text1"/>
                <w:w w:val="105"/>
                <w:sz w:val="14"/>
              </w:rPr>
              <w:t>【部门规章】《水行政许可实施办法》（水利部令第23号）</w:t>
            </w:r>
          </w:p>
          <w:p>
            <w:pPr>
              <w:pStyle w:val="20"/>
              <w:spacing w:before="8" w:line="249" w:lineRule="auto"/>
              <w:ind w:left="27" w:right="21"/>
              <w:jc w:val="both"/>
              <w:rPr>
                <w:color w:val="000000" w:themeColor="text1"/>
                <w:sz w:val="14"/>
              </w:rPr>
            </w:pPr>
            <w:r>
              <w:rPr>
                <w:color w:val="000000" w:themeColor="text1"/>
                <w:w w:val="105"/>
                <w:sz w:val="14"/>
              </w:rPr>
              <w:t>第二十九条 法律、法规、规章规定实施水行政许可应当听证的事项，或者水行政许可实施机关认为需要听证的其他涉及公共利益的重大水行政许可事项，水行政许可实施机关应当向社会公告，并举行听证。水行政许可直接涉及申请人与他人之间重大利益关系的，水行政许可实施机关在作出水行政许可决定前，应当制作《水行政许可听证告知书》，告知申请人、利害关系人享有要求听证的权利。水行政许可听证的具体规定由国务院水行政主管部门另行制定。</w:t>
            </w:r>
          </w:p>
          <w:p>
            <w:pPr>
              <w:pStyle w:val="20"/>
              <w:spacing w:before="2"/>
              <w:ind w:left="27"/>
              <w:jc w:val="both"/>
              <w:rPr>
                <w:color w:val="000000" w:themeColor="text1"/>
                <w:sz w:val="14"/>
              </w:rPr>
            </w:pPr>
            <w:r>
              <w:rPr>
                <w:color w:val="000000" w:themeColor="text1"/>
                <w:w w:val="105"/>
                <w:sz w:val="14"/>
              </w:rPr>
              <w:t>【部门规章】《水行政许可听证规定》（水利部令第27号）</w:t>
            </w:r>
          </w:p>
          <w:p>
            <w:pPr>
              <w:pStyle w:val="20"/>
              <w:spacing w:before="9" w:line="249" w:lineRule="auto"/>
              <w:ind w:left="27"/>
              <w:jc w:val="both"/>
              <w:rPr>
                <w:color w:val="000000" w:themeColor="text1"/>
                <w:sz w:val="14"/>
              </w:rPr>
            </w:pPr>
            <w:r>
              <w:rPr>
                <w:color w:val="000000" w:themeColor="text1"/>
                <w:w w:val="105"/>
                <w:sz w:val="14"/>
              </w:rPr>
              <w:t>第五条 水行政许可事项直接涉及申请人与他人之间重大利益关系的，水行政许可实施机关在作出水行政许可决定前，应当制作听证告知书，告知申请人、利害关系人享有要求听证的权利；申请人或者利害关系人在被告知听证权利之日起五日内要求听证的，应当提交听证申请书；逾期不申请的，视为放弃听证。</w:t>
            </w:r>
          </w:p>
          <w:p>
            <w:pPr>
              <w:pStyle w:val="20"/>
              <w:spacing w:before="2" w:line="249" w:lineRule="auto"/>
              <w:ind w:left="27" w:right="9"/>
              <w:jc w:val="both"/>
              <w:rPr>
                <w:color w:val="000000" w:themeColor="text1"/>
                <w:sz w:val="14"/>
              </w:rPr>
            </w:pPr>
            <w:r>
              <w:rPr>
                <w:color w:val="000000" w:themeColor="text1"/>
                <w:w w:val="105"/>
                <w:sz w:val="14"/>
              </w:rPr>
              <w:t>第六条 水行政许可实施机关收到听证申请后，应当在五日内对申请材料进行审查。申请材料不齐备的，应当一次告知申请人、利害关系人需要补正的全部内容；申请材料符合形式和内容要求的，应当自收到申请材料之日起二十日内组织听证。</w:t>
            </w:r>
          </w:p>
        </w:tc>
        <w:tc>
          <w:tcPr>
            <w:tcW w:w="1866"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9"/>
              <w:rPr>
                <w:color w:val="000000" w:themeColor="text1"/>
                <w:sz w:val="17"/>
              </w:rPr>
            </w:pPr>
          </w:p>
          <w:p>
            <w:pPr>
              <w:pStyle w:val="20"/>
              <w:spacing w:before="1"/>
              <w:ind w:left="28"/>
              <w:rPr>
                <w:color w:val="000000" w:themeColor="text1"/>
                <w:sz w:val="14"/>
              </w:rPr>
            </w:pPr>
            <w:r>
              <w:rPr>
                <w:color w:val="000000" w:themeColor="text1"/>
                <w:w w:val="105"/>
                <w:sz w:val="14"/>
              </w:rPr>
              <w:t>需要听证的项目。</w:t>
            </w:r>
          </w:p>
        </w:tc>
        <w:tc>
          <w:tcPr>
            <w:tcW w:w="1127"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1"/>
              <w:rPr>
                <w:color w:val="000000" w:themeColor="text1"/>
                <w:sz w:val="17"/>
              </w:rPr>
            </w:pPr>
          </w:p>
          <w:p>
            <w:pPr>
              <w:pStyle w:val="20"/>
              <w:spacing w:line="249" w:lineRule="auto"/>
              <w:ind w:left="44" w:right="11"/>
              <w:rPr>
                <w:color w:val="000000" w:themeColor="text1"/>
                <w:w w:val="105"/>
                <w:sz w:val="14"/>
              </w:rPr>
            </w:pPr>
            <w:r>
              <w:rPr>
                <w:color w:val="000000" w:themeColor="text1"/>
                <w:spacing w:val="2"/>
                <w:w w:val="105"/>
                <w:sz w:val="14"/>
              </w:rPr>
              <w:t>法定时限</w:t>
            </w:r>
            <w:r>
              <w:rPr>
                <w:color w:val="000000" w:themeColor="text1"/>
                <w:w w:val="105"/>
                <w:sz w:val="14"/>
              </w:rPr>
              <w:t xml:space="preserve">：25 </w:t>
            </w:r>
          </w:p>
          <w:p>
            <w:pPr>
              <w:pStyle w:val="20"/>
              <w:spacing w:line="249" w:lineRule="auto"/>
              <w:ind w:left="44" w:right="11"/>
              <w:rPr>
                <w:color w:val="000000" w:themeColor="text1"/>
                <w:sz w:val="14"/>
              </w:rPr>
            </w:pPr>
            <w:r>
              <w:rPr>
                <w:color w:val="000000" w:themeColor="text1"/>
                <w:spacing w:val="-1"/>
                <w:w w:val="105"/>
                <w:sz w:val="14"/>
              </w:rPr>
              <w:t>承诺时限：</w:t>
            </w:r>
            <w:r>
              <w:rPr>
                <w:rFonts w:hint="eastAsia"/>
                <w:color w:val="000000" w:themeColor="text1"/>
                <w:w w:val="105"/>
                <w:sz w:val="14"/>
              </w:rPr>
              <w:t>1</w:t>
            </w:r>
            <w:r>
              <w:rPr>
                <w:color w:val="000000" w:themeColor="text1"/>
                <w:w w:val="105"/>
                <w:sz w:val="14"/>
              </w:rPr>
              <w:t>0</w:t>
            </w:r>
          </w:p>
        </w:tc>
        <w:tc>
          <w:tcPr>
            <w:tcW w:w="911" w:type="dxa"/>
            <w:vMerge w:val="continue"/>
            <w:tcBorders>
              <w:top w:val="nil"/>
            </w:tcBorders>
          </w:tcPr>
          <w:p>
            <w:pPr>
              <w:rPr>
                <w:sz w:val="2"/>
                <w:szCs w:val="2"/>
                <w:lang w:eastAsia="zh-CN"/>
              </w:rPr>
            </w:pPr>
          </w:p>
        </w:tc>
      </w:tr>
    </w:tbl>
    <w:p>
      <w:pPr>
        <w:rPr>
          <w:sz w:val="2"/>
          <w:szCs w:val="2"/>
          <w:lang w:eastAsia="zh-CN"/>
        </w:rPr>
        <w:sectPr>
          <w:pgSz w:w="16840" w:h="11910" w:orient="landscape"/>
          <w:pgMar w:top="1000" w:right="980" w:bottom="1140" w:left="980" w:header="0" w:footer="94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right="100"/>
              <w:jc w:val="right"/>
              <w:rPr>
                <w:rFonts w:ascii="黑体" w:eastAsia="黑体"/>
                <w:sz w:val="14"/>
              </w:rPr>
            </w:pPr>
            <w:r>
              <w:rPr>
                <w:rFonts w:hint="eastAsia" w:ascii="黑体" w:eastAsia="黑体"/>
                <w:w w:val="105"/>
                <w:sz w:val="14"/>
              </w:rPr>
              <w:t>事项名称</w:t>
            </w:r>
          </w:p>
        </w:tc>
        <w:tc>
          <w:tcPr>
            <w:tcW w:w="1166"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62"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3"/>
              <w:rPr>
                <w:sz w:val="20"/>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tcPr>
          <w:p>
            <w:pPr>
              <w:pStyle w:val="20"/>
              <w:spacing w:before="3"/>
              <w:rPr>
                <w:sz w:val="20"/>
              </w:rPr>
            </w:pPr>
          </w:p>
          <w:p>
            <w:pPr>
              <w:pStyle w:val="20"/>
              <w:spacing w:line="242" w:lineRule="auto"/>
              <w:ind w:left="391" w:right="61" w:hanging="303"/>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773" w:hRule="atLeast"/>
          <w:jc w:val="center"/>
        </w:trPr>
        <w:tc>
          <w:tcPr>
            <w:tcW w:w="35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7"/>
              <w:rPr>
                <w:sz w:val="10"/>
              </w:rPr>
            </w:pPr>
          </w:p>
          <w:p>
            <w:pPr>
              <w:pStyle w:val="20"/>
              <w:spacing w:before="1"/>
              <w:ind w:left="107"/>
              <w:rPr>
                <w:rFonts w:hint="eastAsia" w:eastAsia="宋体"/>
                <w:sz w:val="14"/>
                <w:lang w:val="en-US" w:eastAsia="zh-CN"/>
              </w:rPr>
            </w:pPr>
            <w:r>
              <w:rPr>
                <w:w w:val="105"/>
                <w:sz w:val="14"/>
              </w:rPr>
              <w:t>1</w:t>
            </w:r>
            <w:r>
              <w:rPr>
                <w:rFonts w:hint="eastAsia"/>
                <w:w w:val="105"/>
                <w:sz w:val="14"/>
                <w:lang w:val="en-US" w:eastAsia="zh-CN"/>
              </w:rPr>
              <w:t>1</w:t>
            </w:r>
          </w:p>
        </w:tc>
        <w:tc>
          <w:tcPr>
            <w:tcW w:w="830" w:type="dxa"/>
            <w:vMerge w:val="restart"/>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6"/>
              <w:rPr>
                <w:color w:val="000000" w:themeColor="text1"/>
                <w:sz w:val="17"/>
              </w:rPr>
            </w:pPr>
          </w:p>
          <w:p>
            <w:pPr>
              <w:pStyle w:val="20"/>
              <w:spacing w:line="244" w:lineRule="auto"/>
              <w:ind w:left="117" w:right="28" w:hanging="78"/>
              <w:rPr>
                <w:color w:val="000000" w:themeColor="text1"/>
                <w:sz w:val="14"/>
              </w:rPr>
            </w:pPr>
            <w:r>
              <w:rPr>
                <w:color w:val="000000" w:themeColor="text1"/>
                <w:w w:val="105"/>
                <w:sz w:val="14"/>
              </w:rPr>
              <w:t>洪水影响评价类审批</w:t>
            </w:r>
          </w:p>
        </w:tc>
        <w:tc>
          <w:tcPr>
            <w:tcW w:w="1166" w:type="dxa"/>
            <w:vMerge w:val="restart"/>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8"/>
              <w:rPr>
                <w:color w:val="000000" w:themeColor="text1"/>
                <w:sz w:val="12"/>
              </w:rPr>
            </w:pPr>
          </w:p>
          <w:p>
            <w:pPr>
              <w:pStyle w:val="20"/>
              <w:spacing w:line="249" w:lineRule="auto"/>
              <w:ind w:left="27" w:right="67"/>
              <w:jc w:val="both"/>
              <w:rPr>
                <w:color w:val="000000" w:themeColor="text1"/>
                <w:sz w:val="14"/>
              </w:rPr>
            </w:pPr>
            <w:r>
              <w:rPr>
                <w:color w:val="000000" w:themeColor="text1"/>
                <w:spacing w:val="2"/>
                <w:w w:val="105"/>
                <w:sz w:val="14"/>
              </w:rPr>
              <w:t>1</w:t>
            </w:r>
            <w:r>
              <w:rPr>
                <w:color w:val="000000" w:themeColor="text1"/>
                <w:w w:val="105"/>
                <w:sz w:val="14"/>
              </w:rPr>
              <w:t>.非防洪建设项目洪水影响评价报告审批</w:t>
            </w:r>
            <w:r>
              <w:rPr>
                <w:color w:val="000000" w:themeColor="text1"/>
                <w:spacing w:val="2"/>
                <w:w w:val="105"/>
                <w:sz w:val="14"/>
              </w:rPr>
              <w:t>（</w:t>
            </w:r>
            <w:r>
              <w:rPr>
                <w:rFonts w:hint="eastAsia"/>
                <w:color w:val="000000" w:themeColor="text1"/>
                <w:spacing w:val="2"/>
                <w:w w:val="105"/>
                <w:sz w:val="14"/>
              </w:rPr>
              <w:t>3</w:t>
            </w:r>
            <w:r>
              <w:rPr>
                <w:color w:val="000000" w:themeColor="text1"/>
                <w:w w:val="105"/>
                <w:sz w:val="14"/>
              </w:rPr>
              <w:t>日）</w:t>
            </w:r>
          </w:p>
          <w:p>
            <w:pPr>
              <w:pStyle w:val="20"/>
              <w:tabs>
                <w:tab w:val="left" w:pos="181"/>
              </w:tabs>
              <w:spacing w:before="8" w:line="177" w:lineRule="exact"/>
              <w:ind w:left="27" w:right="75"/>
              <w:rPr>
                <w:color w:val="000000" w:themeColor="text1"/>
                <w:sz w:val="14"/>
              </w:rPr>
            </w:pPr>
            <w:r>
              <w:rPr>
                <w:rFonts w:hint="eastAsia"/>
                <w:color w:val="000000" w:themeColor="text1"/>
                <w:spacing w:val="-3"/>
                <w:w w:val="105"/>
                <w:sz w:val="14"/>
              </w:rPr>
              <w:t>2.</w:t>
            </w:r>
            <w:r>
              <w:rPr>
                <w:color w:val="000000" w:themeColor="text1"/>
                <w:spacing w:val="-3"/>
                <w:w w:val="105"/>
                <w:sz w:val="14"/>
              </w:rPr>
              <w:t>水工程建设规</w:t>
            </w:r>
            <w:r>
              <w:rPr>
                <w:color w:val="000000" w:themeColor="text1"/>
                <w:w w:val="105"/>
                <w:sz w:val="14"/>
              </w:rPr>
              <w:t>划同意书审核</w:t>
            </w:r>
            <w:r>
              <w:rPr>
                <w:color w:val="000000" w:themeColor="text1"/>
                <w:spacing w:val="2"/>
                <w:w w:val="105"/>
                <w:sz w:val="14"/>
              </w:rPr>
              <w:t>（</w:t>
            </w:r>
            <w:r>
              <w:rPr>
                <w:rFonts w:hint="eastAsia"/>
                <w:color w:val="000000" w:themeColor="text1"/>
                <w:spacing w:val="2"/>
                <w:w w:val="105"/>
                <w:sz w:val="14"/>
              </w:rPr>
              <w:t>3</w:t>
            </w:r>
            <w:r>
              <w:rPr>
                <w:color w:val="000000" w:themeColor="text1"/>
                <w:w w:val="105"/>
                <w:sz w:val="14"/>
              </w:rPr>
              <w:t>日）</w:t>
            </w:r>
          </w:p>
          <w:p>
            <w:pPr>
              <w:pStyle w:val="20"/>
              <w:tabs>
                <w:tab w:val="left" w:pos="181"/>
              </w:tabs>
              <w:spacing w:before="2" w:line="249" w:lineRule="auto"/>
              <w:ind w:left="27" w:right="75"/>
              <w:jc w:val="both"/>
              <w:rPr>
                <w:color w:val="000000" w:themeColor="text1"/>
                <w:sz w:val="14"/>
              </w:rPr>
            </w:pPr>
            <w:r>
              <w:rPr>
                <w:rFonts w:hint="eastAsia"/>
                <w:color w:val="000000" w:themeColor="text1"/>
                <w:spacing w:val="-3"/>
                <w:w w:val="105"/>
                <w:sz w:val="14"/>
              </w:rPr>
              <w:t>3.</w:t>
            </w:r>
            <w:r>
              <w:rPr>
                <w:color w:val="000000" w:themeColor="text1"/>
                <w:spacing w:val="-3"/>
                <w:w w:val="105"/>
                <w:sz w:val="14"/>
              </w:rPr>
              <w:t>河道管理范围</w:t>
            </w:r>
            <w:r>
              <w:rPr>
                <w:color w:val="000000" w:themeColor="text1"/>
                <w:spacing w:val="-2"/>
                <w:w w:val="105"/>
                <w:sz w:val="14"/>
              </w:rPr>
              <w:t>内建设项目工程</w:t>
            </w:r>
            <w:r>
              <w:rPr>
                <w:color w:val="000000" w:themeColor="text1"/>
                <w:w w:val="105"/>
                <w:sz w:val="14"/>
              </w:rPr>
              <w:t>建设方案审查</w:t>
            </w:r>
            <w:r>
              <w:rPr>
                <w:color w:val="000000" w:themeColor="text1"/>
                <w:spacing w:val="2"/>
                <w:w w:val="105"/>
                <w:sz w:val="14"/>
              </w:rPr>
              <w:t>（</w:t>
            </w:r>
            <w:r>
              <w:rPr>
                <w:rFonts w:hint="eastAsia"/>
                <w:color w:val="000000" w:themeColor="text1"/>
                <w:spacing w:val="2"/>
                <w:w w:val="105"/>
                <w:sz w:val="14"/>
              </w:rPr>
              <w:t>3</w:t>
            </w:r>
            <w:r>
              <w:rPr>
                <w:color w:val="000000" w:themeColor="text1"/>
                <w:w w:val="105"/>
                <w:sz w:val="14"/>
              </w:rPr>
              <w:t>日）</w:t>
            </w:r>
          </w:p>
          <w:p>
            <w:pPr>
              <w:pStyle w:val="20"/>
              <w:tabs>
                <w:tab w:val="left" w:pos="181"/>
              </w:tabs>
              <w:spacing w:before="7" w:line="249" w:lineRule="auto"/>
              <w:ind w:left="27" w:right="75"/>
              <w:jc w:val="both"/>
              <w:rPr>
                <w:color w:val="000000" w:themeColor="text1"/>
                <w:sz w:val="14"/>
              </w:rPr>
            </w:pPr>
            <w:r>
              <w:rPr>
                <w:rFonts w:hint="eastAsia"/>
                <w:color w:val="000000" w:themeColor="text1"/>
                <w:spacing w:val="-3"/>
                <w:w w:val="105"/>
                <w:sz w:val="14"/>
              </w:rPr>
              <w:t>4.</w:t>
            </w:r>
            <w:r>
              <w:rPr>
                <w:color w:val="000000" w:themeColor="text1"/>
                <w:spacing w:val="-3"/>
                <w:w w:val="105"/>
                <w:sz w:val="14"/>
              </w:rPr>
              <w:t>国家基本水文</w:t>
            </w:r>
            <w:r>
              <w:rPr>
                <w:color w:val="000000" w:themeColor="text1"/>
                <w:spacing w:val="-2"/>
                <w:w w:val="105"/>
                <w:sz w:val="14"/>
              </w:rPr>
              <w:t>测站上下游建设影响水文监测工</w:t>
            </w:r>
            <w:r>
              <w:rPr>
                <w:color w:val="000000" w:themeColor="text1"/>
                <w:w w:val="105"/>
                <w:sz w:val="14"/>
              </w:rPr>
              <w:t>程的审批（3日）</w:t>
            </w:r>
          </w:p>
        </w:tc>
        <w:tc>
          <w:tcPr>
            <w:tcW w:w="1262"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3"/>
              <w:rPr>
                <w:color w:val="000000" w:themeColor="text1"/>
                <w:sz w:val="18"/>
              </w:rPr>
            </w:pPr>
          </w:p>
          <w:p>
            <w:pPr>
              <w:pStyle w:val="20"/>
              <w:ind w:left="32" w:right="16"/>
              <w:jc w:val="center"/>
              <w:rPr>
                <w:color w:val="000000" w:themeColor="text1"/>
                <w:sz w:val="14"/>
              </w:rPr>
            </w:pPr>
            <w:r>
              <w:rPr>
                <w:color w:val="000000" w:themeColor="text1"/>
                <w:w w:val="105"/>
                <w:sz w:val="14"/>
              </w:rPr>
              <w:t>技术审查</w:t>
            </w:r>
          </w:p>
        </w:tc>
        <w:tc>
          <w:tcPr>
            <w:tcW w:w="6532" w:type="dxa"/>
          </w:tcPr>
          <w:p>
            <w:pPr>
              <w:pStyle w:val="20"/>
              <w:spacing w:before="12"/>
              <w:rPr>
                <w:color w:val="000000" w:themeColor="text1"/>
                <w:sz w:val="14"/>
              </w:rPr>
            </w:pPr>
          </w:p>
          <w:p>
            <w:pPr>
              <w:pStyle w:val="20"/>
              <w:spacing w:line="244" w:lineRule="auto"/>
              <w:ind w:left="27"/>
              <w:jc w:val="both"/>
              <w:rPr>
                <w:color w:val="000000" w:themeColor="text1"/>
                <w:sz w:val="14"/>
              </w:rPr>
            </w:pPr>
            <w:r>
              <w:rPr>
                <w:color w:val="000000" w:themeColor="text1"/>
                <w:w w:val="105"/>
                <w:sz w:val="14"/>
              </w:rPr>
              <w:t>【政策文件】《水利部关于加强非防洪建设项目洪水影响评价工作的通知》（水汛〔2017〕359号）</w:t>
            </w:r>
          </w:p>
          <w:p>
            <w:pPr>
              <w:pStyle w:val="20"/>
              <w:spacing w:before="4" w:line="249" w:lineRule="auto"/>
              <w:ind w:left="27"/>
              <w:jc w:val="both"/>
              <w:rPr>
                <w:color w:val="000000" w:themeColor="text1"/>
                <w:sz w:val="14"/>
              </w:rPr>
            </w:pPr>
            <w:r>
              <w:rPr>
                <w:color w:val="000000" w:themeColor="text1"/>
                <w:w w:val="105"/>
                <w:sz w:val="14"/>
              </w:rPr>
              <w:t>五、规范洪水影响评价报告审批条件：各级水行政主管部门、各流域机构要按照《行政许可法》的要求视情简化程序，减少环节，优质高效地开展非防洪建设项目洪水影响评价报告审批工作。非防洪建设项目洪水影响评价报告审批前应组织专家开展技术审查，提出审查意见。</w:t>
            </w:r>
          </w:p>
          <w:p>
            <w:pPr>
              <w:pStyle w:val="20"/>
              <w:spacing w:before="1"/>
              <w:ind w:left="27"/>
              <w:jc w:val="both"/>
              <w:rPr>
                <w:color w:val="000000" w:themeColor="text1"/>
                <w:sz w:val="14"/>
              </w:rPr>
            </w:pPr>
            <w:r>
              <w:rPr>
                <w:color w:val="000000" w:themeColor="text1"/>
                <w:w w:val="105"/>
                <w:sz w:val="14"/>
              </w:rPr>
              <w:t>【政策文件】《山东省水利厅行政许可专家评审工作管理办法》（鲁水规字〔2021〕3号）</w:t>
            </w:r>
          </w:p>
          <w:p>
            <w:pPr>
              <w:pStyle w:val="20"/>
              <w:spacing w:before="9" w:line="249" w:lineRule="auto"/>
              <w:ind w:left="27"/>
              <w:jc w:val="both"/>
              <w:rPr>
                <w:color w:val="000000" w:themeColor="text1"/>
                <w:sz w:val="14"/>
              </w:rPr>
            </w:pPr>
            <w:r>
              <w:rPr>
                <w:color w:val="000000" w:themeColor="text1"/>
                <w:w w:val="105"/>
                <w:sz w:val="14"/>
              </w:rPr>
              <w:t>第十三条 为提高行政审批效率，省水利厅行政许可专家评审和技术审查期限为20个工作日（不含报告或方案修改时间），包括现场核查、专家评审会（或书面函审）、报告（方案）复审、省流域中心出具技术审查意见等环节。其中，现场核查和专家评审在受理行政许可申请之日起12个工作日内组织完成；需要复审的，报告（方案）修改完成并提交后，5个工作日内完成复审，并出具专家评审意见；专家组出具评审意见之日起3个工作日内，省流域中心出具技术审查意见。</w:t>
            </w:r>
          </w:p>
          <w:p>
            <w:pPr>
              <w:pStyle w:val="20"/>
              <w:spacing w:before="3" w:line="242" w:lineRule="auto"/>
              <w:ind w:left="27" w:right="15"/>
              <w:jc w:val="both"/>
              <w:rPr>
                <w:color w:val="000000" w:themeColor="text1"/>
                <w:sz w:val="14"/>
              </w:rPr>
            </w:pPr>
            <w:r>
              <w:rPr>
                <w:color w:val="000000" w:themeColor="text1"/>
                <w:w w:val="105"/>
                <w:sz w:val="14"/>
              </w:rPr>
              <w:t>第二十三条：项目申请人在10个工作日内未完成报告（方案）修改完善的，由专家组视情况出具评审意见，省流域中心出具技术审查意见，省水利厅出具许可决定。</w:t>
            </w:r>
          </w:p>
        </w:tc>
        <w:tc>
          <w:tcPr>
            <w:tcW w:w="1866"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3"/>
              <w:rPr>
                <w:color w:val="000000" w:themeColor="text1"/>
                <w:sz w:val="18"/>
              </w:rPr>
            </w:pPr>
          </w:p>
          <w:p>
            <w:pPr>
              <w:pStyle w:val="20"/>
              <w:ind w:left="28"/>
              <w:rPr>
                <w:color w:val="000000" w:themeColor="text1"/>
                <w:sz w:val="14"/>
              </w:rPr>
            </w:pPr>
            <w:r>
              <w:rPr>
                <w:color w:val="000000" w:themeColor="text1"/>
                <w:w w:val="105"/>
                <w:sz w:val="14"/>
              </w:rPr>
              <w:t>应当进行技术审查的项目。</w:t>
            </w:r>
          </w:p>
        </w:tc>
        <w:tc>
          <w:tcPr>
            <w:tcW w:w="1127"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8"/>
              <w:rPr>
                <w:color w:val="000000" w:themeColor="text1"/>
                <w:sz w:val="17"/>
              </w:rPr>
            </w:pPr>
          </w:p>
          <w:p>
            <w:pPr>
              <w:pStyle w:val="20"/>
              <w:spacing w:line="249" w:lineRule="auto"/>
              <w:ind w:left="44" w:right="11"/>
              <w:jc w:val="center"/>
              <w:rPr>
                <w:color w:val="000000" w:themeColor="text1"/>
                <w:w w:val="105"/>
                <w:sz w:val="14"/>
              </w:rPr>
            </w:pPr>
            <w:r>
              <w:rPr>
                <w:color w:val="000000" w:themeColor="text1"/>
                <w:spacing w:val="2"/>
                <w:w w:val="105"/>
                <w:sz w:val="14"/>
              </w:rPr>
              <w:t>法定时限</w:t>
            </w:r>
            <w:r>
              <w:rPr>
                <w:color w:val="000000" w:themeColor="text1"/>
                <w:w w:val="105"/>
                <w:sz w:val="14"/>
              </w:rPr>
              <w:t xml:space="preserve">：30 </w:t>
            </w:r>
          </w:p>
          <w:p>
            <w:pPr>
              <w:pStyle w:val="20"/>
              <w:spacing w:line="249" w:lineRule="auto"/>
              <w:ind w:left="44" w:right="11"/>
              <w:jc w:val="center"/>
              <w:rPr>
                <w:color w:val="000000" w:themeColor="text1"/>
                <w:sz w:val="14"/>
              </w:rPr>
            </w:pPr>
            <w:r>
              <w:rPr>
                <w:color w:val="000000" w:themeColor="text1"/>
                <w:spacing w:val="-1"/>
                <w:w w:val="105"/>
                <w:sz w:val="14"/>
              </w:rPr>
              <w:t>承诺时限：</w:t>
            </w:r>
            <w:r>
              <w:rPr>
                <w:color w:val="000000" w:themeColor="text1"/>
                <w:w w:val="105"/>
                <w:sz w:val="14"/>
              </w:rPr>
              <w:t>7</w:t>
            </w:r>
          </w:p>
        </w:tc>
        <w:tc>
          <w:tcPr>
            <w:tcW w:w="911"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7"/>
              <w:rPr>
                <w:sz w:val="10"/>
              </w:rPr>
            </w:pPr>
          </w:p>
          <w:p>
            <w:pPr>
              <w:pStyle w:val="20"/>
              <w:spacing w:before="1"/>
              <w:rPr>
                <w:sz w:val="14"/>
              </w:rPr>
            </w:pPr>
            <w:r>
              <w:rPr>
                <w:rFonts w:hint="eastAsia"/>
                <w:sz w:val="14"/>
              </w:rPr>
              <w:t>区</w:t>
            </w:r>
            <w:r>
              <w:rPr>
                <w:sz w:val="14"/>
              </w:rPr>
              <w:t>行政审批局、</w:t>
            </w:r>
            <w:r>
              <w:rPr>
                <w:rFonts w:hint="eastAsia"/>
                <w:sz w:val="14"/>
              </w:rPr>
              <w:t>区城市管理局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018" w:hRule="atLeast"/>
          <w:jc w:val="center"/>
        </w:trPr>
        <w:tc>
          <w:tcPr>
            <w:tcW w:w="350" w:type="dxa"/>
            <w:vMerge w:val="continue"/>
            <w:tcBorders>
              <w:top w:val="nil"/>
            </w:tcBorders>
          </w:tcPr>
          <w:p>
            <w:pPr>
              <w:rPr>
                <w:sz w:val="2"/>
                <w:szCs w:val="2"/>
                <w:lang w:eastAsia="zh-CN"/>
              </w:rPr>
            </w:pPr>
          </w:p>
        </w:tc>
        <w:tc>
          <w:tcPr>
            <w:tcW w:w="830" w:type="dxa"/>
            <w:vMerge w:val="continue"/>
            <w:tcBorders>
              <w:top w:val="nil"/>
            </w:tcBorders>
          </w:tcPr>
          <w:p>
            <w:pPr>
              <w:rPr>
                <w:color w:val="000000" w:themeColor="text1"/>
                <w:sz w:val="2"/>
                <w:szCs w:val="2"/>
                <w:lang w:eastAsia="zh-CN"/>
              </w:rPr>
            </w:pPr>
          </w:p>
        </w:tc>
        <w:tc>
          <w:tcPr>
            <w:tcW w:w="1166" w:type="dxa"/>
            <w:vMerge w:val="continue"/>
            <w:tcBorders>
              <w:top w:val="nil"/>
            </w:tcBorders>
          </w:tcPr>
          <w:p>
            <w:pPr>
              <w:rPr>
                <w:color w:val="000000" w:themeColor="text1"/>
                <w:sz w:val="2"/>
                <w:szCs w:val="2"/>
                <w:lang w:eastAsia="zh-CN"/>
              </w:rPr>
            </w:pPr>
          </w:p>
        </w:tc>
        <w:tc>
          <w:tcPr>
            <w:tcW w:w="1262"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12"/>
              <w:rPr>
                <w:color w:val="000000" w:themeColor="text1"/>
                <w:sz w:val="13"/>
              </w:rPr>
            </w:pPr>
          </w:p>
          <w:p>
            <w:pPr>
              <w:pStyle w:val="20"/>
              <w:ind w:left="32" w:right="7"/>
              <w:jc w:val="center"/>
              <w:rPr>
                <w:color w:val="000000" w:themeColor="text1"/>
                <w:sz w:val="14"/>
              </w:rPr>
            </w:pPr>
            <w:r>
              <w:rPr>
                <w:color w:val="000000" w:themeColor="text1"/>
                <w:w w:val="105"/>
                <w:sz w:val="14"/>
              </w:rPr>
              <w:t>听证</w:t>
            </w:r>
          </w:p>
        </w:tc>
        <w:tc>
          <w:tcPr>
            <w:tcW w:w="6532" w:type="dxa"/>
          </w:tcPr>
          <w:p>
            <w:pPr>
              <w:pStyle w:val="20"/>
              <w:spacing w:before="33"/>
              <w:ind w:left="27"/>
              <w:jc w:val="both"/>
              <w:rPr>
                <w:color w:val="000000" w:themeColor="text1"/>
                <w:sz w:val="14"/>
              </w:rPr>
            </w:pPr>
            <w:r>
              <w:rPr>
                <w:color w:val="000000" w:themeColor="text1"/>
                <w:w w:val="105"/>
                <w:sz w:val="14"/>
              </w:rPr>
              <w:t>【部门规章】《水行政许可实施办法》（水利部令第23号）</w:t>
            </w:r>
          </w:p>
          <w:p>
            <w:pPr>
              <w:pStyle w:val="20"/>
              <w:spacing w:before="8" w:line="247" w:lineRule="auto"/>
              <w:ind w:left="27"/>
              <w:jc w:val="both"/>
              <w:rPr>
                <w:color w:val="000000" w:themeColor="text1"/>
                <w:sz w:val="14"/>
              </w:rPr>
            </w:pPr>
            <w:r>
              <w:rPr>
                <w:color w:val="000000" w:themeColor="text1"/>
                <w:w w:val="105"/>
                <w:sz w:val="14"/>
              </w:rPr>
              <w:t>第二十九条 法律、法规、规章规定实施水行政许可应当听证的事项，或者水行政许可实施机关认为需要听证的其他涉及公共利益的重大水行政许可事项，水行政许可实施机关应当向社会公告，并举行听证。</w:t>
            </w:r>
          </w:p>
          <w:p>
            <w:pPr>
              <w:pStyle w:val="20"/>
              <w:spacing w:before="2" w:line="249" w:lineRule="auto"/>
              <w:ind w:left="27" w:right="24" w:firstLine="312"/>
              <w:jc w:val="both"/>
              <w:rPr>
                <w:color w:val="000000" w:themeColor="text1"/>
                <w:sz w:val="14"/>
              </w:rPr>
            </w:pPr>
            <w:r>
              <w:rPr>
                <w:color w:val="000000" w:themeColor="text1"/>
                <w:w w:val="105"/>
                <w:sz w:val="14"/>
              </w:rPr>
              <w:t>水行政许可直接涉及申请人与他人之间重大利益关系的，水行政许可实施机关在作出水行政许可决定前，应当制作《水行政许可听证告知书》，告知申请人、利害关系人享有要求听证的权利。</w:t>
            </w:r>
          </w:p>
          <w:p>
            <w:pPr>
              <w:pStyle w:val="20"/>
              <w:spacing w:before="3"/>
              <w:ind w:left="329"/>
              <w:jc w:val="both"/>
              <w:rPr>
                <w:color w:val="000000" w:themeColor="text1"/>
                <w:sz w:val="14"/>
              </w:rPr>
            </w:pPr>
            <w:r>
              <w:rPr>
                <w:color w:val="000000" w:themeColor="text1"/>
                <w:w w:val="105"/>
                <w:sz w:val="14"/>
              </w:rPr>
              <w:t>水行政许可听证的具体规定由国务院水行政主管部门另行制定。</w:t>
            </w:r>
          </w:p>
          <w:p>
            <w:pPr>
              <w:pStyle w:val="20"/>
              <w:spacing w:before="7"/>
              <w:ind w:left="27"/>
              <w:jc w:val="both"/>
              <w:rPr>
                <w:color w:val="000000" w:themeColor="text1"/>
                <w:sz w:val="14"/>
              </w:rPr>
            </w:pPr>
            <w:r>
              <w:rPr>
                <w:color w:val="000000" w:themeColor="text1"/>
                <w:w w:val="105"/>
                <w:sz w:val="14"/>
              </w:rPr>
              <w:t>【部门规章】《水行政许可听证规定》（水利部令第27号）</w:t>
            </w:r>
          </w:p>
          <w:p>
            <w:pPr>
              <w:pStyle w:val="20"/>
              <w:spacing w:before="8" w:line="249" w:lineRule="auto"/>
              <w:ind w:left="27" w:right="5"/>
              <w:jc w:val="both"/>
              <w:rPr>
                <w:color w:val="000000" w:themeColor="text1"/>
                <w:sz w:val="14"/>
              </w:rPr>
            </w:pPr>
            <w:r>
              <w:rPr>
                <w:color w:val="000000" w:themeColor="text1"/>
                <w:w w:val="105"/>
                <w:sz w:val="14"/>
              </w:rPr>
              <w:t>第五条 水行政许可事项直接涉及申请人与他人之间重大利益关系的，水行政许可实施机关在作出水行政许可决定前，应当制作听证告知书，告知申请人、利害关系人享有要求听证的权利；申请人或者利害关系人在被告知听证权利之日起五日内要求听证的，应当提交听证申请书；逾期不申请的，视为放弃听证。</w:t>
            </w:r>
          </w:p>
          <w:p>
            <w:pPr>
              <w:pStyle w:val="20"/>
              <w:spacing w:before="3" w:line="244" w:lineRule="auto"/>
              <w:ind w:left="27" w:right="12"/>
              <w:jc w:val="both"/>
              <w:rPr>
                <w:color w:val="000000" w:themeColor="text1"/>
                <w:sz w:val="14"/>
              </w:rPr>
            </w:pPr>
            <w:r>
              <w:rPr>
                <w:color w:val="000000" w:themeColor="text1"/>
                <w:w w:val="105"/>
                <w:sz w:val="14"/>
              </w:rPr>
              <w:t>第六条 水行政许可实施机关收到听证申请后，应当在五日内对申请材料进行审查。申请材料不齐备的，应当一次告知申请人、利害关系人需要补正的全部内容；申请材料符合形式和内容要求的，应当自收到申请材料之日起二十日内组织听证。</w:t>
            </w:r>
          </w:p>
        </w:tc>
        <w:tc>
          <w:tcPr>
            <w:tcW w:w="1866"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12"/>
              <w:rPr>
                <w:color w:val="000000" w:themeColor="text1"/>
                <w:sz w:val="13"/>
              </w:rPr>
            </w:pPr>
          </w:p>
          <w:p>
            <w:pPr>
              <w:pStyle w:val="20"/>
              <w:ind w:left="28"/>
              <w:rPr>
                <w:color w:val="000000" w:themeColor="text1"/>
                <w:sz w:val="14"/>
              </w:rPr>
            </w:pPr>
            <w:r>
              <w:rPr>
                <w:color w:val="000000" w:themeColor="text1"/>
                <w:w w:val="105"/>
                <w:sz w:val="14"/>
              </w:rPr>
              <w:t>需要听证的项目。</w:t>
            </w:r>
          </w:p>
        </w:tc>
        <w:tc>
          <w:tcPr>
            <w:tcW w:w="1127"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5"/>
              <w:rPr>
                <w:color w:val="000000" w:themeColor="text1"/>
                <w:sz w:val="13"/>
              </w:rPr>
            </w:pPr>
          </w:p>
          <w:p>
            <w:pPr>
              <w:pStyle w:val="20"/>
              <w:spacing w:line="249" w:lineRule="auto"/>
              <w:ind w:left="44" w:right="11"/>
              <w:jc w:val="center"/>
              <w:rPr>
                <w:color w:val="000000" w:themeColor="text1"/>
                <w:w w:val="105"/>
                <w:sz w:val="14"/>
              </w:rPr>
            </w:pPr>
            <w:r>
              <w:rPr>
                <w:color w:val="000000" w:themeColor="text1"/>
                <w:spacing w:val="2"/>
                <w:w w:val="105"/>
                <w:sz w:val="14"/>
              </w:rPr>
              <w:t>法定时限</w:t>
            </w:r>
            <w:r>
              <w:rPr>
                <w:color w:val="000000" w:themeColor="text1"/>
                <w:w w:val="105"/>
                <w:sz w:val="14"/>
              </w:rPr>
              <w:t xml:space="preserve">：25 </w:t>
            </w:r>
          </w:p>
          <w:p>
            <w:pPr>
              <w:pStyle w:val="20"/>
              <w:spacing w:line="249" w:lineRule="auto"/>
              <w:ind w:left="44" w:right="11"/>
              <w:jc w:val="center"/>
              <w:rPr>
                <w:color w:val="000000" w:themeColor="text1"/>
                <w:sz w:val="14"/>
              </w:rPr>
            </w:pPr>
            <w:r>
              <w:rPr>
                <w:color w:val="000000" w:themeColor="text1"/>
                <w:spacing w:val="-1"/>
                <w:w w:val="105"/>
                <w:sz w:val="14"/>
              </w:rPr>
              <w:t>承诺时限：</w:t>
            </w:r>
            <w:r>
              <w:rPr>
                <w:rFonts w:hint="eastAsia"/>
                <w:color w:val="000000" w:themeColor="text1"/>
                <w:w w:val="105"/>
                <w:sz w:val="14"/>
              </w:rPr>
              <w:t>1</w:t>
            </w:r>
            <w:r>
              <w:rPr>
                <w:color w:val="000000" w:themeColor="text1"/>
                <w:w w:val="105"/>
                <w:sz w:val="14"/>
              </w:rPr>
              <w:t>0</w:t>
            </w:r>
          </w:p>
        </w:tc>
        <w:tc>
          <w:tcPr>
            <w:tcW w:w="911" w:type="dxa"/>
            <w:vMerge w:val="continue"/>
            <w:tcBorders>
              <w:top w:val="nil"/>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70" w:hRule="atLeast"/>
          <w:jc w:val="center"/>
        </w:trPr>
        <w:tc>
          <w:tcPr>
            <w:tcW w:w="35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6"/>
              <w:rPr>
                <w:sz w:val="16"/>
              </w:rPr>
            </w:pPr>
          </w:p>
          <w:p>
            <w:pPr>
              <w:pStyle w:val="20"/>
              <w:ind w:left="28"/>
              <w:jc w:val="center"/>
              <w:rPr>
                <w:rFonts w:hint="eastAsia" w:eastAsia="宋体"/>
                <w:sz w:val="14"/>
                <w:lang w:eastAsia="zh-CN"/>
              </w:rPr>
            </w:pPr>
            <w:r>
              <w:rPr>
                <w:w w:val="105"/>
                <w:sz w:val="14"/>
              </w:rPr>
              <w:t>1</w:t>
            </w:r>
            <w:r>
              <w:rPr>
                <w:rFonts w:hint="eastAsia"/>
                <w:w w:val="105"/>
                <w:sz w:val="14"/>
                <w:lang w:val="en-US" w:eastAsia="zh-CN"/>
              </w:rPr>
              <w:t>2</w:t>
            </w:r>
          </w:p>
        </w:tc>
        <w:tc>
          <w:tcPr>
            <w:tcW w:w="830"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6"/>
              <w:rPr>
                <w:color w:val="000000" w:themeColor="text1"/>
                <w:sz w:val="16"/>
              </w:rPr>
            </w:pPr>
          </w:p>
          <w:p>
            <w:pPr>
              <w:pStyle w:val="20"/>
              <w:ind w:right="100"/>
              <w:jc w:val="right"/>
              <w:rPr>
                <w:color w:val="000000" w:themeColor="text1"/>
                <w:sz w:val="14"/>
              </w:rPr>
            </w:pPr>
            <w:r>
              <w:rPr>
                <w:color w:val="000000" w:themeColor="text1"/>
                <w:w w:val="105"/>
                <w:sz w:val="14"/>
              </w:rPr>
              <w:t>取水许可</w:t>
            </w:r>
          </w:p>
        </w:tc>
        <w:tc>
          <w:tcPr>
            <w:tcW w:w="1166" w:type="dxa"/>
            <w:vAlign w:val="center"/>
          </w:tcPr>
          <w:p>
            <w:pPr>
              <w:pStyle w:val="20"/>
              <w:jc w:val="both"/>
              <w:rPr>
                <w:color w:val="000000" w:themeColor="text1"/>
                <w:spacing w:val="6"/>
                <w:w w:val="105"/>
                <w:sz w:val="14"/>
              </w:rPr>
            </w:pPr>
            <w:r>
              <w:rPr>
                <w:color w:val="000000" w:themeColor="text1"/>
                <w:spacing w:val="2"/>
                <w:w w:val="105"/>
                <w:sz w:val="14"/>
              </w:rPr>
              <w:t>1</w:t>
            </w:r>
            <w:r>
              <w:rPr>
                <w:color w:val="000000" w:themeColor="text1"/>
                <w:w w:val="105"/>
                <w:sz w:val="14"/>
              </w:rPr>
              <w:t>.取水许可申请</w:t>
            </w:r>
            <w:r>
              <w:rPr>
                <w:color w:val="000000" w:themeColor="text1"/>
                <w:spacing w:val="6"/>
                <w:w w:val="105"/>
                <w:sz w:val="14"/>
              </w:rPr>
              <w:t>（</w:t>
            </w:r>
            <w:r>
              <w:rPr>
                <w:color w:val="000000" w:themeColor="text1"/>
                <w:spacing w:val="-3"/>
                <w:w w:val="105"/>
                <w:sz w:val="14"/>
              </w:rPr>
              <w:t>水资源论证阶</w:t>
            </w:r>
            <w:r>
              <w:rPr>
                <w:color w:val="000000" w:themeColor="text1"/>
                <w:spacing w:val="6"/>
                <w:w w:val="105"/>
                <w:sz w:val="14"/>
              </w:rPr>
              <w:t>段</w:t>
            </w:r>
            <w:r>
              <w:rPr>
                <w:color w:val="000000" w:themeColor="text1"/>
                <w:spacing w:val="2"/>
                <w:w w:val="105"/>
                <w:sz w:val="14"/>
              </w:rPr>
              <w:t>）（</w:t>
            </w:r>
            <w:r>
              <w:rPr>
                <w:rFonts w:hint="eastAsia"/>
                <w:color w:val="000000" w:themeColor="text1"/>
                <w:spacing w:val="2"/>
                <w:w w:val="105"/>
                <w:sz w:val="14"/>
              </w:rPr>
              <w:t>3</w:t>
            </w:r>
            <w:r>
              <w:rPr>
                <w:color w:val="000000" w:themeColor="text1"/>
                <w:w w:val="105"/>
                <w:sz w:val="14"/>
              </w:rPr>
              <w:t>日</w:t>
            </w:r>
            <w:r>
              <w:rPr>
                <w:color w:val="000000" w:themeColor="text1"/>
                <w:spacing w:val="6"/>
                <w:w w:val="105"/>
                <w:sz w:val="14"/>
              </w:rPr>
              <w:t xml:space="preserve">） </w:t>
            </w:r>
          </w:p>
          <w:p>
            <w:pPr>
              <w:pStyle w:val="20"/>
              <w:spacing w:line="249" w:lineRule="auto"/>
              <w:jc w:val="both"/>
              <w:rPr>
                <w:color w:val="000000" w:themeColor="text1"/>
                <w:sz w:val="14"/>
              </w:rPr>
            </w:pPr>
            <w:r>
              <w:rPr>
                <w:color w:val="000000" w:themeColor="text1"/>
                <w:spacing w:val="2"/>
                <w:w w:val="105"/>
                <w:sz w:val="14"/>
              </w:rPr>
              <w:t>2</w:t>
            </w:r>
            <w:r>
              <w:rPr>
                <w:color w:val="000000" w:themeColor="text1"/>
                <w:spacing w:val="-2"/>
                <w:w w:val="105"/>
                <w:sz w:val="14"/>
              </w:rPr>
              <w:t>.取水许可申请</w:t>
            </w:r>
          </w:p>
          <w:p>
            <w:pPr>
              <w:pStyle w:val="20"/>
              <w:jc w:val="both"/>
              <w:rPr>
                <w:color w:val="000000" w:themeColor="text1"/>
                <w:sz w:val="14"/>
              </w:rPr>
            </w:pPr>
            <w:r>
              <w:rPr>
                <w:color w:val="000000" w:themeColor="text1"/>
                <w:w w:val="105"/>
                <w:sz w:val="14"/>
              </w:rPr>
              <w:t>（验收阶段）（</w:t>
            </w:r>
            <w:r>
              <w:rPr>
                <w:rFonts w:hint="eastAsia"/>
                <w:color w:val="000000" w:themeColor="text1"/>
                <w:w w:val="105"/>
                <w:sz w:val="14"/>
              </w:rPr>
              <w:t>3</w:t>
            </w:r>
            <w:r>
              <w:rPr>
                <w:color w:val="000000" w:themeColor="text1"/>
                <w:w w:val="105"/>
                <w:sz w:val="14"/>
              </w:rPr>
              <w:t>日）</w:t>
            </w:r>
          </w:p>
          <w:p>
            <w:pPr>
              <w:pStyle w:val="20"/>
              <w:tabs>
                <w:tab w:val="left" w:pos="181"/>
              </w:tabs>
              <w:jc w:val="both"/>
              <w:rPr>
                <w:color w:val="000000" w:themeColor="text1"/>
                <w:sz w:val="14"/>
              </w:rPr>
            </w:pPr>
            <w:r>
              <w:rPr>
                <w:rFonts w:hint="eastAsia"/>
                <w:color w:val="000000" w:themeColor="text1"/>
                <w:w w:val="105"/>
                <w:sz w:val="14"/>
              </w:rPr>
              <w:t>3.</w:t>
            </w:r>
            <w:r>
              <w:rPr>
                <w:color w:val="000000" w:themeColor="text1"/>
                <w:w w:val="105"/>
                <w:sz w:val="14"/>
              </w:rPr>
              <w:t>取水许可变更（即办）</w:t>
            </w:r>
          </w:p>
          <w:p>
            <w:pPr>
              <w:pStyle w:val="20"/>
              <w:tabs>
                <w:tab w:val="left" w:pos="181"/>
              </w:tabs>
              <w:jc w:val="both"/>
              <w:rPr>
                <w:color w:val="000000" w:themeColor="text1"/>
                <w:sz w:val="14"/>
              </w:rPr>
            </w:pPr>
            <w:r>
              <w:rPr>
                <w:rFonts w:hint="eastAsia"/>
                <w:color w:val="000000" w:themeColor="text1"/>
                <w:w w:val="105"/>
                <w:sz w:val="14"/>
              </w:rPr>
              <w:t>4.</w:t>
            </w:r>
            <w:r>
              <w:rPr>
                <w:color w:val="000000" w:themeColor="text1"/>
                <w:w w:val="105"/>
                <w:sz w:val="14"/>
              </w:rPr>
              <w:t>取水许可延续（</w:t>
            </w:r>
            <w:r>
              <w:rPr>
                <w:rFonts w:hint="eastAsia"/>
                <w:color w:val="000000" w:themeColor="text1"/>
                <w:w w:val="105"/>
                <w:sz w:val="14"/>
              </w:rPr>
              <w:t>3</w:t>
            </w:r>
            <w:r>
              <w:rPr>
                <w:color w:val="000000" w:themeColor="text1"/>
                <w:w w:val="105"/>
                <w:sz w:val="14"/>
              </w:rPr>
              <w:t>日）</w:t>
            </w:r>
          </w:p>
          <w:p>
            <w:pPr>
              <w:pStyle w:val="20"/>
              <w:tabs>
                <w:tab w:val="left" w:pos="181"/>
              </w:tabs>
              <w:spacing w:line="249" w:lineRule="auto"/>
              <w:jc w:val="both"/>
              <w:rPr>
                <w:color w:val="000000" w:themeColor="text1"/>
                <w:sz w:val="14"/>
              </w:rPr>
            </w:pPr>
            <w:r>
              <w:rPr>
                <w:rFonts w:hint="eastAsia"/>
                <w:color w:val="000000" w:themeColor="text1"/>
                <w:spacing w:val="-3"/>
                <w:w w:val="105"/>
                <w:sz w:val="14"/>
              </w:rPr>
              <w:t>5.</w:t>
            </w:r>
            <w:r>
              <w:rPr>
                <w:color w:val="000000" w:themeColor="text1"/>
                <w:spacing w:val="-3"/>
                <w:w w:val="105"/>
                <w:sz w:val="14"/>
              </w:rPr>
              <w:t>取水许可证注</w:t>
            </w:r>
            <w:r>
              <w:rPr>
                <w:color w:val="000000" w:themeColor="text1"/>
                <w:spacing w:val="6"/>
                <w:w w:val="105"/>
                <w:sz w:val="14"/>
              </w:rPr>
              <w:t>销</w:t>
            </w:r>
            <w:r>
              <w:rPr>
                <w:color w:val="000000" w:themeColor="text1"/>
                <w:w w:val="105"/>
                <w:sz w:val="14"/>
              </w:rPr>
              <w:t>（20</w:t>
            </w:r>
            <w:r>
              <w:rPr>
                <w:color w:val="000000" w:themeColor="text1"/>
                <w:spacing w:val="6"/>
                <w:w w:val="105"/>
                <w:sz w:val="14"/>
              </w:rPr>
              <w:t>日</w:t>
            </w:r>
            <w:r>
              <w:rPr>
                <w:color w:val="000000" w:themeColor="text1"/>
                <w:w w:val="105"/>
                <w:sz w:val="14"/>
              </w:rPr>
              <w:t>）</w:t>
            </w:r>
          </w:p>
        </w:tc>
        <w:tc>
          <w:tcPr>
            <w:tcW w:w="1262"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6"/>
              <w:rPr>
                <w:color w:val="000000" w:themeColor="text1"/>
                <w:sz w:val="16"/>
              </w:rPr>
            </w:pPr>
          </w:p>
          <w:p>
            <w:pPr>
              <w:pStyle w:val="20"/>
              <w:ind w:left="32" w:right="16"/>
              <w:jc w:val="center"/>
              <w:rPr>
                <w:color w:val="000000" w:themeColor="text1"/>
                <w:sz w:val="14"/>
              </w:rPr>
            </w:pPr>
            <w:r>
              <w:rPr>
                <w:color w:val="000000" w:themeColor="text1"/>
                <w:w w:val="105"/>
                <w:sz w:val="14"/>
              </w:rPr>
              <w:t>技术审查</w:t>
            </w:r>
          </w:p>
        </w:tc>
        <w:tc>
          <w:tcPr>
            <w:tcW w:w="6532" w:type="dxa"/>
          </w:tcPr>
          <w:p>
            <w:pPr>
              <w:pStyle w:val="20"/>
              <w:spacing w:before="5"/>
              <w:rPr>
                <w:color w:val="000000" w:themeColor="text1"/>
                <w:sz w:val="13"/>
              </w:rPr>
            </w:pPr>
          </w:p>
          <w:p>
            <w:pPr>
              <w:pStyle w:val="20"/>
              <w:spacing w:before="1"/>
              <w:ind w:left="27"/>
              <w:jc w:val="both"/>
              <w:rPr>
                <w:color w:val="000000" w:themeColor="text1"/>
                <w:sz w:val="14"/>
              </w:rPr>
            </w:pPr>
            <w:r>
              <w:rPr>
                <w:color w:val="000000" w:themeColor="text1"/>
                <w:w w:val="105"/>
                <w:sz w:val="14"/>
              </w:rPr>
              <w:t>【部门规章】《取水许可管理办法》（中华人民共和国水利部令 第34号）</w:t>
            </w:r>
          </w:p>
          <w:p>
            <w:pPr>
              <w:pStyle w:val="20"/>
              <w:spacing w:before="8" w:line="249" w:lineRule="auto"/>
              <w:ind w:left="27" w:right="73"/>
              <w:jc w:val="both"/>
              <w:rPr>
                <w:color w:val="000000" w:themeColor="text1"/>
                <w:sz w:val="14"/>
              </w:rPr>
            </w:pPr>
            <w:r>
              <w:rPr>
                <w:color w:val="000000" w:themeColor="text1"/>
                <w:w w:val="105"/>
                <w:sz w:val="14"/>
              </w:rPr>
              <w:t>第九条 县级以上人民政府水行政主管部门或者流域管理机构应当组织有关专家对建设项目水资源论证报告书进行审查，并提出书面审查意见，作为审批取水申请的技术依据。</w:t>
            </w:r>
          </w:p>
          <w:p>
            <w:pPr>
              <w:pStyle w:val="20"/>
              <w:spacing w:before="1"/>
              <w:ind w:left="27"/>
              <w:jc w:val="both"/>
              <w:rPr>
                <w:color w:val="000000" w:themeColor="text1"/>
                <w:sz w:val="14"/>
              </w:rPr>
            </w:pPr>
            <w:r>
              <w:rPr>
                <w:color w:val="000000" w:themeColor="text1"/>
                <w:w w:val="105"/>
                <w:sz w:val="14"/>
              </w:rPr>
              <w:t>【政策文件】《山东省水利厅行政许可专家评审工作管理办法》</w:t>
            </w:r>
            <w:r>
              <w:rPr>
                <w:color w:val="000000" w:themeColor="text1"/>
                <w:spacing w:val="6"/>
                <w:w w:val="105"/>
                <w:sz w:val="14"/>
              </w:rPr>
              <w:t>（</w:t>
            </w:r>
            <w:r>
              <w:rPr>
                <w:color w:val="000000" w:themeColor="text1"/>
                <w:spacing w:val="1"/>
                <w:w w:val="105"/>
                <w:sz w:val="14"/>
              </w:rPr>
              <w:t>鲁水规字〔</w:t>
            </w:r>
            <w:r>
              <w:rPr>
                <w:color w:val="000000" w:themeColor="text1"/>
                <w:w w:val="105"/>
                <w:sz w:val="14"/>
              </w:rPr>
              <w:t>2021</w:t>
            </w:r>
            <w:r>
              <w:rPr>
                <w:color w:val="000000" w:themeColor="text1"/>
                <w:spacing w:val="6"/>
                <w:w w:val="105"/>
                <w:sz w:val="14"/>
              </w:rPr>
              <w:t>〕</w:t>
            </w:r>
            <w:r>
              <w:rPr>
                <w:color w:val="000000" w:themeColor="text1"/>
                <w:w w:val="105"/>
                <w:sz w:val="14"/>
              </w:rPr>
              <w:t>3</w:t>
            </w:r>
            <w:r>
              <w:rPr>
                <w:color w:val="000000" w:themeColor="text1"/>
                <w:spacing w:val="6"/>
                <w:w w:val="105"/>
                <w:sz w:val="14"/>
              </w:rPr>
              <w:t>号</w:t>
            </w:r>
            <w:r>
              <w:rPr>
                <w:color w:val="000000" w:themeColor="text1"/>
                <w:w w:val="105"/>
                <w:sz w:val="14"/>
              </w:rPr>
              <w:t>）</w:t>
            </w:r>
          </w:p>
          <w:p>
            <w:pPr>
              <w:pStyle w:val="20"/>
              <w:spacing w:before="7" w:line="249" w:lineRule="auto"/>
              <w:ind w:left="27" w:right="1"/>
              <w:jc w:val="both"/>
              <w:rPr>
                <w:color w:val="000000" w:themeColor="text1"/>
                <w:sz w:val="14"/>
              </w:rPr>
            </w:pPr>
            <w:r>
              <w:rPr>
                <w:color w:val="000000" w:themeColor="text1"/>
                <w:spacing w:val="1"/>
                <w:w w:val="105"/>
                <w:sz w:val="14"/>
              </w:rPr>
              <w:t>第十三条 为提高行政审批效率，省水利厅行政许可专家评审和技术审查期限为</w:t>
            </w:r>
            <w:r>
              <w:rPr>
                <w:color w:val="000000" w:themeColor="text1"/>
                <w:spacing w:val="3"/>
                <w:w w:val="105"/>
                <w:sz w:val="14"/>
              </w:rPr>
              <w:t>20</w:t>
            </w:r>
            <w:r>
              <w:rPr>
                <w:color w:val="000000" w:themeColor="text1"/>
                <w:spacing w:val="5"/>
                <w:w w:val="105"/>
                <w:sz w:val="14"/>
              </w:rPr>
              <w:t>个工作日</w:t>
            </w:r>
            <w:r>
              <w:rPr>
                <w:color w:val="000000" w:themeColor="text1"/>
                <w:spacing w:val="6"/>
                <w:w w:val="105"/>
                <w:sz w:val="14"/>
              </w:rPr>
              <w:t>（</w:t>
            </w:r>
            <w:r>
              <w:rPr>
                <w:color w:val="000000" w:themeColor="text1"/>
                <w:spacing w:val="2"/>
                <w:w w:val="105"/>
                <w:sz w:val="14"/>
              </w:rPr>
              <w:t>不含</w:t>
            </w:r>
            <w:r>
              <w:rPr>
                <w:color w:val="000000" w:themeColor="text1"/>
                <w:spacing w:val="7"/>
                <w:w w:val="105"/>
                <w:sz w:val="14"/>
              </w:rPr>
              <w:t>报告或方案修改时间</w:t>
            </w:r>
            <w:r>
              <w:rPr>
                <w:color w:val="000000" w:themeColor="text1"/>
                <w:spacing w:val="6"/>
                <w:w w:val="105"/>
                <w:sz w:val="14"/>
              </w:rPr>
              <w:t>）</w:t>
            </w:r>
            <w:r>
              <w:rPr>
                <w:color w:val="000000" w:themeColor="text1"/>
                <w:spacing w:val="5"/>
                <w:w w:val="105"/>
                <w:sz w:val="14"/>
              </w:rPr>
              <w:t>，包括现场核查、专家评审会</w:t>
            </w:r>
            <w:r>
              <w:rPr>
                <w:color w:val="000000" w:themeColor="text1"/>
                <w:spacing w:val="6"/>
                <w:w w:val="105"/>
                <w:sz w:val="14"/>
              </w:rPr>
              <w:t>（</w:t>
            </w:r>
            <w:r>
              <w:rPr>
                <w:color w:val="000000" w:themeColor="text1"/>
                <w:spacing w:val="7"/>
                <w:w w:val="105"/>
                <w:sz w:val="14"/>
              </w:rPr>
              <w:t>或书面函审）、报告</w:t>
            </w:r>
            <w:r>
              <w:rPr>
                <w:color w:val="000000" w:themeColor="text1"/>
                <w:spacing w:val="6"/>
                <w:w w:val="105"/>
                <w:sz w:val="14"/>
              </w:rPr>
              <w:t>（</w:t>
            </w:r>
            <w:r>
              <w:rPr>
                <w:color w:val="000000" w:themeColor="text1"/>
                <w:spacing w:val="8"/>
                <w:w w:val="105"/>
                <w:sz w:val="14"/>
              </w:rPr>
              <w:t>方案</w:t>
            </w:r>
            <w:r>
              <w:rPr>
                <w:color w:val="000000" w:themeColor="text1"/>
                <w:spacing w:val="7"/>
                <w:w w:val="105"/>
                <w:sz w:val="14"/>
              </w:rPr>
              <w:t>）</w:t>
            </w:r>
            <w:r>
              <w:rPr>
                <w:color w:val="000000" w:themeColor="text1"/>
                <w:spacing w:val="4"/>
                <w:w w:val="105"/>
                <w:sz w:val="14"/>
              </w:rPr>
              <w:t>复审、省流</w:t>
            </w:r>
            <w:r>
              <w:rPr>
                <w:color w:val="000000" w:themeColor="text1"/>
                <w:spacing w:val="3"/>
                <w:w w:val="105"/>
                <w:sz w:val="14"/>
              </w:rPr>
              <w:t>域中心出具技术审查意见等环节。其中，现场核查和专家评审在受理行政许可申请之日起12个工作日内组织完成；需要复审的，报告</w:t>
            </w:r>
            <w:r>
              <w:rPr>
                <w:color w:val="000000" w:themeColor="text1"/>
                <w:spacing w:val="6"/>
                <w:w w:val="105"/>
                <w:sz w:val="14"/>
              </w:rPr>
              <w:t>（</w:t>
            </w:r>
            <w:r>
              <w:rPr>
                <w:color w:val="000000" w:themeColor="text1"/>
                <w:spacing w:val="7"/>
                <w:w w:val="105"/>
                <w:sz w:val="14"/>
              </w:rPr>
              <w:t>方案</w:t>
            </w:r>
            <w:r>
              <w:rPr>
                <w:color w:val="000000" w:themeColor="text1"/>
                <w:w w:val="105"/>
                <w:sz w:val="14"/>
              </w:rPr>
              <w:t>）</w:t>
            </w:r>
            <w:r>
              <w:rPr>
                <w:color w:val="000000" w:themeColor="text1"/>
                <w:spacing w:val="5"/>
                <w:w w:val="105"/>
                <w:sz w:val="14"/>
              </w:rPr>
              <w:t>修改完成并提交后，</w:t>
            </w:r>
            <w:r>
              <w:rPr>
                <w:color w:val="000000" w:themeColor="text1"/>
                <w:spacing w:val="4"/>
                <w:w w:val="105"/>
                <w:sz w:val="14"/>
              </w:rPr>
              <w:t>5</w:t>
            </w:r>
            <w:r>
              <w:rPr>
                <w:color w:val="000000" w:themeColor="text1"/>
                <w:spacing w:val="3"/>
                <w:w w:val="105"/>
                <w:sz w:val="14"/>
              </w:rPr>
              <w:t>个工作日内完成复审，并出具</w:t>
            </w:r>
            <w:r>
              <w:rPr>
                <w:color w:val="000000" w:themeColor="text1"/>
                <w:spacing w:val="1"/>
                <w:w w:val="105"/>
                <w:sz w:val="14"/>
              </w:rPr>
              <w:t>专家评审意见；专家组出具评审意见之日起</w:t>
            </w:r>
            <w:r>
              <w:rPr>
                <w:color w:val="000000" w:themeColor="text1"/>
                <w:spacing w:val="3"/>
                <w:w w:val="105"/>
                <w:sz w:val="14"/>
              </w:rPr>
              <w:t>3</w:t>
            </w:r>
            <w:r>
              <w:rPr>
                <w:color w:val="000000" w:themeColor="text1"/>
                <w:w w:val="105"/>
                <w:sz w:val="14"/>
              </w:rPr>
              <w:t>个工作日内，省流域中心出具技术审查意见。</w:t>
            </w:r>
          </w:p>
          <w:p>
            <w:pPr>
              <w:pStyle w:val="20"/>
              <w:spacing w:line="252" w:lineRule="auto"/>
              <w:ind w:left="27" w:right="15"/>
              <w:jc w:val="both"/>
              <w:rPr>
                <w:color w:val="000000" w:themeColor="text1"/>
                <w:sz w:val="14"/>
              </w:rPr>
            </w:pPr>
            <w:r>
              <w:rPr>
                <w:color w:val="000000" w:themeColor="text1"/>
                <w:w w:val="105"/>
                <w:sz w:val="14"/>
              </w:rPr>
              <w:t>第二十三条：项目申请人在10个工作日内未完成报告（方案）修改完善的，由专家组视情况出具评审意见，省流域中心出具技术审查意见，省水利厅出具许可决定。</w:t>
            </w:r>
          </w:p>
        </w:tc>
        <w:tc>
          <w:tcPr>
            <w:tcW w:w="1866"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6"/>
              <w:rPr>
                <w:color w:val="000000" w:themeColor="text1"/>
                <w:sz w:val="16"/>
              </w:rPr>
            </w:pPr>
          </w:p>
          <w:p>
            <w:pPr>
              <w:pStyle w:val="20"/>
              <w:ind w:left="28"/>
              <w:rPr>
                <w:color w:val="000000" w:themeColor="text1"/>
                <w:sz w:val="14"/>
              </w:rPr>
            </w:pPr>
            <w:r>
              <w:rPr>
                <w:color w:val="000000" w:themeColor="text1"/>
                <w:w w:val="105"/>
                <w:sz w:val="14"/>
              </w:rPr>
              <w:t>应当进行技术审查的项目。</w:t>
            </w:r>
          </w:p>
        </w:tc>
        <w:tc>
          <w:tcPr>
            <w:tcW w:w="1127"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11"/>
              <w:rPr>
                <w:color w:val="000000" w:themeColor="text1"/>
                <w:sz w:val="15"/>
              </w:rPr>
            </w:pPr>
          </w:p>
          <w:p>
            <w:pPr>
              <w:pStyle w:val="20"/>
              <w:spacing w:line="249" w:lineRule="auto"/>
              <w:ind w:left="44" w:right="11"/>
              <w:jc w:val="center"/>
              <w:rPr>
                <w:color w:val="000000" w:themeColor="text1"/>
                <w:w w:val="105"/>
                <w:sz w:val="14"/>
              </w:rPr>
            </w:pPr>
            <w:r>
              <w:rPr>
                <w:color w:val="000000" w:themeColor="text1"/>
                <w:spacing w:val="2"/>
                <w:w w:val="105"/>
                <w:sz w:val="14"/>
              </w:rPr>
              <w:t>法定时限</w:t>
            </w:r>
            <w:r>
              <w:rPr>
                <w:color w:val="000000" w:themeColor="text1"/>
                <w:w w:val="105"/>
                <w:sz w:val="14"/>
              </w:rPr>
              <w:t xml:space="preserve">：30 </w:t>
            </w:r>
          </w:p>
          <w:p>
            <w:pPr>
              <w:pStyle w:val="20"/>
              <w:spacing w:line="249" w:lineRule="auto"/>
              <w:ind w:left="44" w:right="11"/>
              <w:jc w:val="center"/>
              <w:rPr>
                <w:color w:val="000000" w:themeColor="text1"/>
                <w:sz w:val="14"/>
              </w:rPr>
            </w:pPr>
            <w:r>
              <w:rPr>
                <w:color w:val="000000" w:themeColor="text1"/>
                <w:spacing w:val="-1"/>
                <w:w w:val="105"/>
                <w:sz w:val="14"/>
              </w:rPr>
              <w:t>承诺时限：</w:t>
            </w:r>
            <w:r>
              <w:rPr>
                <w:color w:val="000000" w:themeColor="text1"/>
                <w:w w:val="105"/>
                <w:sz w:val="14"/>
              </w:rPr>
              <w:t>7</w:t>
            </w:r>
          </w:p>
        </w:tc>
        <w:tc>
          <w:tcPr>
            <w:tcW w:w="911" w:type="dxa"/>
          </w:tcPr>
          <w:p>
            <w:pPr>
              <w:pStyle w:val="20"/>
              <w:rPr>
                <w:sz w:val="14"/>
              </w:rPr>
            </w:pPr>
          </w:p>
          <w:p>
            <w:pPr>
              <w:pStyle w:val="20"/>
              <w:rPr>
                <w:sz w:val="14"/>
              </w:rPr>
            </w:pPr>
          </w:p>
          <w:p>
            <w:pPr>
              <w:pStyle w:val="20"/>
              <w:rPr>
                <w:sz w:val="14"/>
              </w:rPr>
            </w:pPr>
          </w:p>
          <w:p>
            <w:pPr>
              <w:pStyle w:val="20"/>
              <w:rPr>
                <w:sz w:val="14"/>
              </w:rPr>
            </w:pPr>
          </w:p>
          <w:p>
            <w:pPr>
              <w:pStyle w:val="20"/>
              <w:spacing w:before="6"/>
              <w:rPr>
                <w:sz w:val="16"/>
              </w:rPr>
            </w:pPr>
          </w:p>
          <w:p>
            <w:pPr>
              <w:pStyle w:val="20"/>
              <w:rPr>
                <w:sz w:val="14"/>
              </w:rPr>
            </w:pPr>
            <w:r>
              <w:rPr>
                <w:rFonts w:hint="eastAsia"/>
                <w:sz w:val="14"/>
              </w:rPr>
              <w:t>区</w:t>
            </w:r>
            <w:r>
              <w:rPr>
                <w:sz w:val="14"/>
              </w:rPr>
              <w:t>行政审批局</w:t>
            </w:r>
          </w:p>
        </w:tc>
      </w:tr>
    </w:tbl>
    <w:p>
      <w:pPr>
        <w:rPr>
          <w:sz w:val="14"/>
        </w:rPr>
        <w:sectPr>
          <w:pgSz w:w="16840" w:h="11910" w:orient="landscape"/>
          <w:pgMar w:top="1000" w:right="980" w:bottom="1140" w:left="980" w:header="0" w:footer="94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253"/>
        <w:gridCol w:w="1175"/>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31"/>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253"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175"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3"/>
              <w:rPr>
                <w:sz w:val="20"/>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tcPr>
          <w:p>
            <w:pPr>
              <w:pStyle w:val="20"/>
              <w:spacing w:before="3"/>
              <w:rPr>
                <w:sz w:val="20"/>
              </w:rPr>
            </w:pPr>
          </w:p>
          <w:p>
            <w:pPr>
              <w:pStyle w:val="20"/>
              <w:spacing w:line="242" w:lineRule="auto"/>
              <w:ind w:left="391" w:right="61" w:hanging="303"/>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56" w:hRule="atLeast"/>
          <w:jc w:val="center"/>
        </w:trPr>
        <w:tc>
          <w:tcPr>
            <w:tcW w:w="35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6"/>
              <w:rPr>
                <w:sz w:val="16"/>
              </w:rPr>
            </w:pPr>
          </w:p>
          <w:p>
            <w:pPr>
              <w:pStyle w:val="20"/>
              <w:ind w:left="107"/>
              <w:rPr>
                <w:rFonts w:hint="eastAsia" w:eastAsia="宋体"/>
                <w:sz w:val="14"/>
                <w:lang w:eastAsia="zh-CN"/>
              </w:rPr>
            </w:pPr>
            <w:r>
              <w:rPr>
                <w:w w:val="105"/>
                <w:sz w:val="14"/>
              </w:rPr>
              <w:t>1</w:t>
            </w:r>
            <w:r>
              <w:rPr>
                <w:rFonts w:hint="eastAsia"/>
                <w:w w:val="105"/>
                <w:sz w:val="14"/>
                <w:lang w:val="en-US" w:eastAsia="zh-CN"/>
              </w:rPr>
              <w:t>2</w:t>
            </w:r>
          </w:p>
        </w:tc>
        <w:tc>
          <w:tcPr>
            <w:tcW w:w="830" w:type="dxa"/>
            <w:vMerge w:val="restart"/>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6"/>
              <w:rPr>
                <w:color w:val="000000" w:themeColor="text1"/>
                <w:sz w:val="16"/>
              </w:rPr>
            </w:pPr>
          </w:p>
          <w:p>
            <w:pPr>
              <w:pStyle w:val="20"/>
              <w:ind w:left="117"/>
              <w:rPr>
                <w:color w:val="000000" w:themeColor="text1"/>
                <w:sz w:val="14"/>
              </w:rPr>
            </w:pPr>
            <w:r>
              <w:rPr>
                <w:color w:val="000000" w:themeColor="text1"/>
                <w:w w:val="105"/>
                <w:sz w:val="14"/>
              </w:rPr>
              <w:t>取水许可</w:t>
            </w:r>
          </w:p>
        </w:tc>
        <w:tc>
          <w:tcPr>
            <w:tcW w:w="1253" w:type="dxa"/>
            <w:vMerge w:val="restart"/>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5"/>
              <w:rPr>
                <w:color w:val="000000" w:themeColor="text1"/>
                <w:sz w:val="20"/>
              </w:rPr>
            </w:pPr>
          </w:p>
          <w:p>
            <w:pPr>
              <w:pStyle w:val="20"/>
              <w:jc w:val="both"/>
              <w:rPr>
                <w:color w:val="000000" w:themeColor="text1"/>
                <w:w w:val="105"/>
                <w:sz w:val="14"/>
              </w:rPr>
            </w:pPr>
            <w:r>
              <w:rPr>
                <w:color w:val="000000" w:themeColor="text1"/>
                <w:w w:val="105"/>
                <w:sz w:val="14"/>
              </w:rPr>
              <w:t>1.取水许可申请（水资源论证阶段</w:t>
            </w:r>
            <w:r>
              <w:rPr>
                <w:color w:val="000000" w:themeColor="text1"/>
                <w:spacing w:val="2"/>
                <w:w w:val="105"/>
                <w:sz w:val="14"/>
              </w:rPr>
              <w:t>）（</w:t>
            </w:r>
            <w:r>
              <w:rPr>
                <w:rFonts w:hint="eastAsia"/>
                <w:color w:val="000000" w:themeColor="text1"/>
                <w:spacing w:val="2"/>
                <w:w w:val="105"/>
                <w:sz w:val="14"/>
              </w:rPr>
              <w:t>3</w:t>
            </w:r>
            <w:r>
              <w:rPr>
                <w:color w:val="000000" w:themeColor="text1"/>
                <w:spacing w:val="7"/>
                <w:w w:val="105"/>
                <w:sz w:val="14"/>
              </w:rPr>
              <w:t>日</w:t>
            </w:r>
            <w:r>
              <w:rPr>
                <w:color w:val="000000" w:themeColor="text1"/>
                <w:w w:val="105"/>
                <w:sz w:val="14"/>
              </w:rPr>
              <w:t>）</w:t>
            </w:r>
          </w:p>
          <w:p>
            <w:pPr>
              <w:pStyle w:val="20"/>
              <w:spacing w:line="249" w:lineRule="auto"/>
              <w:jc w:val="both"/>
              <w:rPr>
                <w:color w:val="000000" w:themeColor="text1"/>
                <w:w w:val="105"/>
                <w:sz w:val="14"/>
              </w:rPr>
            </w:pPr>
            <w:r>
              <w:rPr>
                <w:color w:val="000000" w:themeColor="text1"/>
                <w:w w:val="105"/>
                <w:sz w:val="14"/>
              </w:rPr>
              <w:t>2.取水许可申请（验收阶段）</w:t>
            </w:r>
            <w:r>
              <w:rPr>
                <w:color w:val="000000" w:themeColor="text1"/>
                <w:spacing w:val="2"/>
                <w:w w:val="105"/>
                <w:sz w:val="14"/>
              </w:rPr>
              <w:t>（</w:t>
            </w:r>
            <w:r>
              <w:rPr>
                <w:rFonts w:hint="eastAsia"/>
                <w:color w:val="000000" w:themeColor="text1"/>
                <w:spacing w:val="2"/>
                <w:w w:val="105"/>
                <w:sz w:val="14"/>
              </w:rPr>
              <w:t>3</w:t>
            </w:r>
            <w:r>
              <w:rPr>
                <w:color w:val="000000" w:themeColor="text1"/>
                <w:w w:val="105"/>
                <w:sz w:val="14"/>
              </w:rPr>
              <w:t xml:space="preserve">日）  </w:t>
            </w:r>
          </w:p>
          <w:p>
            <w:pPr>
              <w:pStyle w:val="20"/>
              <w:spacing w:line="252" w:lineRule="auto"/>
              <w:jc w:val="both"/>
              <w:rPr>
                <w:color w:val="000000" w:themeColor="text1"/>
                <w:w w:val="105"/>
                <w:sz w:val="14"/>
              </w:rPr>
            </w:pPr>
            <w:r>
              <w:rPr>
                <w:color w:val="000000" w:themeColor="text1"/>
                <w:w w:val="105"/>
                <w:sz w:val="14"/>
              </w:rPr>
              <w:t>3</w:t>
            </w:r>
            <w:r>
              <w:rPr>
                <w:color w:val="000000" w:themeColor="text1"/>
                <w:spacing w:val="-2"/>
                <w:w w:val="105"/>
                <w:sz w:val="14"/>
              </w:rPr>
              <w:t>.取水许可变更</w:t>
            </w:r>
            <w:r>
              <w:rPr>
                <w:color w:val="000000" w:themeColor="text1"/>
                <w:w w:val="105"/>
                <w:sz w:val="14"/>
              </w:rPr>
              <w:t>（</w:t>
            </w:r>
            <w:r>
              <w:rPr>
                <w:color w:val="000000" w:themeColor="text1"/>
                <w:spacing w:val="3"/>
                <w:w w:val="105"/>
                <w:sz w:val="14"/>
              </w:rPr>
              <w:t>即办</w:t>
            </w:r>
            <w:r>
              <w:rPr>
                <w:color w:val="000000" w:themeColor="text1"/>
                <w:w w:val="105"/>
                <w:sz w:val="14"/>
              </w:rPr>
              <w:t xml:space="preserve">）  </w:t>
            </w:r>
          </w:p>
          <w:p>
            <w:pPr>
              <w:pStyle w:val="20"/>
              <w:spacing w:line="249" w:lineRule="auto"/>
              <w:jc w:val="both"/>
              <w:rPr>
                <w:color w:val="000000" w:themeColor="text1"/>
                <w:w w:val="105"/>
                <w:sz w:val="14"/>
              </w:rPr>
            </w:pPr>
            <w:r>
              <w:rPr>
                <w:color w:val="000000" w:themeColor="text1"/>
                <w:w w:val="105"/>
                <w:sz w:val="14"/>
              </w:rPr>
              <w:t>4</w:t>
            </w:r>
            <w:r>
              <w:rPr>
                <w:color w:val="000000" w:themeColor="text1"/>
                <w:spacing w:val="-2"/>
                <w:w w:val="105"/>
                <w:sz w:val="14"/>
              </w:rPr>
              <w:t>.取水许可延续</w:t>
            </w:r>
            <w:r>
              <w:rPr>
                <w:color w:val="000000" w:themeColor="text1"/>
                <w:spacing w:val="2"/>
                <w:w w:val="105"/>
                <w:sz w:val="14"/>
              </w:rPr>
              <w:t>（</w:t>
            </w:r>
            <w:r>
              <w:rPr>
                <w:rFonts w:hint="eastAsia"/>
                <w:color w:val="000000" w:themeColor="text1"/>
                <w:spacing w:val="2"/>
                <w:w w:val="105"/>
                <w:sz w:val="14"/>
              </w:rPr>
              <w:t>3</w:t>
            </w:r>
            <w:r>
              <w:rPr>
                <w:color w:val="000000" w:themeColor="text1"/>
                <w:w w:val="105"/>
                <w:sz w:val="14"/>
              </w:rPr>
              <w:t xml:space="preserve">日）  </w:t>
            </w:r>
          </w:p>
          <w:p>
            <w:pPr>
              <w:pStyle w:val="20"/>
              <w:spacing w:line="249" w:lineRule="auto"/>
              <w:jc w:val="both"/>
              <w:rPr>
                <w:color w:val="000000" w:themeColor="text1"/>
                <w:sz w:val="14"/>
              </w:rPr>
            </w:pPr>
            <w:r>
              <w:rPr>
                <w:color w:val="000000" w:themeColor="text1"/>
                <w:w w:val="105"/>
                <w:sz w:val="14"/>
              </w:rPr>
              <w:t>5</w:t>
            </w:r>
            <w:r>
              <w:rPr>
                <w:color w:val="000000" w:themeColor="text1"/>
                <w:spacing w:val="-2"/>
                <w:w w:val="105"/>
                <w:sz w:val="14"/>
              </w:rPr>
              <w:t>.取水许可证注</w:t>
            </w:r>
            <w:r>
              <w:rPr>
                <w:color w:val="000000" w:themeColor="text1"/>
                <w:w w:val="105"/>
                <w:sz w:val="14"/>
              </w:rPr>
              <w:t>销（20日）</w:t>
            </w:r>
          </w:p>
        </w:tc>
        <w:tc>
          <w:tcPr>
            <w:tcW w:w="1175" w:type="dxa"/>
          </w:tcPr>
          <w:p>
            <w:pPr>
              <w:pStyle w:val="20"/>
              <w:rPr>
                <w:color w:val="000000" w:themeColor="text1"/>
                <w:sz w:val="14"/>
              </w:rPr>
            </w:pPr>
          </w:p>
          <w:p>
            <w:pPr>
              <w:pStyle w:val="20"/>
              <w:rPr>
                <w:color w:val="000000" w:themeColor="text1"/>
                <w:sz w:val="14"/>
              </w:rPr>
            </w:pPr>
          </w:p>
          <w:p>
            <w:pPr>
              <w:pStyle w:val="20"/>
              <w:spacing w:before="3"/>
              <w:rPr>
                <w:color w:val="000000" w:themeColor="text1"/>
                <w:sz w:val="11"/>
              </w:rPr>
            </w:pPr>
          </w:p>
          <w:p>
            <w:pPr>
              <w:pStyle w:val="20"/>
              <w:spacing w:before="1"/>
              <w:ind w:left="32" w:right="15"/>
              <w:jc w:val="center"/>
              <w:rPr>
                <w:color w:val="000000" w:themeColor="text1"/>
                <w:sz w:val="14"/>
              </w:rPr>
            </w:pPr>
            <w:r>
              <w:rPr>
                <w:color w:val="000000" w:themeColor="text1"/>
                <w:w w:val="105"/>
                <w:sz w:val="14"/>
              </w:rPr>
              <w:t>征求部门意见</w:t>
            </w:r>
          </w:p>
        </w:tc>
        <w:tc>
          <w:tcPr>
            <w:tcW w:w="6532" w:type="dxa"/>
          </w:tcPr>
          <w:p>
            <w:pPr>
              <w:pStyle w:val="20"/>
              <w:spacing w:before="2"/>
              <w:rPr>
                <w:color w:val="000000" w:themeColor="text1"/>
                <w:sz w:val="17"/>
              </w:rPr>
            </w:pPr>
          </w:p>
          <w:p>
            <w:pPr>
              <w:pStyle w:val="20"/>
              <w:ind w:left="27"/>
              <w:jc w:val="both"/>
              <w:rPr>
                <w:color w:val="000000" w:themeColor="text1"/>
                <w:sz w:val="14"/>
              </w:rPr>
            </w:pPr>
            <w:r>
              <w:rPr>
                <w:color w:val="000000" w:themeColor="text1"/>
                <w:w w:val="105"/>
                <w:sz w:val="14"/>
              </w:rPr>
              <w:t>【部门规章】《取水许可管理办法》（中华人民共和国水利部令第34号）</w:t>
            </w:r>
          </w:p>
          <w:p>
            <w:pPr>
              <w:pStyle w:val="20"/>
              <w:spacing w:before="9" w:line="249" w:lineRule="auto"/>
              <w:ind w:left="27" w:right="39"/>
              <w:jc w:val="both"/>
              <w:rPr>
                <w:color w:val="000000" w:themeColor="text1"/>
                <w:sz w:val="14"/>
              </w:rPr>
            </w:pPr>
            <w:r>
              <w:rPr>
                <w:color w:val="000000" w:themeColor="text1"/>
                <w:w w:val="105"/>
                <w:sz w:val="14"/>
              </w:rPr>
              <w:t>第十九条 取水审批机关在审查取水申请过程中，需要征求取水口所在地有关地方人民政府水行政主管部门或者流域管理机构意见的，被征求意见的地方人民政府水行政主管部门或者流域管理机构应当自收到征求意见材料之日起10个工作日内提出书面意见并转送取水审批机关。</w:t>
            </w:r>
          </w:p>
        </w:tc>
        <w:tc>
          <w:tcPr>
            <w:tcW w:w="1866" w:type="dxa"/>
          </w:tcPr>
          <w:p>
            <w:pPr>
              <w:pStyle w:val="20"/>
              <w:rPr>
                <w:color w:val="000000" w:themeColor="text1"/>
                <w:sz w:val="14"/>
              </w:rPr>
            </w:pPr>
          </w:p>
          <w:p>
            <w:pPr>
              <w:pStyle w:val="20"/>
              <w:rPr>
                <w:color w:val="000000" w:themeColor="text1"/>
                <w:sz w:val="14"/>
              </w:rPr>
            </w:pPr>
          </w:p>
          <w:p>
            <w:pPr>
              <w:pStyle w:val="20"/>
              <w:spacing w:before="3"/>
              <w:rPr>
                <w:color w:val="000000" w:themeColor="text1"/>
                <w:sz w:val="11"/>
              </w:rPr>
            </w:pPr>
          </w:p>
          <w:p>
            <w:pPr>
              <w:pStyle w:val="20"/>
              <w:spacing w:before="1"/>
              <w:ind w:left="28"/>
              <w:rPr>
                <w:color w:val="000000" w:themeColor="text1"/>
                <w:sz w:val="14"/>
              </w:rPr>
            </w:pPr>
            <w:r>
              <w:rPr>
                <w:color w:val="000000" w:themeColor="text1"/>
                <w:w w:val="105"/>
                <w:sz w:val="14"/>
              </w:rPr>
              <w:t>需要征求部门意见的项目。</w:t>
            </w:r>
          </w:p>
        </w:tc>
        <w:tc>
          <w:tcPr>
            <w:tcW w:w="1127" w:type="dxa"/>
          </w:tcPr>
          <w:p>
            <w:pPr>
              <w:pStyle w:val="20"/>
              <w:rPr>
                <w:color w:val="000000" w:themeColor="text1"/>
                <w:sz w:val="14"/>
              </w:rPr>
            </w:pPr>
          </w:p>
          <w:p>
            <w:pPr>
              <w:pStyle w:val="20"/>
              <w:spacing w:before="9"/>
              <w:rPr>
                <w:color w:val="000000" w:themeColor="text1"/>
                <w:sz w:val="10"/>
              </w:rPr>
            </w:pPr>
          </w:p>
          <w:p>
            <w:pPr>
              <w:pStyle w:val="20"/>
              <w:spacing w:line="249" w:lineRule="auto"/>
              <w:ind w:left="44" w:right="11"/>
              <w:rPr>
                <w:color w:val="000000" w:themeColor="text1"/>
                <w:w w:val="105"/>
                <w:sz w:val="14"/>
              </w:rPr>
            </w:pPr>
            <w:r>
              <w:rPr>
                <w:color w:val="000000" w:themeColor="text1"/>
                <w:spacing w:val="2"/>
                <w:w w:val="105"/>
                <w:sz w:val="14"/>
              </w:rPr>
              <w:t>法定时限</w:t>
            </w:r>
            <w:r>
              <w:rPr>
                <w:color w:val="000000" w:themeColor="text1"/>
                <w:w w:val="105"/>
                <w:sz w:val="14"/>
              </w:rPr>
              <w:t xml:space="preserve">：10 </w:t>
            </w:r>
          </w:p>
          <w:p>
            <w:pPr>
              <w:pStyle w:val="20"/>
              <w:spacing w:line="249" w:lineRule="auto"/>
              <w:ind w:left="44" w:right="11"/>
              <w:rPr>
                <w:color w:val="000000" w:themeColor="text1"/>
                <w:sz w:val="14"/>
              </w:rPr>
            </w:pPr>
            <w:r>
              <w:rPr>
                <w:color w:val="000000" w:themeColor="text1"/>
                <w:spacing w:val="-1"/>
                <w:w w:val="105"/>
                <w:sz w:val="14"/>
              </w:rPr>
              <w:t>承诺时限：</w:t>
            </w:r>
            <w:r>
              <w:rPr>
                <w:color w:val="000000" w:themeColor="text1"/>
                <w:w w:val="105"/>
                <w:sz w:val="14"/>
              </w:rPr>
              <w:t>5</w:t>
            </w:r>
          </w:p>
        </w:tc>
        <w:tc>
          <w:tcPr>
            <w:tcW w:w="911"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6"/>
              <w:rPr>
                <w:sz w:val="16"/>
              </w:rPr>
            </w:pPr>
          </w:p>
          <w:p>
            <w:pPr>
              <w:pStyle w:val="20"/>
              <w:rPr>
                <w:sz w:val="14"/>
              </w:rPr>
            </w:pPr>
            <w:r>
              <w:rPr>
                <w:rFonts w:hint="eastAsia"/>
                <w:sz w:val="14"/>
              </w:rPr>
              <w:t>区</w:t>
            </w:r>
            <w:r>
              <w:rPr>
                <w:sz w:val="14"/>
              </w:rPr>
              <w:t>行政审批局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38"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color w:val="000000" w:themeColor="text1"/>
                <w:sz w:val="2"/>
                <w:szCs w:val="2"/>
              </w:rPr>
            </w:pPr>
          </w:p>
        </w:tc>
        <w:tc>
          <w:tcPr>
            <w:tcW w:w="1253" w:type="dxa"/>
            <w:vMerge w:val="continue"/>
            <w:tcBorders>
              <w:top w:val="nil"/>
            </w:tcBorders>
          </w:tcPr>
          <w:p>
            <w:pPr>
              <w:rPr>
                <w:color w:val="000000" w:themeColor="text1"/>
                <w:sz w:val="2"/>
                <w:szCs w:val="2"/>
              </w:rPr>
            </w:pPr>
          </w:p>
        </w:tc>
        <w:tc>
          <w:tcPr>
            <w:tcW w:w="1175"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6"/>
              <w:rPr>
                <w:color w:val="000000" w:themeColor="text1"/>
                <w:sz w:val="18"/>
              </w:rPr>
            </w:pPr>
          </w:p>
          <w:p>
            <w:pPr>
              <w:pStyle w:val="20"/>
              <w:ind w:left="32" w:right="7"/>
              <w:jc w:val="center"/>
              <w:rPr>
                <w:color w:val="000000" w:themeColor="text1"/>
                <w:sz w:val="14"/>
              </w:rPr>
            </w:pPr>
            <w:r>
              <w:rPr>
                <w:color w:val="000000" w:themeColor="text1"/>
                <w:w w:val="105"/>
                <w:sz w:val="14"/>
              </w:rPr>
              <w:t>听证</w:t>
            </w:r>
          </w:p>
        </w:tc>
        <w:tc>
          <w:tcPr>
            <w:tcW w:w="6532" w:type="dxa"/>
          </w:tcPr>
          <w:p>
            <w:pPr>
              <w:pStyle w:val="20"/>
              <w:spacing w:before="91"/>
              <w:ind w:left="27"/>
              <w:jc w:val="both"/>
              <w:rPr>
                <w:color w:val="000000" w:themeColor="text1"/>
                <w:sz w:val="14"/>
              </w:rPr>
            </w:pPr>
            <w:r>
              <w:rPr>
                <w:color w:val="000000" w:themeColor="text1"/>
                <w:w w:val="105"/>
                <w:sz w:val="14"/>
              </w:rPr>
              <w:t>【部门规章】《水行政许可实施办法》（水利部令第23号）</w:t>
            </w:r>
          </w:p>
          <w:p>
            <w:pPr>
              <w:pStyle w:val="20"/>
              <w:spacing w:before="8" w:line="249" w:lineRule="auto"/>
              <w:ind w:left="27"/>
              <w:jc w:val="both"/>
              <w:rPr>
                <w:color w:val="000000" w:themeColor="text1"/>
                <w:sz w:val="14"/>
              </w:rPr>
            </w:pPr>
            <w:r>
              <w:rPr>
                <w:color w:val="000000" w:themeColor="text1"/>
                <w:w w:val="105"/>
                <w:sz w:val="14"/>
              </w:rPr>
              <w:t>第二十九条 法律、法规、规章规定实施水行政许可应当听证的事项，或者水行政许可实施机关认为需要听证的其他涉及公共利益的重大水行政许可事项，水行政许可实施机关应当向社会公告，并举行听证。</w:t>
            </w:r>
          </w:p>
          <w:p>
            <w:pPr>
              <w:pStyle w:val="20"/>
              <w:spacing w:before="1" w:line="249" w:lineRule="auto"/>
              <w:ind w:left="27" w:right="24" w:firstLine="312"/>
              <w:jc w:val="both"/>
              <w:rPr>
                <w:color w:val="000000" w:themeColor="text1"/>
                <w:sz w:val="14"/>
              </w:rPr>
            </w:pPr>
            <w:r>
              <w:rPr>
                <w:color w:val="000000" w:themeColor="text1"/>
                <w:w w:val="105"/>
                <w:sz w:val="14"/>
              </w:rPr>
              <w:t>水行政许可直接涉及申请人与他人之间重大利益关系的，水行政许可实施机关在作出水行政许可决定前，应当制作《水行政许可听证告知书》，告知申请人、利害关系人享有要求听证的权利。</w:t>
            </w:r>
          </w:p>
          <w:p>
            <w:pPr>
              <w:pStyle w:val="20"/>
              <w:spacing w:before="3"/>
              <w:ind w:left="329"/>
              <w:jc w:val="both"/>
              <w:rPr>
                <w:color w:val="000000" w:themeColor="text1"/>
                <w:sz w:val="14"/>
              </w:rPr>
            </w:pPr>
            <w:r>
              <w:rPr>
                <w:color w:val="000000" w:themeColor="text1"/>
                <w:w w:val="105"/>
                <w:sz w:val="14"/>
              </w:rPr>
              <w:t>水行政许可听证的具体规定由国务院水行政主管部门另行制定。</w:t>
            </w:r>
          </w:p>
          <w:p>
            <w:pPr>
              <w:pStyle w:val="20"/>
              <w:spacing w:before="3"/>
              <w:ind w:left="27"/>
              <w:jc w:val="both"/>
              <w:rPr>
                <w:color w:val="000000" w:themeColor="text1"/>
                <w:sz w:val="14"/>
              </w:rPr>
            </w:pPr>
            <w:r>
              <w:rPr>
                <w:color w:val="000000" w:themeColor="text1"/>
                <w:w w:val="105"/>
                <w:sz w:val="14"/>
              </w:rPr>
              <w:t>【部门规章】《水行政许可听证规定》（水利部令第27号）</w:t>
            </w:r>
          </w:p>
          <w:p>
            <w:pPr>
              <w:pStyle w:val="20"/>
              <w:spacing w:before="7" w:line="249" w:lineRule="auto"/>
              <w:ind w:left="27" w:right="5"/>
              <w:jc w:val="both"/>
              <w:rPr>
                <w:color w:val="000000" w:themeColor="text1"/>
                <w:sz w:val="14"/>
              </w:rPr>
            </w:pPr>
            <w:r>
              <w:rPr>
                <w:color w:val="000000" w:themeColor="text1"/>
                <w:w w:val="105"/>
                <w:sz w:val="14"/>
              </w:rPr>
              <w:t>第五条 水行政许可事项直接涉及申请人与他人之间重大利益关系的，水行政许可实施机关在作出水行政许可决定前，应当制作听证告知书，告知申请人、利害关系人享有要求听证的权利；申请人或者利害关系人在被告知听证权利之日起五日内要求听证的，应当提交听证申请书；逾期不申请的，视为放弃听证。</w:t>
            </w:r>
          </w:p>
          <w:p>
            <w:pPr>
              <w:pStyle w:val="20"/>
              <w:spacing w:before="3" w:line="249" w:lineRule="auto"/>
              <w:ind w:left="27" w:right="9"/>
              <w:jc w:val="both"/>
              <w:rPr>
                <w:color w:val="000000" w:themeColor="text1"/>
                <w:sz w:val="14"/>
              </w:rPr>
            </w:pPr>
            <w:r>
              <w:rPr>
                <w:color w:val="000000" w:themeColor="text1"/>
                <w:w w:val="105"/>
                <w:sz w:val="14"/>
              </w:rPr>
              <w:t>第六条 水行政许可实施机关收到听证申请后，应当在五日内对申请材料进行审查。申请材料不齐备的，应当一次告知申请人、利害关系人需要补正的全部内容；申请材料符合形式和内容要求的，应当自收到申请材料之日起二十日内组织听证。</w:t>
            </w:r>
          </w:p>
        </w:tc>
        <w:tc>
          <w:tcPr>
            <w:tcW w:w="1866"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6"/>
              <w:rPr>
                <w:color w:val="000000" w:themeColor="text1"/>
                <w:sz w:val="18"/>
              </w:rPr>
            </w:pPr>
          </w:p>
          <w:p>
            <w:pPr>
              <w:pStyle w:val="20"/>
              <w:ind w:left="28"/>
              <w:rPr>
                <w:color w:val="000000" w:themeColor="text1"/>
                <w:sz w:val="14"/>
              </w:rPr>
            </w:pPr>
            <w:r>
              <w:rPr>
                <w:color w:val="000000" w:themeColor="text1"/>
                <w:w w:val="105"/>
                <w:sz w:val="14"/>
              </w:rPr>
              <w:t>需要听证的项目。</w:t>
            </w:r>
          </w:p>
        </w:tc>
        <w:tc>
          <w:tcPr>
            <w:tcW w:w="1127"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11"/>
              <w:rPr>
                <w:color w:val="000000" w:themeColor="text1"/>
                <w:sz w:val="17"/>
              </w:rPr>
            </w:pPr>
          </w:p>
          <w:p>
            <w:pPr>
              <w:pStyle w:val="20"/>
              <w:spacing w:line="249" w:lineRule="auto"/>
              <w:ind w:left="44" w:right="11"/>
              <w:rPr>
                <w:color w:val="000000" w:themeColor="text1"/>
                <w:w w:val="105"/>
                <w:sz w:val="14"/>
              </w:rPr>
            </w:pPr>
            <w:r>
              <w:rPr>
                <w:color w:val="000000" w:themeColor="text1"/>
                <w:spacing w:val="2"/>
                <w:w w:val="105"/>
                <w:sz w:val="14"/>
              </w:rPr>
              <w:t>法定时限</w:t>
            </w:r>
            <w:r>
              <w:rPr>
                <w:color w:val="000000" w:themeColor="text1"/>
                <w:w w:val="105"/>
                <w:sz w:val="14"/>
              </w:rPr>
              <w:t xml:space="preserve">：25 </w:t>
            </w:r>
          </w:p>
          <w:p>
            <w:pPr>
              <w:pStyle w:val="20"/>
              <w:spacing w:line="249" w:lineRule="auto"/>
              <w:ind w:left="44" w:right="11"/>
              <w:rPr>
                <w:color w:val="000000" w:themeColor="text1"/>
                <w:sz w:val="14"/>
              </w:rPr>
            </w:pPr>
            <w:r>
              <w:rPr>
                <w:color w:val="000000" w:themeColor="text1"/>
                <w:spacing w:val="-1"/>
                <w:w w:val="105"/>
                <w:sz w:val="14"/>
              </w:rPr>
              <w:t>承诺时限：</w:t>
            </w:r>
            <w:r>
              <w:rPr>
                <w:rFonts w:hint="eastAsia"/>
                <w:color w:val="000000" w:themeColor="text1"/>
                <w:w w:val="105"/>
                <w:sz w:val="14"/>
              </w:rPr>
              <w:t>1</w:t>
            </w:r>
            <w:r>
              <w:rPr>
                <w:color w:val="000000" w:themeColor="text1"/>
                <w:w w:val="105"/>
                <w:sz w:val="14"/>
              </w:rPr>
              <w:t>0</w:t>
            </w:r>
          </w:p>
        </w:tc>
        <w:tc>
          <w:tcPr>
            <w:tcW w:w="911" w:type="dxa"/>
            <w:vMerge w:val="continue"/>
            <w:tcBorders>
              <w:top w:val="nil"/>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11" w:hRule="atLeast"/>
          <w:jc w:val="center"/>
        </w:trPr>
        <w:tc>
          <w:tcPr>
            <w:tcW w:w="350" w:type="dxa"/>
            <w:vMerge w:val="continue"/>
            <w:tcBorders>
              <w:top w:val="nil"/>
            </w:tcBorders>
          </w:tcPr>
          <w:p>
            <w:pPr>
              <w:rPr>
                <w:sz w:val="2"/>
                <w:szCs w:val="2"/>
                <w:lang w:eastAsia="zh-CN"/>
              </w:rPr>
            </w:pPr>
          </w:p>
        </w:tc>
        <w:tc>
          <w:tcPr>
            <w:tcW w:w="830" w:type="dxa"/>
            <w:vMerge w:val="continue"/>
            <w:tcBorders>
              <w:top w:val="nil"/>
            </w:tcBorders>
          </w:tcPr>
          <w:p>
            <w:pPr>
              <w:rPr>
                <w:color w:val="000000" w:themeColor="text1"/>
                <w:sz w:val="2"/>
                <w:szCs w:val="2"/>
                <w:lang w:eastAsia="zh-CN"/>
              </w:rPr>
            </w:pPr>
          </w:p>
        </w:tc>
        <w:tc>
          <w:tcPr>
            <w:tcW w:w="1253" w:type="dxa"/>
            <w:vMerge w:val="continue"/>
            <w:tcBorders>
              <w:top w:val="nil"/>
            </w:tcBorders>
          </w:tcPr>
          <w:p>
            <w:pPr>
              <w:rPr>
                <w:color w:val="000000" w:themeColor="text1"/>
                <w:sz w:val="2"/>
                <w:szCs w:val="2"/>
                <w:lang w:eastAsia="zh-CN"/>
              </w:rPr>
            </w:pPr>
          </w:p>
        </w:tc>
        <w:tc>
          <w:tcPr>
            <w:tcW w:w="1175" w:type="dxa"/>
          </w:tcPr>
          <w:p>
            <w:pPr>
              <w:pStyle w:val="20"/>
              <w:rPr>
                <w:color w:val="000000" w:themeColor="text1"/>
                <w:sz w:val="14"/>
              </w:rPr>
            </w:pPr>
          </w:p>
          <w:p>
            <w:pPr>
              <w:pStyle w:val="20"/>
              <w:spacing w:before="7"/>
              <w:rPr>
                <w:color w:val="000000" w:themeColor="text1"/>
                <w:sz w:val="15"/>
              </w:rPr>
            </w:pPr>
          </w:p>
          <w:p>
            <w:pPr>
              <w:pStyle w:val="20"/>
              <w:ind w:left="32" w:right="16"/>
              <w:jc w:val="center"/>
              <w:rPr>
                <w:color w:val="000000" w:themeColor="text1"/>
                <w:sz w:val="14"/>
              </w:rPr>
            </w:pPr>
            <w:r>
              <w:rPr>
                <w:color w:val="000000" w:themeColor="text1"/>
                <w:w w:val="105"/>
                <w:sz w:val="14"/>
              </w:rPr>
              <w:t>现场核验</w:t>
            </w:r>
          </w:p>
        </w:tc>
        <w:tc>
          <w:tcPr>
            <w:tcW w:w="6532" w:type="dxa"/>
          </w:tcPr>
          <w:p>
            <w:pPr>
              <w:pStyle w:val="20"/>
              <w:spacing w:before="12"/>
              <w:rPr>
                <w:color w:val="000000" w:themeColor="text1"/>
                <w:sz w:val="14"/>
              </w:rPr>
            </w:pPr>
          </w:p>
          <w:p>
            <w:pPr>
              <w:pStyle w:val="20"/>
              <w:ind w:left="27"/>
              <w:rPr>
                <w:color w:val="000000" w:themeColor="text1"/>
                <w:sz w:val="14"/>
              </w:rPr>
            </w:pPr>
            <w:r>
              <w:rPr>
                <w:color w:val="000000" w:themeColor="text1"/>
                <w:w w:val="105"/>
                <w:sz w:val="14"/>
              </w:rPr>
              <w:t>【部门规章】《取水许可管理办法》（中华人民共和国水利部令 第34号）</w:t>
            </w:r>
          </w:p>
          <w:p>
            <w:pPr>
              <w:pStyle w:val="20"/>
              <w:spacing w:before="8" w:line="249" w:lineRule="auto"/>
              <w:ind w:left="27" w:right="24"/>
              <w:rPr>
                <w:color w:val="000000" w:themeColor="text1"/>
                <w:sz w:val="14"/>
              </w:rPr>
            </w:pPr>
            <w:r>
              <w:rPr>
                <w:color w:val="000000" w:themeColor="text1"/>
                <w:w w:val="105"/>
                <w:sz w:val="14"/>
              </w:rPr>
              <w:t>第二十四条 取水审批机关应当自收到前条规定的有关材料后20日内，对取水工程或者设施进行现场核验，出具验收意见；对验收合格的，应当核发取水许可证。</w:t>
            </w:r>
          </w:p>
        </w:tc>
        <w:tc>
          <w:tcPr>
            <w:tcW w:w="1866" w:type="dxa"/>
          </w:tcPr>
          <w:p>
            <w:pPr>
              <w:pStyle w:val="20"/>
              <w:rPr>
                <w:color w:val="000000" w:themeColor="text1"/>
                <w:sz w:val="14"/>
              </w:rPr>
            </w:pPr>
          </w:p>
          <w:p>
            <w:pPr>
              <w:pStyle w:val="20"/>
              <w:spacing w:before="7"/>
              <w:rPr>
                <w:color w:val="000000" w:themeColor="text1"/>
                <w:sz w:val="15"/>
              </w:rPr>
            </w:pPr>
          </w:p>
          <w:p>
            <w:pPr>
              <w:pStyle w:val="20"/>
              <w:ind w:left="28"/>
              <w:rPr>
                <w:color w:val="000000" w:themeColor="text1"/>
                <w:sz w:val="14"/>
              </w:rPr>
            </w:pPr>
            <w:r>
              <w:rPr>
                <w:color w:val="000000" w:themeColor="text1"/>
                <w:w w:val="105"/>
                <w:sz w:val="14"/>
              </w:rPr>
              <w:t>应当进行技术审查的项目。</w:t>
            </w:r>
          </w:p>
        </w:tc>
        <w:tc>
          <w:tcPr>
            <w:tcW w:w="1127" w:type="dxa"/>
          </w:tcPr>
          <w:p>
            <w:pPr>
              <w:pStyle w:val="20"/>
              <w:rPr>
                <w:color w:val="000000" w:themeColor="text1"/>
                <w:sz w:val="14"/>
              </w:rPr>
            </w:pPr>
          </w:p>
          <w:p>
            <w:pPr>
              <w:pStyle w:val="20"/>
              <w:spacing w:before="7"/>
              <w:rPr>
                <w:color w:val="000000" w:themeColor="text1"/>
                <w:sz w:val="15"/>
              </w:rPr>
            </w:pPr>
          </w:p>
          <w:p>
            <w:pPr>
              <w:pStyle w:val="20"/>
              <w:ind w:left="120"/>
              <w:rPr>
                <w:color w:val="000000" w:themeColor="text1"/>
                <w:sz w:val="14"/>
              </w:rPr>
            </w:pPr>
            <w:r>
              <w:rPr>
                <w:color w:val="000000" w:themeColor="text1"/>
                <w:spacing w:val="2"/>
                <w:w w:val="105"/>
                <w:sz w:val="14"/>
              </w:rPr>
              <w:t>法定时限</w:t>
            </w:r>
            <w:r>
              <w:rPr>
                <w:color w:val="000000" w:themeColor="text1"/>
                <w:w w:val="105"/>
                <w:sz w:val="14"/>
              </w:rPr>
              <w:t>：</w:t>
            </w:r>
            <w:r>
              <w:rPr>
                <w:rFonts w:hint="eastAsia"/>
                <w:color w:val="000000" w:themeColor="text1"/>
                <w:w w:val="105"/>
                <w:sz w:val="14"/>
              </w:rPr>
              <w:t>20</w:t>
            </w:r>
            <w:r>
              <w:rPr>
                <w:color w:val="000000" w:themeColor="text1"/>
                <w:w w:val="105"/>
                <w:sz w:val="14"/>
              </w:rPr>
              <w:t xml:space="preserve"> </w:t>
            </w:r>
            <w:r>
              <w:rPr>
                <w:color w:val="000000" w:themeColor="text1"/>
                <w:spacing w:val="-1"/>
                <w:w w:val="105"/>
                <w:sz w:val="14"/>
              </w:rPr>
              <w:t>承诺时限：</w:t>
            </w:r>
            <w:r>
              <w:rPr>
                <w:color w:val="000000" w:themeColor="text1"/>
                <w:w w:val="105"/>
                <w:sz w:val="14"/>
              </w:rPr>
              <w:t>7</w:t>
            </w:r>
          </w:p>
        </w:tc>
        <w:tc>
          <w:tcPr>
            <w:tcW w:w="911" w:type="dxa"/>
            <w:vMerge w:val="continue"/>
            <w:tcBorders>
              <w:top w:val="nil"/>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30" w:hRule="atLeast"/>
          <w:jc w:val="center"/>
        </w:trPr>
        <w:tc>
          <w:tcPr>
            <w:tcW w:w="350" w:type="dxa"/>
            <w:vMerge w:val="restart"/>
          </w:tcPr>
          <w:p>
            <w:pPr>
              <w:pStyle w:val="20"/>
              <w:rPr>
                <w:sz w:val="14"/>
              </w:rPr>
            </w:pPr>
          </w:p>
          <w:p>
            <w:pPr>
              <w:pStyle w:val="20"/>
              <w:rPr>
                <w:sz w:val="14"/>
              </w:rPr>
            </w:pPr>
          </w:p>
          <w:p>
            <w:pPr>
              <w:pStyle w:val="20"/>
              <w:rPr>
                <w:sz w:val="14"/>
              </w:rPr>
            </w:pPr>
          </w:p>
          <w:p>
            <w:pPr>
              <w:pStyle w:val="20"/>
              <w:spacing w:before="3"/>
              <w:rPr>
                <w:sz w:val="18"/>
              </w:rPr>
            </w:pPr>
          </w:p>
          <w:p>
            <w:pPr>
              <w:pStyle w:val="20"/>
              <w:spacing w:before="1"/>
              <w:ind w:left="107"/>
              <w:rPr>
                <w:rFonts w:hint="eastAsia" w:eastAsia="宋体"/>
                <w:sz w:val="14"/>
                <w:lang w:eastAsia="zh-CN"/>
              </w:rPr>
            </w:pPr>
            <w:r>
              <w:rPr>
                <w:w w:val="105"/>
                <w:sz w:val="14"/>
              </w:rPr>
              <w:t>1</w:t>
            </w:r>
            <w:r>
              <w:rPr>
                <w:rFonts w:hint="eastAsia"/>
                <w:w w:val="105"/>
                <w:sz w:val="14"/>
                <w:lang w:val="en-US" w:eastAsia="zh-CN"/>
              </w:rPr>
              <w:t>3</w:t>
            </w:r>
          </w:p>
        </w:tc>
        <w:tc>
          <w:tcPr>
            <w:tcW w:w="830" w:type="dxa"/>
            <w:vMerge w:val="restart"/>
          </w:tcPr>
          <w:p>
            <w:pPr>
              <w:pStyle w:val="20"/>
              <w:rPr>
                <w:sz w:val="14"/>
              </w:rPr>
            </w:pPr>
          </w:p>
          <w:p>
            <w:pPr>
              <w:pStyle w:val="20"/>
              <w:rPr>
                <w:sz w:val="14"/>
              </w:rPr>
            </w:pPr>
          </w:p>
          <w:p>
            <w:pPr>
              <w:pStyle w:val="20"/>
              <w:spacing w:before="2"/>
              <w:rPr>
                <w:sz w:val="10"/>
              </w:rPr>
            </w:pPr>
          </w:p>
          <w:p>
            <w:pPr>
              <w:pStyle w:val="20"/>
              <w:spacing w:line="249" w:lineRule="auto"/>
              <w:ind w:left="40" w:right="19"/>
              <w:jc w:val="both"/>
              <w:rPr>
                <w:sz w:val="14"/>
              </w:rPr>
            </w:pPr>
            <w:r>
              <w:rPr>
                <w:w w:val="105"/>
                <w:sz w:val="14"/>
              </w:rPr>
              <w:t>江河、湖泊新建、改建或者扩大排污口审批</w:t>
            </w:r>
          </w:p>
        </w:tc>
        <w:tc>
          <w:tcPr>
            <w:tcW w:w="1253" w:type="dxa"/>
            <w:vMerge w:val="restart"/>
          </w:tcPr>
          <w:p>
            <w:pPr>
              <w:pStyle w:val="20"/>
              <w:rPr>
                <w:sz w:val="14"/>
              </w:rPr>
            </w:pPr>
          </w:p>
          <w:p>
            <w:pPr>
              <w:pStyle w:val="20"/>
              <w:rPr>
                <w:sz w:val="14"/>
              </w:rPr>
            </w:pPr>
          </w:p>
          <w:p>
            <w:pPr>
              <w:pStyle w:val="20"/>
              <w:spacing w:before="2"/>
              <w:rPr>
                <w:sz w:val="10"/>
              </w:rPr>
            </w:pPr>
          </w:p>
          <w:p>
            <w:pPr>
              <w:pStyle w:val="20"/>
              <w:ind w:left="27"/>
              <w:rPr>
                <w:sz w:val="14"/>
              </w:rPr>
            </w:pPr>
            <w:r>
              <w:rPr>
                <w:w w:val="105"/>
                <w:sz w:val="14"/>
              </w:rPr>
              <w:t>江河、湖泊新建、改建或者扩大排污口审批（4日）</w:t>
            </w:r>
          </w:p>
        </w:tc>
        <w:tc>
          <w:tcPr>
            <w:tcW w:w="1175" w:type="dxa"/>
          </w:tcPr>
          <w:p>
            <w:pPr>
              <w:pStyle w:val="20"/>
              <w:rPr>
                <w:sz w:val="14"/>
              </w:rPr>
            </w:pPr>
          </w:p>
          <w:p>
            <w:pPr>
              <w:pStyle w:val="20"/>
              <w:spacing w:before="3"/>
              <w:rPr>
                <w:sz w:val="16"/>
              </w:rPr>
            </w:pPr>
          </w:p>
          <w:p>
            <w:pPr>
              <w:pStyle w:val="20"/>
              <w:spacing w:before="1"/>
              <w:ind w:left="32" w:right="16"/>
              <w:jc w:val="center"/>
              <w:rPr>
                <w:sz w:val="14"/>
              </w:rPr>
            </w:pPr>
            <w:r>
              <w:rPr>
                <w:w w:val="105"/>
                <w:sz w:val="14"/>
              </w:rPr>
              <w:t>专家评审</w:t>
            </w:r>
          </w:p>
        </w:tc>
        <w:tc>
          <w:tcPr>
            <w:tcW w:w="6532" w:type="dxa"/>
          </w:tcPr>
          <w:p>
            <w:pPr>
              <w:pStyle w:val="20"/>
              <w:spacing w:before="9"/>
              <w:rPr>
                <w:sz w:val="15"/>
              </w:rPr>
            </w:pPr>
          </w:p>
          <w:p>
            <w:pPr>
              <w:pStyle w:val="20"/>
              <w:ind w:left="27"/>
              <w:rPr>
                <w:sz w:val="14"/>
              </w:rPr>
            </w:pPr>
            <w:r>
              <w:rPr>
                <w:w w:val="105"/>
                <w:sz w:val="14"/>
              </w:rPr>
              <w:t>【部门规章】《入河排污口监督管理办法》（水利部令第22号）</w:t>
            </w:r>
          </w:p>
          <w:p>
            <w:pPr>
              <w:pStyle w:val="20"/>
              <w:tabs>
                <w:tab w:val="left" w:leader="dot" w:pos="788"/>
              </w:tabs>
              <w:spacing w:before="7"/>
              <w:ind w:left="27"/>
              <w:rPr>
                <w:sz w:val="14"/>
              </w:rPr>
            </w:pPr>
            <w:r>
              <w:rPr>
                <w:spacing w:val="5"/>
                <w:w w:val="105"/>
                <w:sz w:val="14"/>
              </w:rPr>
              <w:t>第十二</w:t>
            </w:r>
            <w:r>
              <w:rPr>
                <w:w w:val="105"/>
                <w:sz w:val="14"/>
              </w:rPr>
              <w:t>条</w:t>
            </w:r>
            <w:r>
              <w:rPr>
                <w:w w:val="105"/>
                <w:sz w:val="14"/>
              </w:rPr>
              <w:tab/>
            </w:r>
            <w:r>
              <w:rPr>
                <w:spacing w:val="5"/>
                <w:w w:val="105"/>
                <w:sz w:val="14"/>
              </w:rPr>
              <w:t>有管辖权的县级以上地方人民政府水行政主管部</w:t>
            </w:r>
            <w:r>
              <w:rPr>
                <w:spacing w:val="6"/>
                <w:w w:val="105"/>
                <w:sz w:val="14"/>
              </w:rPr>
              <w:t>门或者流域管理机构根据需</w:t>
            </w:r>
            <w:r>
              <w:rPr>
                <w:w w:val="105"/>
                <w:sz w:val="14"/>
              </w:rPr>
              <w:t>要</w:t>
            </w:r>
            <w:r>
              <w:rPr>
                <w:spacing w:val="11"/>
                <w:w w:val="105"/>
                <w:sz w:val="14"/>
              </w:rPr>
              <w:t>，</w:t>
            </w:r>
            <w:r>
              <w:rPr>
                <w:w w:val="105"/>
                <w:sz w:val="14"/>
              </w:rPr>
              <w:t>可</w:t>
            </w:r>
          </w:p>
          <w:p>
            <w:pPr>
              <w:pStyle w:val="20"/>
              <w:spacing w:before="9"/>
              <w:ind w:left="27"/>
              <w:rPr>
                <w:sz w:val="14"/>
              </w:rPr>
            </w:pPr>
            <w:r>
              <w:rPr>
                <w:w w:val="105"/>
                <w:sz w:val="14"/>
              </w:rPr>
              <w:t>以对入河排污口设置论证报告组织专家评审，并将所需时间告知排污单位。</w:t>
            </w:r>
          </w:p>
        </w:tc>
        <w:tc>
          <w:tcPr>
            <w:tcW w:w="1866" w:type="dxa"/>
          </w:tcPr>
          <w:p>
            <w:pPr>
              <w:pStyle w:val="20"/>
              <w:rPr>
                <w:sz w:val="14"/>
              </w:rPr>
            </w:pPr>
          </w:p>
          <w:p>
            <w:pPr>
              <w:pStyle w:val="20"/>
              <w:spacing w:before="3"/>
              <w:rPr>
                <w:sz w:val="16"/>
              </w:rPr>
            </w:pPr>
          </w:p>
          <w:p>
            <w:pPr>
              <w:pStyle w:val="20"/>
              <w:spacing w:before="1"/>
              <w:ind w:left="28"/>
              <w:rPr>
                <w:sz w:val="14"/>
              </w:rPr>
            </w:pPr>
            <w:r>
              <w:rPr>
                <w:w w:val="105"/>
                <w:sz w:val="14"/>
              </w:rPr>
              <w:t>根据审批需要。</w:t>
            </w:r>
          </w:p>
        </w:tc>
        <w:tc>
          <w:tcPr>
            <w:tcW w:w="1127" w:type="dxa"/>
          </w:tcPr>
          <w:p>
            <w:pPr>
              <w:pStyle w:val="20"/>
              <w:rPr>
                <w:sz w:val="14"/>
              </w:rPr>
            </w:pPr>
          </w:p>
          <w:p>
            <w:pPr>
              <w:pStyle w:val="20"/>
              <w:spacing w:before="113" w:line="249" w:lineRule="auto"/>
              <w:ind w:left="495" w:right="11" w:hanging="451"/>
              <w:rPr>
                <w:sz w:val="14"/>
              </w:rPr>
            </w:pPr>
            <w:r>
              <w:rPr>
                <w:w w:val="105"/>
                <w:sz w:val="14"/>
              </w:rPr>
              <w:t>承诺时限：7</w:t>
            </w:r>
          </w:p>
        </w:tc>
        <w:tc>
          <w:tcPr>
            <w:tcW w:w="911" w:type="dxa"/>
            <w:vMerge w:val="restart"/>
          </w:tcPr>
          <w:p>
            <w:pPr>
              <w:pStyle w:val="20"/>
              <w:rPr>
                <w:sz w:val="14"/>
              </w:rPr>
            </w:pPr>
          </w:p>
          <w:p>
            <w:pPr>
              <w:pStyle w:val="20"/>
              <w:rPr>
                <w:sz w:val="14"/>
              </w:rPr>
            </w:pPr>
          </w:p>
          <w:p>
            <w:pPr>
              <w:pStyle w:val="20"/>
              <w:rPr>
                <w:sz w:val="14"/>
              </w:rPr>
            </w:pPr>
          </w:p>
          <w:p>
            <w:pPr>
              <w:pStyle w:val="20"/>
              <w:spacing w:before="10"/>
              <w:rPr>
                <w:sz w:val="10"/>
              </w:rPr>
            </w:pPr>
          </w:p>
          <w:p>
            <w:pPr>
              <w:pStyle w:val="20"/>
              <w:spacing w:line="252" w:lineRule="auto"/>
              <w:rPr>
                <w:sz w:val="14"/>
              </w:rPr>
            </w:pPr>
            <w:r>
              <w:rPr>
                <w:rFonts w:hint="eastAsia"/>
                <w:sz w:val="14"/>
              </w:rPr>
              <w:t>市</w:t>
            </w:r>
            <w:r>
              <w:rPr>
                <w:sz w:val="14"/>
              </w:rPr>
              <w:t>生态环境局</w:t>
            </w:r>
            <w:r>
              <w:rPr>
                <w:rFonts w:hint="eastAsia"/>
                <w:sz w:val="14"/>
              </w:rPr>
              <w:t>西海岸新区分局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48" w:hRule="atLeast"/>
          <w:jc w:val="center"/>
        </w:trPr>
        <w:tc>
          <w:tcPr>
            <w:tcW w:w="350" w:type="dxa"/>
            <w:vMerge w:val="continue"/>
            <w:tcBorders>
              <w:top w:val="nil"/>
            </w:tcBorders>
          </w:tcPr>
          <w:p>
            <w:pPr>
              <w:rPr>
                <w:sz w:val="2"/>
                <w:szCs w:val="2"/>
                <w:lang w:eastAsia="zh-CN"/>
              </w:rPr>
            </w:pPr>
          </w:p>
        </w:tc>
        <w:tc>
          <w:tcPr>
            <w:tcW w:w="830" w:type="dxa"/>
            <w:vMerge w:val="continue"/>
            <w:tcBorders>
              <w:top w:val="nil"/>
            </w:tcBorders>
          </w:tcPr>
          <w:p>
            <w:pPr>
              <w:rPr>
                <w:sz w:val="2"/>
                <w:szCs w:val="2"/>
                <w:lang w:eastAsia="zh-CN"/>
              </w:rPr>
            </w:pPr>
          </w:p>
        </w:tc>
        <w:tc>
          <w:tcPr>
            <w:tcW w:w="1253" w:type="dxa"/>
            <w:vMerge w:val="continue"/>
            <w:tcBorders>
              <w:top w:val="nil"/>
            </w:tcBorders>
          </w:tcPr>
          <w:p>
            <w:pPr>
              <w:rPr>
                <w:sz w:val="2"/>
                <w:szCs w:val="2"/>
                <w:lang w:eastAsia="zh-CN"/>
              </w:rPr>
            </w:pPr>
          </w:p>
        </w:tc>
        <w:tc>
          <w:tcPr>
            <w:tcW w:w="1175" w:type="dxa"/>
          </w:tcPr>
          <w:p>
            <w:pPr>
              <w:pStyle w:val="20"/>
              <w:rPr>
                <w:sz w:val="14"/>
              </w:rPr>
            </w:pPr>
          </w:p>
          <w:p>
            <w:pPr>
              <w:pStyle w:val="20"/>
              <w:spacing w:before="118"/>
              <w:ind w:left="32" w:right="7"/>
              <w:jc w:val="center"/>
              <w:rPr>
                <w:sz w:val="14"/>
              </w:rPr>
            </w:pPr>
            <w:r>
              <w:rPr>
                <w:w w:val="105"/>
                <w:sz w:val="14"/>
              </w:rPr>
              <w:t>听证</w:t>
            </w:r>
          </w:p>
        </w:tc>
        <w:tc>
          <w:tcPr>
            <w:tcW w:w="6532" w:type="dxa"/>
          </w:tcPr>
          <w:p>
            <w:pPr>
              <w:pStyle w:val="20"/>
              <w:spacing w:before="1"/>
              <w:rPr>
                <w:sz w:val="16"/>
              </w:rPr>
            </w:pPr>
          </w:p>
          <w:p>
            <w:pPr>
              <w:pStyle w:val="20"/>
              <w:ind w:left="27"/>
              <w:rPr>
                <w:sz w:val="14"/>
              </w:rPr>
            </w:pPr>
            <w:r>
              <w:rPr>
                <w:w w:val="105"/>
                <w:sz w:val="14"/>
              </w:rPr>
              <w:t>【部门规章】《入河排污口监督管理办法》（水利部令第22号）</w:t>
            </w:r>
          </w:p>
          <w:p>
            <w:pPr>
              <w:pStyle w:val="20"/>
              <w:spacing w:before="3"/>
              <w:ind w:left="27"/>
              <w:rPr>
                <w:sz w:val="14"/>
              </w:rPr>
            </w:pPr>
            <w:r>
              <w:rPr>
                <w:w w:val="105"/>
                <w:sz w:val="14"/>
              </w:rPr>
              <w:t>第十二条 入河排污口的设置需要听证或者应当听证的</w:t>
            </w:r>
            <w:r>
              <w:rPr>
                <w:spacing w:val="-36"/>
                <w:w w:val="105"/>
                <w:sz w:val="14"/>
              </w:rPr>
              <w:t xml:space="preserve"> </w:t>
            </w:r>
            <w:r>
              <w:rPr>
                <w:w w:val="105"/>
                <w:sz w:val="14"/>
              </w:rPr>
              <w:t>，依法举行听</w:t>
            </w:r>
            <w:r>
              <w:rPr>
                <w:spacing w:val="14"/>
                <w:w w:val="105"/>
                <w:sz w:val="14"/>
              </w:rPr>
              <w:t>证</w:t>
            </w:r>
            <w:r>
              <w:rPr>
                <w:w w:val="105"/>
                <w:sz w:val="14"/>
              </w:rPr>
              <w:t>。</w:t>
            </w:r>
          </w:p>
        </w:tc>
        <w:tc>
          <w:tcPr>
            <w:tcW w:w="1866" w:type="dxa"/>
          </w:tcPr>
          <w:p>
            <w:pPr>
              <w:pStyle w:val="20"/>
              <w:spacing w:before="1"/>
              <w:rPr>
                <w:sz w:val="16"/>
              </w:rPr>
            </w:pPr>
          </w:p>
          <w:p>
            <w:pPr>
              <w:pStyle w:val="20"/>
              <w:spacing w:line="244" w:lineRule="auto"/>
              <w:ind w:left="28" w:right="21"/>
              <w:rPr>
                <w:sz w:val="14"/>
              </w:rPr>
            </w:pPr>
            <w:r>
              <w:rPr>
                <w:w w:val="105"/>
                <w:sz w:val="14"/>
              </w:rPr>
              <w:t>入河排污口的设置需要听证或者应当听证的。</w:t>
            </w:r>
          </w:p>
        </w:tc>
        <w:tc>
          <w:tcPr>
            <w:tcW w:w="1127" w:type="dxa"/>
          </w:tcPr>
          <w:p>
            <w:pPr>
              <w:pStyle w:val="20"/>
              <w:spacing w:before="1"/>
              <w:rPr>
                <w:sz w:val="16"/>
              </w:rPr>
            </w:pPr>
          </w:p>
          <w:p>
            <w:pPr>
              <w:pStyle w:val="20"/>
              <w:spacing w:line="244" w:lineRule="auto"/>
              <w:ind w:left="495" w:right="11" w:hanging="451"/>
              <w:rPr>
                <w:sz w:val="14"/>
              </w:rPr>
            </w:pPr>
            <w:r>
              <w:rPr>
                <w:w w:val="105"/>
                <w:sz w:val="14"/>
              </w:rPr>
              <w:t>承诺时限：7</w:t>
            </w:r>
          </w:p>
        </w:tc>
        <w:tc>
          <w:tcPr>
            <w:tcW w:w="911" w:type="dxa"/>
            <w:vMerge w:val="continue"/>
            <w:tcBorders>
              <w:top w:val="nil"/>
            </w:tcBorders>
          </w:tcPr>
          <w:p>
            <w:pPr>
              <w:rPr>
                <w:sz w:val="2"/>
                <w:szCs w:val="2"/>
              </w:rPr>
            </w:pPr>
          </w:p>
        </w:tc>
      </w:tr>
    </w:tbl>
    <w:p>
      <w:pPr>
        <w:rPr>
          <w:sz w:val="2"/>
          <w:szCs w:val="2"/>
        </w:rPr>
        <w:sectPr>
          <w:pgSz w:w="16840" w:h="11910" w:orient="landscape"/>
          <w:pgMar w:top="1000" w:right="980" w:bottom="1140" w:left="980" w:header="0" w:footer="941" w:gutter="0"/>
          <w:cols w:space="720" w:num="1"/>
        </w:sectPr>
      </w:pPr>
    </w:p>
    <w:tbl>
      <w:tblPr>
        <w:tblStyle w:val="10"/>
        <w:tblW w:w="14117"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866"/>
        <w:gridCol w:w="1058"/>
        <w:gridCol w:w="10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166"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62"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3"/>
              <w:rPr>
                <w:sz w:val="20"/>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058"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1053" w:type="dxa"/>
          </w:tcPr>
          <w:p>
            <w:pPr>
              <w:pStyle w:val="20"/>
              <w:spacing w:before="3"/>
              <w:rPr>
                <w:sz w:val="20"/>
              </w:rPr>
            </w:pPr>
          </w:p>
          <w:p>
            <w:pPr>
              <w:pStyle w:val="20"/>
              <w:spacing w:line="242" w:lineRule="auto"/>
              <w:ind w:left="391" w:right="61" w:hanging="303"/>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644" w:hRule="atLeast"/>
          <w:jc w:val="center"/>
        </w:trPr>
        <w:tc>
          <w:tcPr>
            <w:tcW w:w="35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5"/>
              <w:rPr>
                <w:sz w:val="13"/>
              </w:rPr>
            </w:pPr>
          </w:p>
          <w:p>
            <w:pPr>
              <w:pStyle w:val="20"/>
              <w:ind w:left="28"/>
              <w:jc w:val="center"/>
              <w:rPr>
                <w:rFonts w:hint="eastAsia" w:eastAsia="宋体"/>
                <w:sz w:val="14"/>
                <w:lang w:eastAsia="zh-CN"/>
              </w:rPr>
            </w:pPr>
            <w:r>
              <w:rPr>
                <w:w w:val="105"/>
                <w:sz w:val="14"/>
              </w:rPr>
              <w:t>1</w:t>
            </w:r>
            <w:r>
              <w:rPr>
                <w:rFonts w:hint="eastAsia"/>
                <w:w w:val="105"/>
                <w:sz w:val="14"/>
                <w:lang w:val="en-US" w:eastAsia="zh-CN"/>
              </w:rPr>
              <w:t>4</w:t>
            </w:r>
          </w:p>
        </w:tc>
        <w:tc>
          <w:tcPr>
            <w:tcW w:w="83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9"/>
              <w:rPr>
                <w:sz w:val="12"/>
              </w:rPr>
            </w:pPr>
          </w:p>
          <w:p>
            <w:pPr>
              <w:pStyle w:val="20"/>
              <w:spacing w:before="1" w:line="247" w:lineRule="auto"/>
              <w:ind w:left="40" w:right="28"/>
              <w:jc w:val="center"/>
              <w:rPr>
                <w:sz w:val="14"/>
              </w:rPr>
            </w:pPr>
            <w:r>
              <w:rPr>
                <w:w w:val="105"/>
                <w:sz w:val="14"/>
              </w:rPr>
              <w:t>建设项目压覆重要矿床审批</w:t>
            </w:r>
          </w:p>
        </w:tc>
        <w:tc>
          <w:tcPr>
            <w:tcW w:w="116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9"/>
              <w:rPr>
                <w:sz w:val="12"/>
              </w:rPr>
            </w:pPr>
          </w:p>
          <w:p>
            <w:pPr>
              <w:pStyle w:val="20"/>
              <w:spacing w:before="1" w:line="247" w:lineRule="auto"/>
              <w:ind w:left="27" w:right="66"/>
              <w:jc w:val="both"/>
              <w:rPr>
                <w:sz w:val="14"/>
              </w:rPr>
            </w:pPr>
            <w:r>
              <w:rPr>
                <w:w w:val="105"/>
                <w:sz w:val="14"/>
              </w:rPr>
              <w:t>建设项目压覆重要矿床审批（10日）</w:t>
            </w:r>
          </w:p>
        </w:tc>
        <w:tc>
          <w:tcPr>
            <w:tcW w:w="1262"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5"/>
              <w:rPr>
                <w:sz w:val="13"/>
              </w:rPr>
            </w:pPr>
          </w:p>
          <w:p>
            <w:pPr>
              <w:pStyle w:val="20"/>
              <w:ind w:left="32" w:right="20"/>
              <w:jc w:val="center"/>
              <w:rPr>
                <w:sz w:val="14"/>
              </w:rPr>
            </w:pPr>
            <w:r>
              <w:rPr>
                <w:w w:val="105"/>
                <w:sz w:val="14"/>
              </w:rPr>
              <w:t>报上级部门审批</w:t>
            </w:r>
          </w:p>
        </w:tc>
        <w:tc>
          <w:tcPr>
            <w:tcW w:w="6532" w:type="dxa"/>
          </w:tcPr>
          <w:p>
            <w:pPr>
              <w:pStyle w:val="20"/>
              <w:spacing w:before="124"/>
              <w:ind w:left="27"/>
              <w:jc w:val="both"/>
              <w:rPr>
                <w:sz w:val="14"/>
              </w:rPr>
            </w:pPr>
            <w:r>
              <w:rPr>
                <w:w w:val="105"/>
                <w:sz w:val="14"/>
              </w:rPr>
              <w:t>【政策文件】《国土资源部关于进一步做好建设项目压覆重要矿产资源审批管理工作的通知 》</w:t>
            </w:r>
          </w:p>
          <w:p>
            <w:pPr>
              <w:pStyle w:val="20"/>
              <w:spacing w:before="8"/>
              <w:ind w:left="27"/>
              <w:jc w:val="both"/>
              <w:rPr>
                <w:sz w:val="14"/>
              </w:rPr>
            </w:pPr>
            <w:r>
              <w:rPr>
                <w:w w:val="105"/>
                <w:sz w:val="14"/>
              </w:rPr>
              <w:t>三、明确管理分工 建设项目压覆重要矿产资源由省级以上国土资源行政主管部门审批。压覆石油、天然气、放射性矿产，或压覆《矿产资源开采登记管理办法》附录所列矿种（石油、天然气、放射性矿产除外）累计查明资源储量数量达大型矿区规模以上的，或矿区查明资源储量规模达到大型并且压覆占三分之一以上的，由国土资源部负责审批。</w:t>
            </w:r>
          </w:p>
          <w:p>
            <w:pPr>
              <w:pStyle w:val="20"/>
              <w:spacing w:line="176" w:lineRule="exact"/>
              <w:ind w:left="27"/>
              <w:jc w:val="both"/>
              <w:rPr>
                <w:sz w:val="14"/>
              </w:rPr>
            </w:pPr>
            <w:r>
              <w:rPr>
                <w:w w:val="105"/>
                <w:sz w:val="14"/>
              </w:rPr>
              <w:t>四、规范报批要求 按本通知规定由国土资源部负责审批的，建设单位应履行以下手续：</w:t>
            </w:r>
          </w:p>
          <w:p>
            <w:pPr>
              <w:pStyle w:val="20"/>
              <w:spacing w:before="9" w:line="242" w:lineRule="auto"/>
              <w:ind w:left="27" w:right="56"/>
              <w:rPr>
                <w:sz w:val="14"/>
              </w:rPr>
            </w:pPr>
            <w:r>
              <w:rPr>
                <w:sz w:val="14"/>
              </w:rPr>
              <w:t>（一）建设项目选址前...委托具有相应地质勘查资质的单位编制建设项目压覆重要矿产资源评估</w:t>
            </w:r>
            <w:r>
              <w:rPr>
                <w:w w:val="105"/>
                <w:sz w:val="14"/>
              </w:rPr>
              <w:t>报告。</w:t>
            </w:r>
          </w:p>
          <w:p>
            <w:pPr>
              <w:pStyle w:val="20"/>
              <w:spacing w:before="7"/>
              <w:ind w:left="27"/>
              <w:rPr>
                <w:sz w:val="14"/>
              </w:rPr>
            </w:pPr>
            <w:r>
              <w:rPr>
                <w:w w:val="105"/>
                <w:sz w:val="14"/>
              </w:rPr>
              <w:t>（二）有关材料经建设项目所在省（区、市）国土资源行政主管部门初审同意后，将以下材料（纸质和电子版各1套）报国土资源部：</w:t>
            </w:r>
            <w:r>
              <w:rPr>
                <w:sz w:val="14"/>
              </w:rPr>
              <w:t xml:space="preserve"> </w:t>
            </w:r>
          </w:p>
          <w:p>
            <w:pPr>
              <w:pStyle w:val="20"/>
              <w:tabs>
                <w:tab w:val="left" w:leader="dot" w:pos="1568"/>
              </w:tabs>
              <w:spacing w:before="7"/>
              <w:ind w:left="27"/>
              <w:rPr>
                <w:w w:val="105"/>
                <w:sz w:val="14"/>
              </w:rPr>
            </w:pPr>
            <w:r>
              <w:rPr>
                <w:spacing w:val="6"/>
                <w:w w:val="105"/>
                <w:sz w:val="14"/>
              </w:rPr>
              <w:t>五</w:t>
            </w:r>
            <w:r>
              <w:rPr>
                <w:spacing w:val="11"/>
                <w:w w:val="105"/>
                <w:sz w:val="14"/>
              </w:rPr>
              <w:t>、</w:t>
            </w:r>
            <w:r>
              <w:rPr>
                <w:spacing w:val="5"/>
                <w:w w:val="105"/>
                <w:sz w:val="14"/>
              </w:rPr>
              <w:t>加强审批管</w:t>
            </w:r>
            <w:r>
              <w:rPr>
                <w:w w:val="105"/>
                <w:sz w:val="14"/>
              </w:rPr>
              <w:t>理：</w:t>
            </w:r>
          </w:p>
          <w:p>
            <w:pPr>
              <w:pStyle w:val="20"/>
              <w:tabs>
                <w:tab w:val="left" w:leader="dot" w:pos="1568"/>
              </w:tabs>
              <w:spacing w:before="7"/>
              <w:ind w:left="27"/>
              <w:rPr>
                <w:sz w:val="14"/>
              </w:rPr>
            </w:pPr>
            <w:r>
              <w:rPr>
                <w:spacing w:val="6"/>
                <w:w w:val="105"/>
                <w:sz w:val="14"/>
              </w:rPr>
              <w:t>（一</w:t>
            </w:r>
            <w:r>
              <w:rPr>
                <w:spacing w:val="11"/>
                <w:w w:val="105"/>
                <w:sz w:val="14"/>
              </w:rPr>
              <w:t>）</w:t>
            </w:r>
            <w:r>
              <w:rPr>
                <w:spacing w:val="5"/>
                <w:w w:val="105"/>
                <w:sz w:val="14"/>
              </w:rPr>
              <w:t>凡符合审批要求的压覆重要矿产</w:t>
            </w:r>
            <w:r>
              <w:rPr>
                <w:spacing w:val="6"/>
                <w:w w:val="105"/>
                <w:sz w:val="14"/>
              </w:rPr>
              <w:t>资源申</w:t>
            </w:r>
            <w:r>
              <w:rPr>
                <w:w w:val="105"/>
                <w:sz w:val="14"/>
              </w:rPr>
              <w:t>请</w:t>
            </w:r>
            <w:r>
              <w:rPr>
                <w:spacing w:val="-44"/>
                <w:w w:val="105"/>
                <w:sz w:val="14"/>
              </w:rPr>
              <w:t xml:space="preserve"> </w:t>
            </w:r>
            <w:r>
              <w:rPr>
                <w:spacing w:val="10"/>
                <w:w w:val="105"/>
                <w:sz w:val="14"/>
              </w:rPr>
              <w:t>，</w:t>
            </w:r>
            <w:r>
              <w:rPr>
                <w:spacing w:val="6"/>
                <w:w w:val="105"/>
                <w:sz w:val="14"/>
              </w:rPr>
              <w:t>国土资源部自受理之</w:t>
            </w:r>
            <w:r>
              <w:rPr>
                <w:w w:val="105"/>
                <w:sz w:val="14"/>
              </w:rPr>
              <w:t>日</w:t>
            </w:r>
            <w:r>
              <w:rPr>
                <w:spacing w:val="6"/>
                <w:sz w:val="14"/>
              </w:rPr>
              <w:t>起</w:t>
            </w:r>
            <w:r>
              <w:rPr>
                <w:spacing w:val="5"/>
                <w:sz w:val="14"/>
              </w:rPr>
              <w:t>20个工作日内，做出准予压覆或者不准压覆的决定，并通知申请人和省</w:t>
            </w:r>
            <w:r>
              <w:rPr>
                <w:spacing w:val="7"/>
                <w:sz w:val="14"/>
              </w:rPr>
              <w:t>（区、市）</w:t>
            </w:r>
            <w:r>
              <w:rPr>
                <w:spacing w:val="4"/>
                <w:sz w:val="14"/>
              </w:rPr>
              <w:t>国土资源厅</w:t>
            </w:r>
            <w:r>
              <w:rPr>
                <w:w w:val="105"/>
                <w:sz w:val="14"/>
              </w:rPr>
              <w:t>（局），由省（区、市）国土资源厅（局）通知相关矿业权人。</w:t>
            </w:r>
          </w:p>
        </w:tc>
        <w:tc>
          <w:tcPr>
            <w:tcW w:w="186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1"/>
              <w:rPr>
                <w:sz w:val="19"/>
              </w:rPr>
            </w:pPr>
          </w:p>
          <w:p>
            <w:pPr>
              <w:pStyle w:val="20"/>
              <w:spacing w:line="252" w:lineRule="auto"/>
              <w:ind w:left="28" w:right="21"/>
              <w:rPr>
                <w:sz w:val="14"/>
              </w:rPr>
            </w:pPr>
            <w:r>
              <w:rPr>
                <w:w w:val="105"/>
                <w:sz w:val="14"/>
              </w:rPr>
              <w:t>需要办理该审批服务事项的项目。</w:t>
            </w:r>
          </w:p>
        </w:tc>
        <w:tc>
          <w:tcPr>
            <w:tcW w:w="1058"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9"/>
              <w:rPr>
                <w:sz w:val="12"/>
              </w:rPr>
            </w:pPr>
          </w:p>
          <w:p>
            <w:pPr>
              <w:pStyle w:val="20"/>
              <w:spacing w:before="1" w:line="247" w:lineRule="auto"/>
              <w:ind w:left="44" w:right="11"/>
              <w:rPr>
                <w:w w:val="105"/>
                <w:sz w:val="14"/>
              </w:rPr>
            </w:pPr>
            <w:r>
              <w:rPr>
                <w:spacing w:val="2"/>
                <w:w w:val="105"/>
                <w:sz w:val="14"/>
              </w:rPr>
              <w:t>法定时限</w:t>
            </w:r>
            <w:r>
              <w:rPr>
                <w:w w:val="105"/>
                <w:sz w:val="14"/>
              </w:rPr>
              <w:t>：20</w:t>
            </w:r>
          </w:p>
          <w:p>
            <w:pPr>
              <w:pStyle w:val="20"/>
              <w:spacing w:before="1" w:line="247" w:lineRule="auto"/>
              <w:ind w:left="44" w:right="11"/>
              <w:rPr>
                <w:sz w:val="14"/>
              </w:rPr>
            </w:pPr>
            <w:r>
              <w:rPr>
                <w:spacing w:val="-1"/>
                <w:w w:val="105"/>
                <w:sz w:val="14"/>
              </w:rPr>
              <w:t>承诺时限：</w:t>
            </w:r>
            <w:r>
              <w:rPr>
                <w:w w:val="105"/>
                <w:sz w:val="14"/>
              </w:rPr>
              <w:t>10</w:t>
            </w:r>
          </w:p>
        </w:tc>
        <w:tc>
          <w:tcPr>
            <w:tcW w:w="1053"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1"/>
              <w:rPr>
                <w:sz w:val="19"/>
              </w:rPr>
            </w:pPr>
          </w:p>
          <w:p>
            <w:pPr>
              <w:pStyle w:val="20"/>
              <w:spacing w:line="252" w:lineRule="auto"/>
              <w:ind w:left="91" w:right="62"/>
              <w:rPr>
                <w:sz w:val="14"/>
              </w:rPr>
            </w:pPr>
            <w:r>
              <w:rPr>
                <w:rFonts w:hint="eastAsia"/>
                <w:sz w:val="14"/>
              </w:rPr>
              <w:t>区</w:t>
            </w:r>
            <w:r>
              <w:rPr>
                <w:sz w:val="14"/>
              </w:rPr>
              <w:t>自然资源局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39" w:hRule="atLeast"/>
          <w:jc w:val="center"/>
        </w:trPr>
        <w:tc>
          <w:tcPr>
            <w:tcW w:w="350" w:type="dxa"/>
            <w:vMerge w:val="restart"/>
            <w:vAlign w:val="center"/>
          </w:tcPr>
          <w:p>
            <w:pPr>
              <w:pStyle w:val="20"/>
              <w:spacing w:before="105"/>
              <w:ind w:left="28"/>
              <w:jc w:val="center"/>
              <w:rPr>
                <w:rFonts w:hint="default" w:eastAsia="宋体"/>
                <w:sz w:val="14"/>
                <w:lang w:val="en-US" w:eastAsia="zh-CN"/>
              </w:rPr>
            </w:pPr>
            <w:r>
              <w:rPr>
                <w:rFonts w:hint="eastAsia"/>
                <w:w w:val="105"/>
                <w:sz w:val="14"/>
                <w:lang w:val="en-US" w:eastAsia="zh-CN"/>
              </w:rPr>
              <w:t>15</w:t>
            </w:r>
          </w:p>
        </w:tc>
        <w:tc>
          <w:tcPr>
            <w:tcW w:w="830" w:type="dxa"/>
            <w:vMerge w:val="restart"/>
            <w:vAlign w:val="center"/>
          </w:tcPr>
          <w:p>
            <w:pPr>
              <w:pStyle w:val="20"/>
              <w:spacing w:before="96" w:line="249" w:lineRule="auto"/>
              <w:ind w:left="40" w:right="28"/>
              <w:jc w:val="center"/>
              <w:rPr>
                <w:sz w:val="14"/>
              </w:rPr>
            </w:pPr>
            <w:r>
              <w:rPr>
                <w:w w:val="105"/>
                <w:sz w:val="14"/>
              </w:rPr>
              <w:t>建设工程文物保护和考古许可</w:t>
            </w:r>
          </w:p>
        </w:tc>
        <w:tc>
          <w:tcPr>
            <w:tcW w:w="1166" w:type="dxa"/>
          </w:tcPr>
          <w:p>
            <w:pPr>
              <w:pStyle w:val="20"/>
              <w:spacing w:before="12"/>
              <w:rPr>
                <w:sz w:val="20"/>
              </w:rPr>
            </w:pPr>
          </w:p>
          <w:p>
            <w:pPr>
              <w:pStyle w:val="20"/>
              <w:spacing w:before="12"/>
              <w:rPr>
                <w:sz w:val="20"/>
              </w:rPr>
            </w:pPr>
          </w:p>
          <w:p>
            <w:pPr>
              <w:pStyle w:val="20"/>
              <w:tabs>
                <w:tab w:val="left" w:pos="181"/>
              </w:tabs>
              <w:spacing w:line="249" w:lineRule="auto"/>
              <w:ind w:right="75"/>
              <w:rPr>
                <w:sz w:val="14"/>
              </w:rPr>
            </w:pPr>
            <w:r>
              <w:rPr>
                <w:spacing w:val="-3"/>
                <w:w w:val="105"/>
                <w:sz w:val="14"/>
              </w:rPr>
              <w:t>考古调查勘探</w:t>
            </w:r>
            <w:r>
              <w:rPr>
                <w:spacing w:val="3"/>
                <w:w w:val="105"/>
                <w:sz w:val="14"/>
              </w:rPr>
              <w:t>许可</w:t>
            </w:r>
            <w:r>
              <w:rPr>
                <w:spacing w:val="2"/>
                <w:w w:val="105"/>
                <w:sz w:val="14"/>
              </w:rPr>
              <w:t>（10</w:t>
            </w:r>
            <w:r>
              <w:rPr>
                <w:w w:val="105"/>
                <w:sz w:val="14"/>
              </w:rPr>
              <w:t>日）</w:t>
            </w:r>
          </w:p>
        </w:tc>
        <w:tc>
          <w:tcPr>
            <w:tcW w:w="1262" w:type="dxa"/>
          </w:tcPr>
          <w:p>
            <w:pPr>
              <w:pStyle w:val="20"/>
              <w:rPr>
                <w:sz w:val="14"/>
              </w:rPr>
            </w:pPr>
          </w:p>
          <w:p>
            <w:pPr>
              <w:pStyle w:val="20"/>
              <w:rPr>
                <w:sz w:val="14"/>
              </w:rPr>
            </w:pPr>
          </w:p>
          <w:p>
            <w:pPr>
              <w:pStyle w:val="20"/>
              <w:spacing w:before="96" w:line="249" w:lineRule="auto"/>
              <w:ind w:left="32" w:right="21"/>
              <w:jc w:val="center"/>
              <w:rPr>
                <w:rFonts w:ascii="黑体" w:eastAsia="黑体"/>
                <w:w w:val="105"/>
                <w:sz w:val="14"/>
              </w:rPr>
            </w:pPr>
            <w:r>
              <w:rPr>
                <w:w w:val="105"/>
                <w:sz w:val="14"/>
              </w:rPr>
              <w:t>报请省人民政府文物行政部门组织考古调查、勘探</w:t>
            </w:r>
          </w:p>
        </w:tc>
        <w:tc>
          <w:tcPr>
            <w:tcW w:w="6532" w:type="dxa"/>
          </w:tcPr>
          <w:p>
            <w:pPr>
              <w:pStyle w:val="20"/>
              <w:spacing w:before="10"/>
              <w:rPr>
                <w:sz w:val="13"/>
              </w:rPr>
            </w:pPr>
          </w:p>
          <w:p>
            <w:pPr>
              <w:pStyle w:val="20"/>
              <w:spacing w:before="1"/>
              <w:ind w:left="27"/>
              <w:jc w:val="both"/>
              <w:rPr>
                <w:sz w:val="14"/>
              </w:rPr>
            </w:pPr>
            <w:r>
              <w:rPr>
                <w:w w:val="105"/>
                <w:sz w:val="14"/>
              </w:rPr>
              <w:t>【地方法规】《山东省文物保护条例》（2010年9月通过，2017年9月修改）</w:t>
            </w:r>
          </w:p>
          <w:p>
            <w:pPr>
              <w:pStyle w:val="20"/>
              <w:spacing w:before="7" w:line="247" w:lineRule="auto"/>
              <w:ind w:left="27"/>
              <w:jc w:val="both"/>
              <w:rPr>
                <w:sz w:val="14"/>
              </w:rPr>
            </w:pPr>
            <w:r>
              <w:rPr>
                <w:w w:val="105"/>
                <w:sz w:val="14"/>
              </w:rPr>
              <w:t>第三十二条 进行占地二万平方米以上的大型基本建设工程或者在地下文物保护区、历史文化名城范围内进行工程建设，建设单位应当事先报请省人民政府文物行政部门组织考古调查、勘探，发现文物的，由省人民政府文物行政部门会同建设单位共同商定保护措施。</w:t>
            </w:r>
          </w:p>
          <w:p>
            <w:pPr>
              <w:pStyle w:val="20"/>
              <w:spacing w:before="3" w:line="252" w:lineRule="auto"/>
              <w:ind w:left="27" w:right="5"/>
              <w:jc w:val="both"/>
              <w:rPr>
                <w:rFonts w:ascii="黑体" w:eastAsia="黑体"/>
                <w:w w:val="105"/>
                <w:sz w:val="14"/>
              </w:rPr>
            </w:pPr>
            <w:r>
              <w:rPr>
                <w:w w:val="105"/>
                <w:sz w:val="14"/>
              </w:rPr>
              <w:t>对前款规定的考古调查、勘探的期限，由考古发掘单位与建设单位根据工程规模共同商定，建设和施工单位应当予以配合。</w:t>
            </w:r>
          </w:p>
        </w:tc>
        <w:tc>
          <w:tcPr>
            <w:tcW w:w="1866" w:type="dxa"/>
          </w:tcPr>
          <w:p>
            <w:pPr>
              <w:pStyle w:val="20"/>
              <w:rPr>
                <w:sz w:val="14"/>
              </w:rPr>
            </w:pPr>
          </w:p>
          <w:p>
            <w:pPr>
              <w:pStyle w:val="20"/>
              <w:spacing w:before="5"/>
              <w:rPr>
                <w:sz w:val="14"/>
              </w:rPr>
            </w:pPr>
          </w:p>
          <w:p>
            <w:pPr>
              <w:pStyle w:val="20"/>
              <w:spacing w:line="247" w:lineRule="auto"/>
              <w:ind w:left="28" w:right="5"/>
              <w:jc w:val="both"/>
              <w:rPr>
                <w:rFonts w:ascii="黑体" w:eastAsia="黑体"/>
                <w:w w:val="105"/>
                <w:sz w:val="14"/>
              </w:rPr>
            </w:pPr>
            <w:r>
              <w:rPr>
                <w:w w:val="105"/>
                <w:sz w:val="14"/>
              </w:rPr>
              <w:t>进行占地二万平方米以上的大型基本建设工程或者在地下文物保护区、历史文化名城范围内进行工程建设。</w:t>
            </w:r>
          </w:p>
        </w:tc>
        <w:tc>
          <w:tcPr>
            <w:tcW w:w="1058" w:type="dxa"/>
          </w:tcPr>
          <w:p>
            <w:pPr>
              <w:pStyle w:val="20"/>
              <w:rPr>
                <w:sz w:val="14"/>
              </w:rPr>
            </w:pPr>
          </w:p>
          <w:p>
            <w:pPr>
              <w:pStyle w:val="20"/>
              <w:spacing w:before="5"/>
              <w:rPr>
                <w:sz w:val="14"/>
              </w:rPr>
            </w:pPr>
          </w:p>
          <w:p>
            <w:pPr>
              <w:pStyle w:val="20"/>
              <w:spacing w:line="247" w:lineRule="auto"/>
              <w:ind w:left="44" w:right="23"/>
              <w:jc w:val="center"/>
              <w:rPr>
                <w:rFonts w:ascii="黑体" w:eastAsia="黑体"/>
                <w:w w:val="105"/>
                <w:sz w:val="14"/>
              </w:rPr>
            </w:pPr>
            <w:r>
              <w:rPr>
                <w:w w:val="105"/>
                <w:sz w:val="14"/>
              </w:rPr>
              <w:t>由考古发掘单位与建设单位根据工程规模共同商定。</w:t>
            </w:r>
          </w:p>
        </w:tc>
        <w:tc>
          <w:tcPr>
            <w:tcW w:w="1053" w:type="dxa"/>
          </w:tcPr>
          <w:p>
            <w:pPr>
              <w:pStyle w:val="20"/>
              <w:rPr>
                <w:sz w:val="14"/>
              </w:rPr>
            </w:pPr>
          </w:p>
          <w:p>
            <w:pPr>
              <w:pStyle w:val="20"/>
              <w:spacing w:before="8"/>
              <w:rPr>
                <w:sz w:val="14"/>
              </w:rPr>
            </w:pPr>
          </w:p>
          <w:p>
            <w:pPr>
              <w:pStyle w:val="20"/>
              <w:spacing w:line="252" w:lineRule="auto"/>
              <w:rPr>
                <w:sz w:val="14"/>
              </w:rPr>
            </w:pPr>
            <w:r>
              <w:rPr>
                <w:rFonts w:hint="eastAsia"/>
                <w:sz w:val="14"/>
              </w:rPr>
              <w:t>区</w:t>
            </w:r>
            <w:r>
              <w:rPr>
                <w:sz w:val="14"/>
              </w:rPr>
              <w:t>文化和旅游局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49" w:hRule="atLeast"/>
          <w:jc w:val="center"/>
        </w:trPr>
        <w:tc>
          <w:tcPr>
            <w:tcW w:w="350" w:type="dxa"/>
            <w:vMerge w:val="continue"/>
          </w:tcPr>
          <w:p>
            <w:pPr>
              <w:pStyle w:val="20"/>
              <w:rPr>
                <w:sz w:val="14"/>
              </w:rPr>
            </w:pPr>
          </w:p>
        </w:tc>
        <w:tc>
          <w:tcPr>
            <w:tcW w:w="830" w:type="dxa"/>
            <w:vMerge w:val="continue"/>
          </w:tcPr>
          <w:p>
            <w:pPr>
              <w:pStyle w:val="20"/>
              <w:rPr>
                <w:sz w:val="14"/>
              </w:rPr>
            </w:pPr>
          </w:p>
        </w:tc>
        <w:tc>
          <w:tcPr>
            <w:tcW w:w="1166" w:type="dxa"/>
            <w:vAlign w:val="center"/>
          </w:tcPr>
          <w:p>
            <w:pPr>
              <w:pStyle w:val="20"/>
              <w:tabs>
                <w:tab w:val="left" w:pos="181"/>
              </w:tabs>
              <w:spacing w:line="249" w:lineRule="auto"/>
              <w:ind w:left="27" w:right="75"/>
              <w:rPr>
                <w:sz w:val="20"/>
              </w:rPr>
            </w:pPr>
            <w:r>
              <w:rPr>
                <w:spacing w:val="-3"/>
                <w:w w:val="105"/>
                <w:sz w:val="14"/>
              </w:rPr>
              <w:t>建设工程文物</w:t>
            </w:r>
            <w:r>
              <w:rPr>
                <w:w w:val="105"/>
                <w:sz w:val="14"/>
              </w:rPr>
              <w:t>保护许可（10日）</w:t>
            </w:r>
          </w:p>
        </w:tc>
        <w:tc>
          <w:tcPr>
            <w:tcW w:w="1262" w:type="dxa"/>
            <w:vAlign w:val="center"/>
          </w:tcPr>
          <w:p>
            <w:pPr>
              <w:pStyle w:val="20"/>
              <w:spacing w:before="96" w:line="249" w:lineRule="auto"/>
              <w:ind w:left="32" w:right="21"/>
              <w:jc w:val="both"/>
              <w:rPr>
                <w:w w:val="105"/>
                <w:sz w:val="14"/>
              </w:rPr>
            </w:pPr>
            <w:r>
              <w:rPr>
                <w:w w:val="105"/>
                <w:sz w:val="14"/>
              </w:rPr>
              <w:t>专家审查</w:t>
            </w:r>
          </w:p>
        </w:tc>
        <w:tc>
          <w:tcPr>
            <w:tcW w:w="6532" w:type="dxa"/>
            <w:vAlign w:val="center"/>
          </w:tcPr>
          <w:p>
            <w:pPr>
              <w:pStyle w:val="20"/>
              <w:spacing w:before="1"/>
              <w:ind w:left="27"/>
              <w:jc w:val="both"/>
              <w:rPr>
                <w:w w:val="105"/>
                <w:sz w:val="14"/>
              </w:rPr>
            </w:pPr>
            <w:r>
              <w:rPr>
                <w:w w:val="105"/>
                <w:sz w:val="14"/>
              </w:rPr>
              <w:t>【</w:t>
            </w:r>
            <w:r>
              <w:rPr>
                <w:rFonts w:hint="eastAsia"/>
                <w:w w:val="105"/>
                <w:sz w:val="14"/>
              </w:rPr>
              <w:t>法律</w:t>
            </w:r>
            <w:r>
              <w:rPr>
                <w:w w:val="105"/>
                <w:sz w:val="14"/>
              </w:rPr>
              <w:t>】</w:t>
            </w:r>
            <w:r>
              <w:rPr>
                <w:rFonts w:hint="eastAsia"/>
                <w:w w:val="105"/>
                <w:sz w:val="14"/>
              </w:rPr>
              <w:t>《中华人民共和国文物保护法》（主席令第</w:t>
            </w:r>
            <w:r>
              <w:rPr>
                <w:rFonts w:hint="eastAsia"/>
                <w:w w:val="105"/>
                <w:sz w:val="14"/>
                <w:lang w:val="en-US"/>
              </w:rPr>
              <w:t>81号，2017年修正</w:t>
            </w:r>
            <w:r>
              <w:rPr>
                <w:rFonts w:hint="eastAsia"/>
                <w:w w:val="105"/>
                <w:sz w:val="14"/>
              </w:rPr>
              <w:t>）</w:t>
            </w:r>
          </w:p>
          <w:p>
            <w:pPr>
              <w:pStyle w:val="20"/>
              <w:spacing w:before="1"/>
              <w:ind w:left="27"/>
              <w:jc w:val="both"/>
              <w:rPr>
                <w:w w:val="105"/>
                <w:sz w:val="14"/>
              </w:rPr>
            </w:pPr>
            <w:r>
              <w:rPr>
                <w:rFonts w:hint="eastAsia"/>
                <w:w w:val="105"/>
                <w:sz w:val="14"/>
              </w:rPr>
              <w:t>第十七条：“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p>
            <w:pPr>
              <w:pStyle w:val="20"/>
              <w:spacing w:before="1"/>
              <w:ind w:left="27"/>
              <w:jc w:val="both"/>
              <w:rPr>
                <w:w w:val="105"/>
                <w:sz w:val="14"/>
              </w:rPr>
            </w:pPr>
            <w:r>
              <w:rPr>
                <w:rFonts w:hint="eastAsia"/>
                <w:w w:val="105"/>
                <w:sz w:val="14"/>
              </w:rPr>
              <w:t xml:space="preserve">第十八条：“在文物保护单位的建设控制地带内进行建设工程，不得破坏文物保护单位的历史风貌；工程设计方案应当根据文物保护单位的级别，经相应的文物行政部门同意后，报城乡建设规划部门批准。” </w:t>
            </w:r>
          </w:p>
          <w:p>
            <w:pPr>
              <w:pStyle w:val="20"/>
              <w:spacing w:before="1"/>
              <w:ind w:left="27"/>
              <w:jc w:val="both"/>
              <w:rPr>
                <w:w w:val="105"/>
                <w:sz w:val="14"/>
              </w:rPr>
            </w:pPr>
            <w:r>
              <w:rPr>
                <w:rFonts w:hint="eastAsia"/>
                <w:w w:val="105"/>
                <w:sz w:val="14"/>
              </w:rPr>
              <w:t>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并将保护措施列入可行性研究报告或者设计任务书。”</w:t>
            </w:r>
          </w:p>
          <w:p>
            <w:pPr>
              <w:pStyle w:val="20"/>
              <w:spacing w:before="1"/>
              <w:ind w:left="27"/>
              <w:jc w:val="both"/>
              <w:rPr>
                <w:sz w:val="14"/>
              </w:rPr>
            </w:pPr>
            <w:r>
              <w:rPr>
                <w:w w:val="105"/>
                <w:sz w:val="14"/>
              </w:rPr>
              <w:t>【地方法规】《山东省文物保护条例》（2010年9月通过，2017年9月修改）</w:t>
            </w:r>
          </w:p>
          <w:p>
            <w:pPr>
              <w:pStyle w:val="20"/>
              <w:spacing w:before="1"/>
              <w:ind w:left="27"/>
              <w:jc w:val="both"/>
              <w:rPr>
                <w:w w:val="105"/>
                <w:sz w:val="14"/>
              </w:rPr>
            </w:pPr>
            <w:r>
              <w:rPr>
                <w:rFonts w:hint="eastAsia"/>
                <w:w w:val="105"/>
                <w:sz w:val="14"/>
              </w:rPr>
              <w:t>第十七条迁移、拆除不可移动文物，或者在文物保护单位保护范围、建设控制地带内和已登记公布的不可移动文物占地范围内进行建设活动、作业的，必须依法报请审批。审批机关在做出决定前，应当征求文物保护专家意见。</w:t>
            </w:r>
          </w:p>
          <w:p>
            <w:pPr>
              <w:pStyle w:val="20"/>
              <w:spacing w:before="1"/>
              <w:ind w:left="27"/>
              <w:jc w:val="both"/>
              <w:rPr>
                <w:w w:val="105"/>
                <w:sz w:val="14"/>
              </w:rPr>
            </w:pPr>
          </w:p>
        </w:tc>
        <w:tc>
          <w:tcPr>
            <w:tcW w:w="1866" w:type="dxa"/>
            <w:vAlign w:val="center"/>
          </w:tcPr>
          <w:p>
            <w:pPr>
              <w:pStyle w:val="20"/>
              <w:spacing w:before="1"/>
              <w:ind w:left="27"/>
              <w:jc w:val="both"/>
              <w:rPr>
                <w:w w:val="105"/>
                <w:sz w:val="14"/>
              </w:rPr>
            </w:pPr>
            <w:r>
              <w:rPr>
                <w:rFonts w:hint="eastAsia"/>
                <w:w w:val="105"/>
                <w:sz w:val="14"/>
              </w:rPr>
              <w:t>市级部门立项审批的或在县级文物保护单位保护范围、市级文物保护单位建设控制地带进行建设工程或爆破、钻探、挖掘等</w:t>
            </w:r>
          </w:p>
        </w:tc>
        <w:tc>
          <w:tcPr>
            <w:tcW w:w="1058" w:type="dxa"/>
            <w:vAlign w:val="center"/>
          </w:tcPr>
          <w:p>
            <w:pPr>
              <w:pStyle w:val="20"/>
              <w:spacing w:line="247" w:lineRule="auto"/>
              <w:ind w:right="23"/>
              <w:jc w:val="both"/>
              <w:rPr>
                <w:w w:val="105"/>
                <w:sz w:val="14"/>
              </w:rPr>
            </w:pPr>
            <w:r>
              <w:rPr>
                <w:spacing w:val="2"/>
                <w:w w:val="105"/>
                <w:sz w:val="14"/>
              </w:rPr>
              <w:t>法定时限</w:t>
            </w:r>
            <w:r>
              <w:rPr>
                <w:w w:val="105"/>
                <w:sz w:val="14"/>
              </w:rPr>
              <w:t>：</w:t>
            </w:r>
            <w:r>
              <w:rPr>
                <w:rFonts w:hint="eastAsia"/>
                <w:w w:val="105"/>
                <w:sz w:val="14"/>
                <w:lang w:val="en-US"/>
              </w:rPr>
              <w:t>20</w:t>
            </w:r>
          </w:p>
          <w:p>
            <w:pPr>
              <w:pStyle w:val="20"/>
              <w:spacing w:line="247" w:lineRule="auto"/>
              <w:ind w:right="23"/>
              <w:jc w:val="both"/>
              <w:rPr>
                <w:w w:val="105"/>
                <w:sz w:val="14"/>
                <w:lang w:val="en-US"/>
              </w:rPr>
            </w:pPr>
            <w:r>
              <w:rPr>
                <w:spacing w:val="-1"/>
                <w:w w:val="105"/>
                <w:sz w:val="14"/>
              </w:rPr>
              <w:t>承诺时限：</w:t>
            </w:r>
            <w:r>
              <w:rPr>
                <w:spacing w:val="-1"/>
                <w:w w:val="105"/>
                <w:sz w:val="14"/>
                <w:lang w:val="en-US"/>
              </w:rPr>
              <w:t>1</w:t>
            </w:r>
            <w:r>
              <w:rPr>
                <w:rFonts w:hint="eastAsia"/>
                <w:spacing w:val="-1"/>
                <w:w w:val="105"/>
                <w:sz w:val="14"/>
                <w:lang w:val="en-US"/>
              </w:rPr>
              <w:t>0</w:t>
            </w:r>
          </w:p>
        </w:tc>
        <w:tc>
          <w:tcPr>
            <w:tcW w:w="1053" w:type="dxa"/>
            <w:vAlign w:val="center"/>
          </w:tcPr>
          <w:p>
            <w:pPr>
              <w:pStyle w:val="20"/>
              <w:jc w:val="center"/>
              <w:rPr>
                <w:sz w:val="14"/>
              </w:rPr>
            </w:pPr>
            <w:r>
              <w:rPr>
                <w:rFonts w:hint="eastAsia"/>
                <w:sz w:val="14"/>
              </w:rPr>
              <w:t>区行政审批局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78" w:hRule="atLeast"/>
          <w:jc w:val="center"/>
        </w:trPr>
        <w:tc>
          <w:tcPr>
            <w:tcW w:w="350" w:type="dxa"/>
            <w:vAlign w:val="center"/>
          </w:tcPr>
          <w:p>
            <w:pPr>
              <w:pStyle w:val="20"/>
              <w:spacing w:before="1"/>
              <w:ind w:left="23"/>
              <w:jc w:val="center"/>
              <w:rPr>
                <w:rFonts w:ascii="黑体" w:eastAsia="黑体"/>
                <w:sz w:val="14"/>
              </w:rPr>
            </w:pPr>
            <w:r>
              <w:rPr>
                <w:rFonts w:hint="eastAsia" w:ascii="黑体" w:eastAsia="黑体"/>
                <w:w w:val="105"/>
                <w:sz w:val="14"/>
              </w:rPr>
              <w:t>序号</w:t>
            </w:r>
          </w:p>
        </w:tc>
        <w:tc>
          <w:tcPr>
            <w:tcW w:w="830" w:type="dxa"/>
            <w:vAlign w:val="center"/>
          </w:tcPr>
          <w:p>
            <w:pPr>
              <w:pStyle w:val="20"/>
              <w:spacing w:before="1"/>
              <w:ind w:left="117"/>
              <w:jc w:val="center"/>
              <w:rPr>
                <w:rFonts w:ascii="黑体" w:eastAsia="黑体"/>
                <w:sz w:val="14"/>
              </w:rPr>
            </w:pPr>
            <w:r>
              <w:rPr>
                <w:rFonts w:hint="eastAsia" w:ascii="黑体" w:eastAsia="黑体"/>
                <w:w w:val="105"/>
                <w:sz w:val="14"/>
              </w:rPr>
              <w:t>事项名称</w:t>
            </w:r>
          </w:p>
        </w:tc>
        <w:tc>
          <w:tcPr>
            <w:tcW w:w="1166" w:type="dxa"/>
            <w:vAlign w:val="center"/>
          </w:tcPr>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62" w:type="dxa"/>
            <w:vAlign w:val="center"/>
          </w:tcPr>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vAlign w:val="center"/>
          </w:tcPr>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866" w:type="dxa"/>
            <w:vAlign w:val="center"/>
          </w:tcPr>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058" w:type="dxa"/>
            <w:vAlign w:val="center"/>
          </w:tcPr>
          <w:p>
            <w:pPr>
              <w:pStyle w:val="20"/>
              <w:ind w:left="36" w:right="15"/>
              <w:jc w:val="center"/>
              <w:rPr>
                <w:rFonts w:ascii="黑体" w:eastAsia="黑体"/>
                <w:sz w:val="14"/>
              </w:rPr>
            </w:pPr>
            <w:r>
              <w:rPr>
                <w:rFonts w:hint="eastAsia" w:ascii="黑体" w:eastAsia="黑体"/>
                <w:w w:val="105"/>
                <w:sz w:val="14"/>
              </w:rPr>
              <w:t>特殊程序办理时限（工作日）</w:t>
            </w:r>
          </w:p>
        </w:tc>
        <w:tc>
          <w:tcPr>
            <w:tcW w:w="1053" w:type="dxa"/>
            <w:tcBorders>
              <w:bottom w:val="single" w:color="auto" w:sz="4" w:space="0"/>
            </w:tcBorders>
            <w:vAlign w:val="center"/>
          </w:tcPr>
          <w:p>
            <w:pPr>
              <w:pStyle w:val="20"/>
              <w:spacing w:line="242" w:lineRule="auto"/>
              <w:ind w:left="391" w:right="61" w:hanging="303"/>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121" w:hRule="atLeast"/>
          <w:jc w:val="center"/>
        </w:trPr>
        <w:tc>
          <w:tcPr>
            <w:tcW w:w="35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5"/>
              <w:rPr>
                <w:sz w:val="10"/>
              </w:rPr>
            </w:pPr>
          </w:p>
          <w:p>
            <w:pPr>
              <w:pStyle w:val="20"/>
              <w:ind w:left="107"/>
              <w:rPr>
                <w:rFonts w:hint="default" w:eastAsia="宋体"/>
                <w:sz w:val="14"/>
                <w:lang w:val="en-US" w:eastAsia="zh-CN"/>
              </w:rPr>
            </w:pPr>
            <w:r>
              <w:rPr>
                <w:rFonts w:hint="eastAsia"/>
                <w:w w:val="105"/>
                <w:sz w:val="14"/>
                <w:lang w:val="en-US" w:eastAsia="zh-CN"/>
              </w:rPr>
              <w:t>16</w:t>
            </w:r>
          </w:p>
        </w:tc>
        <w:tc>
          <w:tcPr>
            <w:tcW w:w="83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25" w:line="252" w:lineRule="auto"/>
              <w:ind w:left="40" w:right="28"/>
              <w:jc w:val="both"/>
              <w:rPr>
                <w:sz w:val="14"/>
              </w:rPr>
            </w:pPr>
            <w:r>
              <w:rPr>
                <w:w w:val="105"/>
                <w:sz w:val="14"/>
              </w:rPr>
              <w:t>超限高层建筑工程抗震设防审批</w:t>
            </w:r>
          </w:p>
        </w:tc>
        <w:tc>
          <w:tcPr>
            <w:tcW w:w="1166"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25" w:line="252" w:lineRule="auto"/>
              <w:ind w:left="27" w:right="79"/>
              <w:rPr>
                <w:sz w:val="14"/>
              </w:rPr>
            </w:pPr>
            <w:r>
              <w:rPr>
                <w:w w:val="105"/>
                <w:sz w:val="14"/>
              </w:rPr>
              <w:t>超限高层建筑工程抗震设防审批</w:t>
            </w:r>
          </w:p>
          <w:p>
            <w:pPr>
              <w:pStyle w:val="20"/>
              <w:spacing w:line="178" w:lineRule="exact"/>
              <w:ind w:left="27"/>
              <w:rPr>
                <w:sz w:val="14"/>
              </w:rPr>
            </w:pPr>
            <w:r>
              <w:rPr>
                <w:w w:val="105"/>
                <w:sz w:val="14"/>
              </w:rPr>
              <w:t>（12日）</w:t>
            </w:r>
          </w:p>
        </w:tc>
        <w:tc>
          <w:tcPr>
            <w:tcW w:w="1262"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99"/>
              <w:ind w:left="32" w:right="16"/>
              <w:jc w:val="center"/>
              <w:rPr>
                <w:sz w:val="14"/>
              </w:rPr>
            </w:pPr>
            <w:r>
              <w:rPr>
                <w:w w:val="105"/>
                <w:sz w:val="14"/>
              </w:rPr>
              <w:t>专家审查</w:t>
            </w:r>
          </w:p>
        </w:tc>
        <w:tc>
          <w:tcPr>
            <w:tcW w:w="6532" w:type="dxa"/>
          </w:tcPr>
          <w:p>
            <w:pPr>
              <w:pStyle w:val="20"/>
              <w:spacing w:before="57" w:line="242" w:lineRule="auto"/>
              <w:ind w:left="27" w:right="5"/>
              <w:rPr>
                <w:sz w:val="14"/>
              </w:rPr>
            </w:pPr>
            <w:r>
              <w:rPr>
                <w:w w:val="105"/>
                <w:sz w:val="14"/>
              </w:rPr>
              <w:t>【部门规章】《超限高层建筑工程抗震设防管理规定》（建设部令第111号，2002年7月25日发布）</w:t>
            </w:r>
          </w:p>
          <w:p>
            <w:pPr>
              <w:pStyle w:val="20"/>
              <w:spacing w:before="7"/>
              <w:ind w:left="27"/>
              <w:rPr>
                <w:sz w:val="14"/>
              </w:rPr>
            </w:pPr>
            <w:r>
              <w:rPr>
                <w:w w:val="105"/>
                <w:sz w:val="14"/>
              </w:rPr>
              <w:t>第六条 超限高层建筑工程所在地的省、自治区、直辖市人民政府建设行政主管部门，负责组织省、自治区、直辖市超限高层建筑工程抗震设防专家委员会对超限高层建筑工程进行抗震设防专项审查。审查难度大或者审查意见难以统一的，工程所在地的省、自治区、直辖市人民政府建设行政主管部门可请全国超限高层建筑工程抗震设防专家委员会提出专项审查意见，并报国务院建设行政主管部门备案。</w:t>
            </w:r>
          </w:p>
          <w:p>
            <w:pPr>
              <w:pStyle w:val="20"/>
              <w:spacing w:before="3" w:line="249" w:lineRule="auto"/>
              <w:ind w:left="27" w:right="9"/>
              <w:rPr>
                <w:sz w:val="14"/>
              </w:rPr>
            </w:pPr>
            <w:r>
              <w:rPr>
                <w:w w:val="105"/>
                <w:sz w:val="14"/>
              </w:rPr>
              <w:t>第十条 建设行政主管部门应当自接到抗震设防专项审查全部申报材料之日起25日内，组织专家委员会提出书面审查意见，并将审查结果通知建设单位。</w:t>
            </w:r>
          </w:p>
          <w:p>
            <w:pPr>
              <w:pStyle w:val="20"/>
              <w:spacing w:before="1"/>
              <w:ind w:left="27"/>
              <w:rPr>
                <w:sz w:val="14"/>
              </w:rPr>
            </w:pPr>
            <w:r>
              <w:rPr>
                <w:w w:val="105"/>
                <w:sz w:val="14"/>
              </w:rPr>
              <w:t>【政策文件】《山东省超限高层建筑工程抗震设防专项审查实施细则（2020年版）》</w:t>
            </w:r>
          </w:p>
          <w:p>
            <w:pPr>
              <w:pStyle w:val="20"/>
              <w:spacing w:before="8" w:line="247" w:lineRule="auto"/>
              <w:ind w:left="27" w:right="11"/>
              <w:rPr>
                <w:sz w:val="14"/>
              </w:rPr>
            </w:pPr>
            <w:r>
              <w:rPr>
                <w:w w:val="105"/>
                <w:sz w:val="14"/>
              </w:rPr>
              <w:t>第七条 超限高层建筑工程抗震设防专项审查部门自接到超限高层建筑工程抗震设防专项审查全部申报材料之日起，应当在12个工作日内组织成立专家组进行抗震设防专项审查，并将审查意见书面通知建设单位。</w:t>
            </w:r>
          </w:p>
        </w:tc>
        <w:tc>
          <w:tcPr>
            <w:tcW w:w="186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8"/>
              <w:rPr>
                <w:sz w:val="14"/>
              </w:rPr>
            </w:pPr>
          </w:p>
          <w:p>
            <w:pPr>
              <w:pStyle w:val="20"/>
              <w:spacing w:line="252" w:lineRule="auto"/>
              <w:ind w:left="28" w:right="21"/>
              <w:rPr>
                <w:sz w:val="14"/>
              </w:rPr>
            </w:pPr>
            <w:r>
              <w:rPr>
                <w:w w:val="105"/>
                <w:sz w:val="14"/>
              </w:rPr>
              <w:t>需要办理该审批服务事项的项目。</w:t>
            </w:r>
          </w:p>
        </w:tc>
        <w:tc>
          <w:tcPr>
            <w:tcW w:w="1058" w:type="dxa"/>
            <w:tcBorders>
              <w:right w:val="single" w:color="auto" w:sz="4" w:space="0"/>
            </w:tcBorders>
          </w:tcPr>
          <w:p>
            <w:pPr>
              <w:pStyle w:val="20"/>
              <w:rPr>
                <w:sz w:val="14"/>
              </w:rPr>
            </w:pPr>
          </w:p>
          <w:p>
            <w:pPr>
              <w:pStyle w:val="20"/>
              <w:rPr>
                <w:sz w:val="14"/>
              </w:rPr>
            </w:pPr>
          </w:p>
          <w:p>
            <w:pPr>
              <w:pStyle w:val="20"/>
              <w:rPr>
                <w:sz w:val="14"/>
              </w:rPr>
            </w:pPr>
          </w:p>
          <w:p>
            <w:pPr>
              <w:pStyle w:val="20"/>
              <w:spacing w:before="6"/>
              <w:rPr>
                <w:sz w:val="20"/>
              </w:rPr>
            </w:pPr>
          </w:p>
          <w:p>
            <w:pPr>
              <w:pStyle w:val="20"/>
              <w:spacing w:before="1" w:line="249" w:lineRule="auto"/>
              <w:ind w:left="44" w:right="11"/>
              <w:rPr>
                <w:w w:val="105"/>
                <w:sz w:val="14"/>
              </w:rPr>
            </w:pPr>
            <w:r>
              <w:rPr>
                <w:spacing w:val="2"/>
                <w:w w:val="105"/>
                <w:sz w:val="14"/>
              </w:rPr>
              <w:t>法定时限</w:t>
            </w:r>
            <w:r>
              <w:rPr>
                <w:w w:val="105"/>
                <w:sz w:val="14"/>
              </w:rPr>
              <w:t xml:space="preserve">：25 </w:t>
            </w:r>
          </w:p>
          <w:p>
            <w:pPr>
              <w:pStyle w:val="20"/>
              <w:spacing w:before="1" w:line="249" w:lineRule="auto"/>
              <w:ind w:left="44" w:right="11"/>
              <w:rPr>
                <w:sz w:val="14"/>
              </w:rPr>
            </w:pPr>
            <w:r>
              <w:rPr>
                <w:spacing w:val="-1"/>
                <w:w w:val="105"/>
                <w:sz w:val="14"/>
              </w:rPr>
              <w:t>承诺时限：</w:t>
            </w:r>
            <w:r>
              <w:rPr>
                <w:w w:val="105"/>
                <w:sz w:val="14"/>
              </w:rPr>
              <w:t>10（计入审批时限）</w:t>
            </w:r>
          </w:p>
        </w:tc>
        <w:tc>
          <w:tcPr>
            <w:tcW w:w="1053" w:type="dxa"/>
            <w:vMerge w:val="restart"/>
            <w:tcBorders>
              <w:top w:val="single" w:color="auto" w:sz="4" w:space="0"/>
              <w:left w:val="single" w:color="auto" w:sz="4" w:space="0"/>
              <w:bottom w:val="single" w:color="auto" w:sz="4" w:space="0"/>
              <w:right w:val="single" w:color="auto" w:sz="4" w:space="0"/>
            </w:tcBorders>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4"/>
              <w:rPr>
                <w:sz w:val="17"/>
              </w:rPr>
            </w:pPr>
          </w:p>
          <w:p>
            <w:pPr>
              <w:pStyle w:val="20"/>
              <w:spacing w:line="252" w:lineRule="auto"/>
              <w:ind w:right="62"/>
              <w:rPr>
                <w:sz w:val="14"/>
              </w:rPr>
            </w:pPr>
            <w:r>
              <w:rPr>
                <w:rFonts w:hint="eastAsia"/>
                <w:sz w:val="14"/>
              </w:rPr>
              <w:t>区</w:t>
            </w:r>
            <w:r>
              <w:rPr>
                <w:sz w:val="14"/>
              </w:rPr>
              <w:t>行政审批局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33" w:hRule="atLeast"/>
          <w:jc w:val="center"/>
        </w:trPr>
        <w:tc>
          <w:tcPr>
            <w:tcW w:w="350" w:type="dxa"/>
            <w:vMerge w:val="continue"/>
            <w:tcBorders>
              <w:top w:val="nil"/>
              <w:bottom w:val="single" w:color="auto" w:sz="4" w:space="0"/>
            </w:tcBorders>
          </w:tcPr>
          <w:p>
            <w:pPr>
              <w:rPr>
                <w:sz w:val="2"/>
                <w:szCs w:val="2"/>
              </w:rPr>
            </w:pPr>
          </w:p>
        </w:tc>
        <w:tc>
          <w:tcPr>
            <w:tcW w:w="830" w:type="dxa"/>
            <w:vMerge w:val="continue"/>
            <w:tcBorders>
              <w:top w:val="nil"/>
              <w:bottom w:val="single" w:color="auto" w:sz="4" w:space="0"/>
            </w:tcBorders>
          </w:tcPr>
          <w:p>
            <w:pPr>
              <w:rPr>
                <w:sz w:val="2"/>
                <w:szCs w:val="2"/>
              </w:rPr>
            </w:pPr>
          </w:p>
        </w:tc>
        <w:tc>
          <w:tcPr>
            <w:tcW w:w="1166" w:type="dxa"/>
            <w:vMerge w:val="continue"/>
            <w:tcBorders>
              <w:top w:val="nil"/>
              <w:bottom w:val="single" w:color="auto" w:sz="4" w:space="0"/>
            </w:tcBorders>
          </w:tcPr>
          <w:p>
            <w:pPr>
              <w:rPr>
                <w:sz w:val="2"/>
                <w:szCs w:val="2"/>
              </w:rPr>
            </w:pPr>
          </w:p>
        </w:tc>
        <w:tc>
          <w:tcPr>
            <w:tcW w:w="1262" w:type="dxa"/>
            <w:tcBorders>
              <w:bottom w:val="single" w:color="auto" w:sz="4" w:space="0"/>
            </w:tcBorders>
            <w:vAlign w:val="center"/>
          </w:tcPr>
          <w:p>
            <w:pPr>
              <w:pStyle w:val="20"/>
              <w:spacing w:line="249" w:lineRule="auto"/>
              <w:ind w:left="32" w:right="21"/>
              <w:jc w:val="both"/>
              <w:rPr>
                <w:sz w:val="14"/>
              </w:rPr>
            </w:pPr>
            <w:r>
              <w:rPr>
                <w:w w:val="105"/>
                <w:sz w:val="14"/>
              </w:rPr>
              <w:t>报全国超限高层建筑工程抗震设防专家委员会提出专项审查意见</w:t>
            </w:r>
          </w:p>
        </w:tc>
        <w:tc>
          <w:tcPr>
            <w:tcW w:w="6532" w:type="dxa"/>
            <w:tcBorders>
              <w:bottom w:val="single" w:color="auto" w:sz="4" w:space="0"/>
            </w:tcBorders>
          </w:tcPr>
          <w:p>
            <w:pPr>
              <w:pStyle w:val="20"/>
              <w:spacing w:before="108" w:line="252" w:lineRule="auto"/>
              <w:ind w:left="27" w:right="5"/>
              <w:rPr>
                <w:sz w:val="14"/>
              </w:rPr>
            </w:pPr>
            <w:r>
              <w:rPr>
                <w:w w:val="105"/>
                <w:sz w:val="14"/>
              </w:rPr>
              <w:t>【部门规章】《超限高层建筑工程抗震设防管理规定》（建设部令第111号，2002年7月25日发布）</w:t>
            </w:r>
          </w:p>
          <w:p>
            <w:pPr>
              <w:pStyle w:val="20"/>
              <w:spacing w:line="177" w:lineRule="exact"/>
              <w:ind w:left="27"/>
              <w:rPr>
                <w:sz w:val="14"/>
              </w:rPr>
            </w:pPr>
            <w:r>
              <w:rPr>
                <w:w w:val="105"/>
                <w:sz w:val="14"/>
              </w:rPr>
              <w:t>第六条 超限高层建筑工程所在地的省、自治区、直辖市人民政府建设行政主管部门，负责组织省、自治区、直辖市超限高层建筑工程抗震设防专家委员会对超限高层建筑工程进行抗震设防专项审查。审查难度大或者审查意见难以统一的，工程所在地的省、自治区、直辖市人民政府建设行政主管部门可请全国超限高层建筑工程抗震设防专家委员会提出专项审查意见，并报国务院建设行政主管部门备案。</w:t>
            </w:r>
          </w:p>
        </w:tc>
        <w:tc>
          <w:tcPr>
            <w:tcW w:w="1866" w:type="dxa"/>
            <w:tcBorders>
              <w:bottom w:val="single" w:color="auto" w:sz="4" w:space="0"/>
            </w:tcBorders>
          </w:tcPr>
          <w:p>
            <w:pPr>
              <w:pStyle w:val="20"/>
              <w:spacing w:before="123" w:line="244" w:lineRule="auto"/>
              <w:ind w:left="28" w:right="21"/>
              <w:rPr>
                <w:sz w:val="14"/>
              </w:rPr>
            </w:pPr>
            <w:r>
              <w:rPr>
                <w:w w:val="105"/>
                <w:sz w:val="14"/>
              </w:rPr>
              <w:t>审查难度大或者审查意见难以统一的超限高层建筑工程</w:t>
            </w:r>
            <w:r>
              <w:rPr>
                <w:w w:val="104"/>
                <w:sz w:val="14"/>
              </w:rPr>
              <w:t>。</w:t>
            </w:r>
          </w:p>
        </w:tc>
        <w:tc>
          <w:tcPr>
            <w:tcW w:w="1058" w:type="dxa"/>
            <w:tcBorders>
              <w:bottom w:val="single" w:color="auto" w:sz="4" w:space="0"/>
              <w:right w:val="single" w:color="auto" w:sz="4" w:space="0"/>
            </w:tcBorders>
            <w:vAlign w:val="center"/>
          </w:tcPr>
          <w:p>
            <w:pPr>
              <w:pStyle w:val="20"/>
              <w:jc w:val="center"/>
              <w:rPr>
                <w:rFonts w:ascii="Times New Roman"/>
                <w:sz w:val="14"/>
              </w:rPr>
            </w:pPr>
            <w:r>
              <w:rPr>
                <w:rFonts w:hint="eastAsia" w:ascii="Times New Roman"/>
                <w:sz w:val="14"/>
              </w:rPr>
              <w:t>/</w:t>
            </w:r>
          </w:p>
        </w:tc>
        <w:tc>
          <w:tcPr>
            <w:tcW w:w="1053" w:type="dxa"/>
            <w:vMerge w:val="continue"/>
            <w:tcBorders>
              <w:top w:val="single" w:color="auto" w:sz="4" w:space="0"/>
              <w:left w:val="single" w:color="auto" w:sz="4" w:space="0"/>
              <w:bottom w:val="single" w:color="auto" w:sz="4" w:space="0"/>
              <w:right w:val="single" w:color="auto" w:sz="4" w:space="0"/>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33" w:hRule="atLeast"/>
          <w:jc w:val="center"/>
        </w:trPr>
        <w:tc>
          <w:tcPr>
            <w:tcW w:w="350" w:type="dxa"/>
            <w:vMerge w:val="restart"/>
            <w:tcBorders>
              <w:top w:val="single" w:color="auto" w:sz="4" w:space="0"/>
              <w:left w:val="single" w:color="auto" w:sz="4" w:space="0"/>
              <w:right w:val="single" w:color="auto" w:sz="4" w:space="0"/>
            </w:tcBorders>
            <w:vAlign w:val="center"/>
          </w:tcPr>
          <w:p>
            <w:pPr>
              <w:jc w:val="center"/>
              <w:rPr>
                <w:rFonts w:hint="default" w:eastAsia="宋体"/>
                <w:sz w:val="2"/>
                <w:szCs w:val="2"/>
                <w:lang w:val="en-US" w:eastAsia="zh-CN"/>
              </w:rPr>
            </w:pPr>
            <w:r>
              <w:rPr>
                <w:rFonts w:hint="eastAsia"/>
                <w:w w:val="105"/>
                <w:sz w:val="14"/>
                <w:lang w:val="en-US" w:eastAsia="zh-CN"/>
              </w:rPr>
              <w:t>17</w:t>
            </w:r>
          </w:p>
        </w:tc>
        <w:tc>
          <w:tcPr>
            <w:tcW w:w="830" w:type="dxa"/>
            <w:vMerge w:val="restart"/>
            <w:tcBorders>
              <w:top w:val="single" w:color="auto" w:sz="4" w:space="0"/>
              <w:left w:val="single" w:color="auto" w:sz="4" w:space="0"/>
              <w:right w:val="single" w:color="auto" w:sz="4" w:space="0"/>
            </w:tcBorders>
            <w:vAlign w:val="center"/>
          </w:tcPr>
          <w:p>
            <w:pPr>
              <w:jc w:val="both"/>
              <w:rPr>
                <w:sz w:val="2"/>
                <w:szCs w:val="2"/>
                <w:lang w:eastAsia="zh-CN"/>
              </w:rPr>
            </w:pPr>
            <w:r>
              <w:rPr>
                <w:w w:val="105"/>
                <w:sz w:val="14"/>
                <w:lang w:eastAsia="zh-CN"/>
              </w:rPr>
              <w:t>政府投资项目初步设计审批</w:t>
            </w:r>
          </w:p>
        </w:tc>
        <w:tc>
          <w:tcPr>
            <w:tcW w:w="1166" w:type="dxa"/>
            <w:tcBorders>
              <w:top w:val="single" w:color="auto" w:sz="4" w:space="0"/>
              <w:left w:val="single" w:color="auto" w:sz="4" w:space="0"/>
              <w:bottom w:val="single" w:color="auto" w:sz="4" w:space="0"/>
              <w:right w:val="single" w:color="auto" w:sz="4" w:space="0"/>
            </w:tcBorders>
          </w:tcPr>
          <w:p>
            <w:pPr>
              <w:pStyle w:val="20"/>
              <w:spacing w:before="7"/>
              <w:rPr>
                <w:sz w:val="14"/>
              </w:rPr>
            </w:pPr>
          </w:p>
          <w:p>
            <w:pPr>
              <w:pStyle w:val="20"/>
              <w:spacing w:before="1" w:line="249" w:lineRule="auto"/>
              <w:ind w:left="27" w:right="79"/>
              <w:rPr>
                <w:sz w:val="14"/>
              </w:rPr>
            </w:pPr>
            <w:r>
              <w:rPr>
                <w:w w:val="105"/>
                <w:sz w:val="14"/>
              </w:rPr>
              <w:t>政府投资项目初步设计概算审批（10日）</w:t>
            </w:r>
          </w:p>
        </w:tc>
        <w:tc>
          <w:tcPr>
            <w:tcW w:w="1262" w:type="dxa"/>
            <w:tcBorders>
              <w:top w:val="single" w:color="auto" w:sz="4" w:space="0"/>
              <w:left w:val="single" w:color="auto" w:sz="4" w:space="0"/>
              <w:bottom w:val="single" w:color="auto" w:sz="4" w:space="0"/>
              <w:right w:val="single" w:color="auto" w:sz="4" w:space="0"/>
            </w:tcBorders>
          </w:tcPr>
          <w:p>
            <w:pPr>
              <w:pStyle w:val="20"/>
              <w:rPr>
                <w:sz w:val="14"/>
              </w:rPr>
            </w:pPr>
          </w:p>
          <w:p>
            <w:pPr>
              <w:pStyle w:val="20"/>
              <w:spacing w:before="2"/>
              <w:rPr>
                <w:sz w:val="15"/>
              </w:rPr>
            </w:pPr>
          </w:p>
          <w:p>
            <w:pPr>
              <w:pStyle w:val="20"/>
              <w:ind w:left="32" w:right="16"/>
              <w:jc w:val="center"/>
              <w:rPr>
                <w:sz w:val="14"/>
              </w:rPr>
            </w:pPr>
            <w:r>
              <w:rPr>
                <w:w w:val="105"/>
                <w:sz w:val="14"/>
              </w:rPr>
              <w:t>评估评审</w:t>
            </w:r>
          </w:p>
        </w:tc>
        <w:tc>
          <w:tcPr>
            <w:tcW w:w="6532" w:type="dxa"/>
            <w:tcBorders>
              <w:top w:val="single" w:color="auto" w:sz="4" w:space="0"/>
              <w:left w:val="single" w:color="auto" w:sz="4" w:space="0"/>
              <w:bottom w:val="single" w:color="auto" w:sz="4" w:space="0"/>
              <w:right w:val="single" w:color="auto" w:sz="4" w:space="0"/>
            </w:tcBorders>
          </w:tcPr>
          <w:p>
            <w:pPr>
              <w:pStyle w:val="20"/>
              <w:spacing w:before="96"/>
              <w:ind w:left="27"/>
              <w:jc w:val="both"/>
              <w:rPr>
                <w:sz w:val="14"/>
              </w:rPr>
            </w:pPr>
            <w:r>
              <w:rPr>
                <w:w w:val="105"/>
                <w:sz w:val="14"/>
              </w:rPr>
              <w:t>【政府规章】《山东省政府投资管理办法》（鲁政字〔2020〕232号）</w:t>
            </w:r>
          </w:p>
          <w:p>
            <w:pPr>
              <w:pStyle w:val="20"/>
              <w:spacing w:before="7" w:line="247" w:lineRule="auto"/>
              <w:ind w:left="27" w:right="143"/>
              <w:jc w:val="both"/>
              <w:rPr>
                <w:sz w:val="14"/>
              </w:rPr>
            </w:pPr>
            <w:r>
              <w:rPr>
                <w:spacing w:val="-1"/>
                <w:w w:val="105"/>
                <w:sz w:val="14"/>
              </w:rPr>
              <w:t>第二十一条 发展改革部门或者其他有关部门在审批可行性研究报告、初步设计或投资概算时，</w:t>
            </w:r>
            <w:r>
              <w:rPr>
                <w:w w:val="105"/>
                <w:sz w:val="14"/>
              </w:rPr>
              <w:t>一般应当由中介服务机构、具有相关职能的单位或专家进行评估评审。评估评审意见应当作为项</w:t>
            </w:r>
            <w:r>
              <w:rPr>
                <w:spacing w:val="1"/>
                <w:w w:val="105"/>
                <w:sz w:val="14"/>
              </w:rPr>
              <w:t>目审批的重要参考。</w:t>
            </w:r>
          </w:p>
        </w:tc>
        <w:tc>
          <w:tcPr>
            <w:tcW w:w="1866" w:type="dxa"/>
            <w:tcBorders>
              <w:top w:val="single" w:color="auto" w:sz="4" w:space="0"/>
              <w:left w:val="single" w:color="auto" w:sz="4" w:space="0"/>
              <w:bottom w:val="single" w:color="auto" w:sz="4" w:space="0"/>
              <w:right w:val="single" w:color="auto" w:sz="4" w:space="0"/>
            </w:tcBorders>
          </w:tcPr>
          <w:p>
            <w:pPr>
              <w:pStyle w:val="20"/>
              <w:rPr>
                <w:sz w:val="14"/>
              </w:rPr>
            </w:pPr>
          </w:p>
          <w:p>
            <w:pPr>
              <w:pStyle w:val="20"/>
              <w:spacing w:before="103" w:line="252" w:lineRule="auto"/>
              <w:ind w:left="28" w:right="21"/>
              <w:rPr>
                <w:sz w:val="14"/>
              </w:rPr>
            </w:pPr>
            <w:r>
              <w:rPr>
                <w:w w:val="105"/>
                <w:sz w:val="14"/>
              </w:rPr>
              <w:t>需要办理该审批服务事项的项目。</w:t>
            </w:r>
          </w:p>
        </w:tc>
        <w:tc>
          <w:tcPr>
            <w:tcW w:w="1058" w:type="dxa"/>
            <w:tcBorders>
              <w:top w:val="single" w:color="auto" w:sz="4" w:space="0"/>
              <w:left w:val="single" w:color="auto" w:sz="4" w:space="0"/>
              <w:bottom w:val="single" w:color="auto" w:sz="4" w:space="0"/>
              <w:right w:val="single" w:color="auto" w:sz="4" w:space="0"/>
            </w:tcBorders>
          </w:tcPr>
          <w:p>
            <w:pPr>
              <w:pStyle w:val="20"/>
              <w:spacing w:before="7"/>
              <w:rPr>
                <w:sz w:val="14"/>
              </w:rPr>
            </w:pPr>
          </w:p>
          <w:p>
            <w:pPr>
              <w:pStyle w:val="20"/>
              <w:spacing w:before="1" w:line="249" w:lineRule="auto"/>
              <w:ind w:left="44" w:right="11"/>
              <w:rPr>
                <w:w w:val="105"/>
                <w:sz w:val="14"/>
              </w:rPr>
            </w:pPr>
            <w:r>
              <w:rPr>
                <w:spacing w:val="2"/>
                <w:w w:val="105"/>
                <w:sz w:val="14"/>
              </w:rPr>
              <w:t>法定时限</w:t>
            </w:r>
            <w:r>
              <w:rPr>
                <w:w w:val="105"/>
                <w:sz w:val="14"/>
              </w:rPr>
              <w:t xml:space="preserve">：30 </w:t>
            </w:r>
          </w:p>
          <w:p>
            <w:pPr>
              <w:pStyle w:val="20"/>
              <w:spacing w:before="1" w:line="249" w:lineRule="auto"/>
              <w:ind w:left="44" w:right="11"/>
              <w:rPr>
                <w:sz w:val="14"/>
              </w:rPr>
            </w:pPr>
            <w:r>
              <w:rPr>
                <w:spacing w:val="-1"/>
                <w:w w:val="105"/>
                <w:sz w:val="14"/>
              </w:rPr>
              <w:t>承诺时限：</w:t>
            </w:r>
            <w:r>
              <w:rPr>
                <w:w w:val="105"/>
                <w:sz w:val="14"/>
              </w:rPr>
              <w:t>10</w:t>
            </w:r>
          </w:p>
        </w:tc>
        <w:tc>
          <w:tcPr>
            <w:tcW w:w="1053" w:type="dxa"/>
            <w:vMerge w:val="restart"/>
            <w:tcBorders>
              <w:top w:val="single" w:color="auto" w:sz="4" w:space="0"/>
              <w:left w:val="single" w:color="auto" w:sz="4" w:space="0"/>
              <w:right w:val="single" w:color="auto" w:sz="4" w:space="0"/>
            </w:tcBorders>
            <w:vAlign w:val="center"/>
          </w:tcPr>
          <w:p>
            <w:pPr>
              <w:pStyle w:val="20"/>
              <w:spacing w:before="103" w:line="252" w:lineRule="auto"/>
              <w:ind w:right="62"/>
              <w:jc w:val="both"/>
              <w:rPr>
                <w:rFonts w:hint="eastAsia" w:eastAsia="宋体"/>
                <w:sz w:val="14"/>
                <w:lang w:eastAsia="zh-CN"/>
              </w:rPr>
            </w:pPr>
            <w:r>
              <w:rPr>
                <w:rFonts w:hint="eastAsia"/>
                <w:w w:val="105"/>
                <w:sz w:val="14"/>
              </w:rPr>
              <w:t>区</w:t>
            </w:r>
            <w:r>
              <w:rPr>
                <w:w w:val="105"/>
                <w:sz w:val="14"/>
              </w:rPr>
              <w:t>发展改革</w:t>
            </w:r>
            <w:r>
              <w:rPr>
                <w:rFonts w:hint="eastAsia"/>
                <w:w w:val="105"/>
                <w:sz w:val="14"/>
                <w:lang w:val="en-US" w:eastAsia="zh-CN"/>
              </w:rPr>
              <w:t>局</w:t>
            </w:r>
          </w:p>
          <w:p>
            <w:pPr>
              <w:jc w:val="both"/>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33" w:hRule="atLeast"/>
          <w:jc w:val="center"/>
        </w:trPr>
        <w:tc>
          <w:tcPr>
            <w:tcW w:w="350" w:type="dxa"/>
            <w:vMerge w:val="continue"/>
            <w:tcBorders>
              <w:left w:val="single" w:color="auto" w:sz="4" w:space="0"/>
              <w:bottom w:val="single" w:color="auto" w:sz="4" w:space="0"/>
              <w:right w:val="single" w:color="auto" w:sz="4" w:space="0"/>
            </w:tcBorders>
          </w:tcPr>
          <w:p>
            <w:pPr>
              <w:rPr>
                <w:sz w:val="2"/>
                <w:szCs w:val="2"/>
                <w:lang w:eastAsia="zh-CN"/>
              </w:rPr>
            </w:pPr>
          </w:p>
        </w:tc>
        <w:tc>
          <w:tcPr>
            <w:tcW w:w="830" w:type="dxa"/>
            <w:vMerge w:val="continue"/>
            <w:tcBorders>
              <w:left w:val="single" w:color="auto" w:sz="4" w:space="0"/>
              <w:bottom w:val="single" w:color="auto" w:sz="4" w:space="0"/>
              <w:right w:val="single" w:color="auto" w:sz="4" w:space="0"/>
            </w:tcBorders>
          </w:tcPr>
          <w:p>
            <w:pPr>
              <w:rPr>
                <w:sz w:val="2"/>
                <w:szCs w:val="2"/>
                <w:lang w:eastAsia="zh-CN"/>
              </w:rPr>
            </w:pPr>
          </w:p>
        </w:tc>
        <w:tc>
          <w:tcPr>
            <w:tcW w:w="1166" w:type="dxa"/>
            <w:tcBorders>
              <w:top w:val="single" w:color="auto" w:sz="4" w:space="0"/>
              <w:left w:val="single" w:color="auto" w:sz="4" w:space="0"/>
              <w:bottom w:val="single" w:color="auto" w:sz="4" w:space="0"/>
              <w:right w:val="single" w:color="auto" w:sz="4" w:space="0"/>
            </w:tcBorders>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2"/>
              <w:rPr>
                <w:sz w:val="14"/>
              </w:rPr>
            </w:pPr>
          </w:p>
          <w:p>
            <w:pPr>
              <w:pStyle w:val="20"/>
              <w:spacing w:line="247" w:lineRule="auto"/>
              <w:ind w:left="27" w:right="66"/>
              <w:jc w:val="both"/>
              <w:rPr>
                <w:sz w:val="14"/>
              </w:rPr>
            </w:pPr>
            <w:r>
              <w:rPr>
                <w:w w:val="105"/>
                <w:sz w:val="14"/>
              </w:rPr>
              <w:t>政府投资项目初步设计审批（10日）</w:t>
            </w:r>
          </w:p>
        </w:tc>
        <w:tc>
          <w:tcPr>
            <w:tcW w:w="1262" w:type="dxa"/>
            <w:tcBorders>
              <w:top w:val="single" w:color="auto" w:sz="4" w:space="0"/>
              <w:left w:val="single" w:color="auto" w:sz="4" w:space="0"/>
              <w:bottom w:val="single" w:color="auto" w:sz="4" w:space="0"/>
              <w:right w:val="single" w:color="auto" w:sz="4" w:space="0"/>
            </w:tcBorders>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3"/>
              <w:rPr>
                <w:sz w:val="15"/>
              </w:rPr>
            </w:pPr>
          </w:p>
          <w:p>
            <w:pPr>
              <w:pStyle w:val="20"/>
              <w:ind w:left="32" w:right="16"/>
              <w:jc w:val="center"/>
              <w:rPr>
                <w:sz w:val="14"/>
              </w:rPr>
            </w:pPr>
            <w:r>
              <w:rPr>
                <w:w w:val="105"/>
                <w:sz w:val="14"/>
              </w:rPr>
              <w:t>专家审查</w:t>
            </w:r>
          </w:p>
        </w:tc>
        <w:tc>
          <w:tcPr>
            <w:tcW w:w="6532" w:type="dxa"/>
            <w:tcBorders>
              <w:top w:val="single" w:color="auto" w:sz="4" w:space="0"/>
              <w:left w:val="single" w:color="auto" w:sz="4" w:space="0"/>
              <w:bottom w:val="single" w:color="auto" w:sz="4" w:space="0"/>
              <w:right w:val="single" w:color="auto" w:sz="4" w:space="0"/>
            </w:tcBorders>
          </w:tcPr>
          <w:p>
            <w:pPr>
              <w:pStyle w:val="20"/>
              <w:spacing w:before="12"/>
              <w:rPr>
                <w:sz w:val="11"/>
              </w:rPr>
            </w:pPr>
          </w:p>
          <w:p>
            <w:pPr>
              <w:pStyle w:val="20"/>
              <w:ind w:left="27"/>
              <w:rPr>
                <w:sz w:val="14"/>
              </w:rPr>
            </w:pPr>
            <w:r>
              <w:rPr>
                <w:w w:val="105"/>
                <w:sz w:val="14"/>
              </w:rPr>
              <w:t>【行政法规】《山东省建设工程勘察设计管理条例》（1999年4月通过，2020年7月修改）</w:t>
            </w:r>
          </w:p>
          <w:p>
            <w:pPr>
              <w:pStyle w:val="20"/>
              <w:spacing w:before="8" w:line="249" w:lineRule="auto"/>
              <w:ind w:left="27" w:right="156"/>
              <w:rPr>
                <w:sz w:val="14"/>
              </w:rPr>
            </w:pPr>
            <w:r>
              <w:rPr>
                <w:w w:val="105"/>
                <w:sz w:val="14"/>
              </w:rPr>
              <w:t>第三十六条 政府投资的建设工程项目，其初步设计文件编制完成后，建设单位应当按照有关规定，向住房城乡建设主管部门申请初步设计审查。未经审查或者经审查未通过的，建设单位不得交付施工。</w:t>
            </w:r>
          </w:p>
          <w:p>
            <w:pPr>
              <w:pStyle w:val="20"/>
              <w:spacing w:before="2" w:line="247" w:lineRule="auto"/>
              <w:ind w:left="27" w:right="71"/>
              <w:jc w:val="both"/>
              <w:rPr>
                <w:w w:val="105"/>
                <w:sz w:val="14"/>
              </w:rPr>
            </w:pPr>
            <w:r>
              <w:rPr>
                <w:w w:val="105"/>
                <w:sz w:val="14"/>
              </w:rPr>
              <w:t>【政策文件】《山东省政府投资建设工程项目初步设计审查实施细则》（鲁建设字〔2019〕4号）</w:t>
            </w:r>
          </w:p>
          <w:p>
            <w:pPr>
              <w:pStyle w:val="20"/>
              <w:spacing w:before="2" w:line="247" w:lineRule="auto"/>
              <w:ind w:left="27" w:right="71"/>
              <w:jc w:val="both"/>
              <w:rPr>
                <w:sz w:val="14"/>
              </w:rPr>
            </w:pPr>
            <w:r>
              <w:rPr>
                <w:w w:val="105"/>
                <w:sz w:val="14"/>
              </w:rPr>
              <w:t>第九条 住房城乡建设主管部门组织初步设计审查，符合相关条件的，在10个工作日内按以下程序完成审查工作：（二）住房城乡建设主管部门根据建设项目的规模、特性，从省、市初步设计专家库中选择相关专家，组成专家审查委员会，召开专家技术审查会。</w:t>
            </w:r>
          </w:p>
          <w:p>
            <w:pPr>
              <w:pStyle w:val="20"/>
              <w:spacing w:before="1"/>
              <w:ind w:left="27"/>
              <w:rPr>
                <w:w w:val="105"/>
                <w:sz w:val="14"/>
              </w:rPr>
            </w:pPr>
            <w:r>
              <w:rPr>
                <w:w w:val="105"/>
                <w:sz w:val="14"/>
              </w:rPr>
              <w:t>【政策文件】《山东省人民政府关于印发山东省优化营商环境创新突破行动实施方案的通知》（鲁政发〔2021〕6号）工程建设项目审批制度改革配套措施</w:t>
            </w:r>
          </w:p>
          <w:p>
            <w:pPr>
              <w:pStyle w:val="20"/>
              <w:spacing w:before="1"/>
              <w:ind w:left="27"/>
              <w:rPr>
                <w:sz w:val="14"/>
              </w:rPr>
            </w:pPr>
            <w:r>
              <w:rPr>
                <w:w w:val="105"/>
                <w:sz w:val="14"/>
              </w:rPr>
              <w:t>12.缩小初步设计审查范围。6月底前，对于建设内容单一、建设标准明确、技术方案简单的政府投资中型及以下房屋建筑和市政基础设施工程项目，不再进行初步设计审查。</w:t>
            </w:r>
          </w:p>
        </w:tc>
        <w:tc>
          <w:tcPr>
            <w:tcW w:w="1866" w:type="dxa"/>
            <w:tcBorders>
              <w:top w:val="single" w:color="auto" w:sz="4" w:space="0"/>
              <w:left w:val="single" w:color="auto" w:sz="4" w:space="0"/>
              <w:bottom w:val="single" w:color="auto" w:sz="4" w:space="0"/>
              <w:right w:val="single" w:color="auto" w:sz="4" w:space="0"/>
            </w:tcBorders>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04" w:line="252" w:lineRule="auto"/>
              <w:ind w:left="28" w:right="31"/>
              <w:rPr>
                <w:sz w:val="14"/>
              </w:rPr>
            </w:pPr>
            <w:r>
              <w:rPr>
                <w:w w:val="105"/>
                <w:sz w:val="14"/>
              </w:rPr>
              <w:t>政府投资的大型建设工程项目。</w:t>
            </w:r>
          </w:p>
        </w:tc>
        <w:tc>
          <w:tcPr>
            <w:tcW w:w="1058" w:type="dxa"/>
            <w:tcBorders>
              <w:top w:val="single" w:color="auto" w:sz="4" w:space="0"/>
              <w:left w:val="single" w:color="auto" w:sz="4" w:space="0"/>
              <w:bottom w:val="single" w:color="auto" w:sz="4" w:space="0"/>
              <w:right w:val="single" w:color="auto" w:sz="4" w:space="0"/>
            </w:tcBorders>
          </w:tcPr>
          <w:p>
            <w:pPr>
              <w:pStyle w:val="20"/>
              <w:rPr>
                <w:sz w:val="14"/>
              </w:rPr>
            </w:pPr>
          </w:p>
          <w:p>
            <w:pPr>
              <w:pStyle w:val="20"/>
              <w:rPr>
                <w:sz w:val="14"/>
              </w:rPr>
            </w:pPr>
          </w:p>
          <w:p>
            <w:pPr>
              <w:pStyle w:val="20"/>
              <w:rPr>
                <w:sz w:val="14"/>
              </w:rPr>
            </w:pPr>
          </w:p>
          <w:p>
            <w:pPr>
              <w:pStyle w:val="20"/>
              <w:rPr>
                <w:sz w:val="14"/>
              </w:rPr>
            </w:pPr>
          </w:p>
          <w:p>
            <w:pPr>
              <w:pStyle w:val="20"/>
              <w:spacing w:before="5"/>
              <w:rPr>
                <w:sz w:val="14"/>
              </w:rPr>
            </w:pPr>
          </w:p>
          <w:p>
            <w:pPr>
              <w:pStyle w:val="20"/>
              <w:spacing w:line="247" w:lineRule="auto"/>
              <w:ind w:left="44" w:right="11"/>
              <w:rPr>
                <w:w w:val="105"/>
                <w:sz w:val="14"/>
              </w:rPr>
            </w:pPr>
            <w:r>
              <w:rPr>
                <w:spacing w:val="2"/>
                <w:w w:val="105"/>
                <w:sz w:val="14"/>
              </w:rPr>
              <w:t>法定时限</w:t>
            </w:r>
            <w:r>
              <w:rPr>
                <w:w w:val="105"/>
                <w:sz w:val="14"/>
              </w:rPr>
              <w:t xml:space="preserve">：10 </w:t>
            </w:r>
          </w:p>
          <w:p>
            <w:pPr>
              <w:pStyle w:val="20"/>
              <w:spacing w:line="247" w:lineRule="auto"/>
              <w:ind w:left="44" w:right="11"/>
              <w:rPr>
                <w:sz w:val="14"/>
              </w:rPr>
            </w:pPr>
            <w:r>
              <w:rPr>
                <w:spacing w:val="-1"/>
                <w:w w:val="105"/>
                <w:sz w:val="14"/>
              </w:rPr>
              <w:t>承诺时限：</w:t>
            </w:r>
            <w:r>
              <w:rPr>
                <w:w w:val="105"/>
                <w:sz w:val="14"/>
              </w:rPr>
              <w:t>7（计入审批时限）</w:t>
            </w:r>
          </w:p>
        </w:tc>
        <w:tc>
          <w:tcPr>
            <w:tcW w:w="1053" w:type="dxa"/>
            <w:vMerge w:val="continue"/>
            <w:tcBorders>
              <w:left w:val="single" w:color="auto" w:sz="4" w:space="0"/>
              <w:bottom w:val="single" w:color="auto" w:sz="4" w:space="0"/>
              <w:right w:val="single" w:color="auto" w:sz="4" w:space="0"/>
            </w:tcBorders>
          </w:tcPr>
          <w:p>
            <w:pPr>
              <w:rPr>
                <w:sz w:val="2"/>
                <w:szCs w:val="2"/>
                <w:lang w:eastAsia="zh-CN"/>
              </w:rPr>
            </w:pPr>
          </w:p>
        </w:tc>
      </w:tr>
    </w:tbl>
    <w:p>
      <w:pPr>
        <w:spacing w:line="252" w:lineRule="auto"/>
        <w:rPr>
          <w:sz w:val="14"/>
          <w:lang w:eastAsia="zh-CN"/>
        </w:rPr>
        <w:sectPr>
          <w:pgSz w:w="16840" w:h="11910" w:orient="landscape"/>
          <w:pgMar w:top="1000" w:right="980" w:bottom="1140" w:left="980" w:header="0" w:footer="941" w:gutter="0"/>
          <w:cols w:space="720" w:num="1"/>
        </w:sectPr>
      </w:pPr>
    </w:p>
    <w:tbl>
      <w:tblPr>
        <w:tblStyle w:val="10"/>
        <w:tblW w:w="1448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11"/>
        <w:gridCol w:w="992"/>
        <w:gridCol w:w="7371"/>
        <w:gridCol w:w="1701"/>
        <w:gridCol w:w="1134"/>
        <w:gridCol w:w="9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111"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992"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7371" w:type="dxa"/>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701" w:type="dxa"/>
          </w:tcPr>
          <w:p>
            <w:pPr>
              <w:pStyle w:val="20"/>
              <w:spacing w:before="3"/>
              <w:rPr>
                <w:sz w:val="20"/>
              </w:rPr>
            </w:pPr>
          </w:p>
          <w:p>
            <w:pPr>
              <w:pStyle w:val="20"/>
              <w:spacing w:line="242" w:lineRule="auto"/>
              <w:jc w:val="center"/>
              <w:rPr>
                <w:rFonts w:ascii="黑体" w:eastAsia="黑体"/>
                <w:w w:val="105"/>
                <w:sz w:val="14"/>
              </w:rPr>
            </w:pPr>
            <w:r>
              <w:rPr>
                <w:rFonts w:hint="eastAsia" w:ascii="黑体" w:eastAsia="黑体"/>
                <w:w w:val="105"/>
                <w:sz w:val="14"/>
              </w:rPr>
              <w:t>特殊程序</w:t>
            </w:r>
          </w:p>
          <w:p>
            <w:pPr>
              <w:pStyle w:val="20"/>
              <w:spacing w:line="242" w:lineRule="auto"/>
              <w:jc w:val="center"/>
              <w:rPr>
                <w:rFonts w:ascii="黑体" w:eastAsia="黑体"/>
                <w:sz w:val="14"/>
              </w:rPr>
            </w:pPr>
            <w:r>
              <w:rPr>
                <w:rFonts w:hint="eastAsia" w:ascii="黑体" w:eastAsia="黑体"/>
                <w:w w:val="105"/>
                <w:sz w:val="14"/>
              </w:rPr>
              <w:t>适用条件</w:t>
            </w:r>
          </w:p>
        </w:tc>
        <w:tc>
          <w:tcPr>
            <w:tcW w:w="1134"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93" w:type="dxa"/>
            <w:vAlign w:val="center"/>
          </w:tcPr>
          <w:p>
            <w:pPr>
              <w:pStyle w:val="20"/>
              <w:spacing w:before="3"/>
              <w:jc w:val="center"/>
              <w:rPr>
                <w:sz w:val="20"/>
              </w:rPr>
            </w:pPr>
          </w:p>
          <w:p>
            <w:pPr>
              <w:pStyle w:val="20"/>
              <w:spacing w:line="242" w:lineRule="auto"/>
              <w:ind w:left="391" w:right="61" w:hanging="303"/>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364" w:hRule="atLeast"/>
          <w:jc w:val="center"/>
        </w:trPr>
        <w:tc>
          <w:tcPr>
            <w:tcW w:w="35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
              <w:rPr>
                <w:sz w:val="14"/>
              </w:rPr>
            </w:pPr>
          </w:p>
          <w:p>
            <w:pPr>
              <w:pStyle w:val="20"/>
              <w:ind w:left="28"/>
              <w:jc w:val="center"/>
              <w:rPr>
                <w:rFonts w:hint="default" w:eastAsia="宋体"/>
                <w:sz w:val="14"/>
                <w:lang w:val="en-US" w:eastAsia="zh-CN"/>
              </w:rPr>
            </w:pPr>
            <w:r>
              <w:rPr>
                <w:rFonts w:hint="eastAsia"/>
                <w:w w:val="105"/>
                <w:sz w:val="14"/>
                <w:lang w:val="en-US" w:eastAsia="zh-CN"/>
              </w:rPr>
              <w:t>18</w:t>
            </w:r>
          </w:p>
        </w:tc>
        <w:tc>
          <w:tcPr>
            <w:tcW w:w="83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5"/>
              <w:rPr>
                <w:sz w:val="20"/>
              </w:rPr>
            </w:pPr>
          </w:p>
          <w:p>
            <w:pPr>
              <w:pStyle w:val="20"/>
              <w:spacing w:line="247" w:lineRule="auto"/>
              <w:ind w:left="40" w:right="19"/>
              <w:jc w:val="both"/>
              <w:rPr>
                <w:sz w:val="14"/>
              </w:rPr>
            </w:pPr>
            <w:r>
              <w:rPr>
                <w:w w:val="105"/>
                <w:sz w:val="14"/>
              </w:rPr>
              <w:t>生产、储存危险化学品建设项目安全条件审查</w:t>
            </w:r>
          </w:p>
        </w:tc>
        <w:tc>
          <w:tcPr>
            <w:tcW w:w="1111"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5"/>
              <w:rPr>
                <w:sz w:val="20"/>
              </w:rPr>
            </w:pPr>
          </w:p>
          <w:p>
            <w:pPr>
              <w:pStyle w:val="20"/>
              <w:spacing w:line="247" w:lineRule="auto"/>
              <w:ind w:left="27" w:right="76"/>
              <w:jc w:val="both"/>
              <w:rPr>
                <w:sz w:val="14"/>
              </w:rPr>
            </w:pPr>
            <w:r>
              <w:rPr>
                <w:w w:val="105"/>
                <w:sz w:val="14"/>
              </w:rPr>
              <w:t>生产、储存危险化学品建设项目安全条件审查（15日）</w:t>
            </w:r>
          </w:p>
        </w:tc>
        <w:tc>
          <w:tcPr>
            <w:tcW w:w="992"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
              <w:rPr>
                <w:sz w:val="14"/>
              </w:rPr>
            </w:pPr>
          </w:p>
          <w:p>
            <w:pPr>
              <w:pStyle w:val="20"/>
              <w:ind w:left="32" w:right="16"/>
              <w:jc w:val="center"/>
              <w:rPr>
                <w:sz w:val="14"/>
              </w:rPr>
            </w:pPr>
            <w:r>
              <w:rPr>
                <w:w w:val="105"/>
                <w:sz w:val="14"/>
              </w:rPr>
              <w:t>专家审查</w:t>
            </w:r>
          </w:p>
        </w:tc>
        <w:tc>
          <w:tcPr>
            <w:tcW w:w="7371" w:type="dxa"/>
          </w:tcPr>
          <w:p>
            <w:pPr>
              <w:pStyle w:val="20"/>
              <w:spacing w:before="77"/>
              <w:ind w:left="27"/>
              <w:jc w:val="both"/>
              <w:rPr>
                <w:sz w:val="14"/>
              </w:rPr>
            </w:pPr>
            <w:r>
              <w:rPr>
                <w:w w:val="105"/>
                <w:sz w:val="14"/>
              </w:rPr>
              <w:t>【行政法规】《危险化学品安全管理条例》（国务院令第591号，2013年12月修改）</w:t>
            </w:r>
          </w:p>
          <w:p>
            <w:pPr>
              <w:pStyle w:val="20"/>
              <w:spacing w:before="7" w:line="252" w:lineRule="auto"/>
              <w:ind w:left="27" w:right="167"/>
              <w:jc w:val="both"/>
              <w:rPr>
                <w:sz w:val="14"/>
              </w:rPr>
            </w:pPr>
            <w:r>
              <w:rPr>
                <w:w w:val="105"/>
                <w:sz w:val="14"/>
              </w:rPr>
              <w:t>第十二条：新建、改建、扩建生产、储存危险化学品的建设项目，应当由安全生产监督管理部门进行安全条件审查。</w:t>
            </w:r>
          </w:p>
          <w:p>
            <w:pPr>
              <w:pStyle w:val="20"/>
              <w:spacing w:line="252" w:lineRule="auto"/>
              <w:ind w:left="27" w:right="68"/>
              <w:jc w:val="both"/>
              <w:rPr>
                <w:sz w:val="14"/>
              </w:rPr>
            </w:pPr>
            <w:r>
              <w:rPr>
                <w:w w:val="105"/>
                <w:sz w:val="14"/>
              </w:rPr>
              <w:t>【部委规章】《危险化学品建设项目安全监督管理办法》（原国家安全监管总局令45号，2015年5月修改）</w:t>
            </w:r>
          </w:p>
          <w:p>
            <w:pPr>
              <w:pStyle w:val="20"/>
              <w:spacing w:line="249" w:lineRule="auto"/>
              <w:ind w:left="27" w:right="147"/>
              <w:jc w:val="both"/>
              <w:rPr>
                <w:sz w:val="14"/>
              </w:rPr>
            </w:pPr>
            <w:r>
              <w:rPr>
                <w:w w:val="105"/>
                <w:sz w:val="14"/>
              </w:rPr>
              <w:t>第二条：中华人民共和国境内新建、改建、扩建危险化学品生产、储存的建设项目以及伴有危险化学品产生的化工建设项目（包括危险化学品长输管道建设项目，以下统称建设项目），其安全管理及其监督管理，适用本办法。危险化学品的勘探、开采及其辅助的储存，原油和天然气勘探、开采及其辅助的储存、海上输送，城镇燃气的输送及储存等建设项目，不适用本办法。</w:t>
            </w:r>
          </w:p>
          <w:p>
            <w:pPr>
              <w:pStyle w:val="20"/>
              <w:spacing w:before="5" w:line="244" w:lineRule="auto"/>
              <w:ind w:left="27" w:right="143"/>
              <w:jc w:val="both"/>
              <w:rPr>
                <w:sz w:val="14"/>
              </w:rPr>
            </w:pPr>
            <w:r>
              <w:rPr>
                <w:w w:val="105"/>
                <w:sz w:val="14"/>
              </w:rPr>
              <w:t>第三条第三款：建设项目未经安全审查和安全设施竣工验收的，不得开工建设或者投入生产（使用）。第五条：建设项目有下列情形之一的，应当由省级安全生产监督管理部门负责安全审查：</w:t>
            </w:r>
          </w:p>
          <w:p>
            <w:pPr>
              <w:pStyle w:val="20"/>
              <w:spacing w:before="4" w:line="249" w:lineRule="auto"/>
              <w:ind w:left="27" w:right="152"/>
              <w:jc w:val="both"/>
              <w:rPr>
                <w:sz w:val="14"/>
              </w:rPr>
            </w:pPr>
            <w:r>
              <w:rPr>
                <w:w w:val="105"/>
                <w:sz w:val="14"/>
              </w:rPr>
              <w:t>（一）国务院投资主管部门审批（核准、备案）的；（二）生产剧毒化学品的；（三）省级安全生产监督管理部门确定的本办法第四条第一款规定以外的其他建设项目。</w:t>
            </w:r>
          </w:p>
          <w:p>
            <w:pPr>
              <w:pStyle w:val="20"/>
              <w:spacing w:before="1" w:line="249" w:lineRule="auto"/>
              <w:ind w:left="27" w:right="147"/>
              <w:jc w:val="both"/>
              <w:rPr>
                <w:sz w:val="14"/>
              </w:rPr>
            </w:pPr>
            <w:r>
              <w:rPr>
                <w:w w:val="105"/>
                <w:sz w:val="14"/>
              </w:rPr>
              <w:t>第六条：负责实施建设项目安全审查的安全生产监督管理部门根据工作需要，可以将其负责实施的建设项目安全审查工作，委托下一级安全生产监督管理部门实施。委托实施安全审查的，审查结果由委托的安全生产监督管理部门负责。跨省、自治区、直辖市的建设项目和生产剧毒化学品的建设项目，不得委托实施安全审查。第十条：建设单位应当在建设项目开始初步设计前，向与本办法第四条、第五条规定相应的安全生产监督管理部门申请建设项目安全条件审查。</w:t>
            </w:r>
          </w:p>
          <w:p>
            <w:pPr>
              <w:pStyle w:val="20"/>
              <w:spacing w:before="4" w:line="249" w:lineRule="auto"/>
              <w:ind w:left="27" w:right="143"/>
              <w:jc w:val="both"/>
              <w:rPr>
                <w:sz w:val="14"/>
              </w:rPr>
            </w:pPr>
            <w:r>
              <w:rPr>
                <w:w w:val="105"/>
                <w:sz w:val="14"/>
              </w:rPr>
              <w:t>【政策文件】《山东省&lt;危险化学品建设项目安全监督管理办法&gt;实施细则》（鲁安监发〔2018〕17号）</w:t>
            </w:r>
          </w:p>
          <w:p>
            <w:pPr>
              <w:pStyle w:val="20"/>
              <w:spacing w:before="1" w:line="249" w:lineRule="auto"/>
              <w:ind w:left="27" w:right="106"/>
              <w:rPr>
                <w:sz w:val="14"/>
              </w:rPr>
            </w:pPr>
            <w:r>
              <w:rPr>
                <w:spacing w:val="-1"/>
                <w:w w:val="105"/>
                <w:sz w:val="14"/>
              </w:rPr>
              <w:t>第十条 对已经受理的建设项目安全条件审查申请，实施部门应当指派工作人员或者聘请专家对申</w:t>
            </w:r>
            <w:r>
              <w:rPr>
                <w:w w:val="105"/>
                <w:sz w:val="14"/>
              </w:rPr>
              <w:t>请文件、资料进行审查。根据法定条件和程序需要对申请文件、资料的内容进行核实的，实施部门应当指派工作人员、必要时聘请专家进行现场核查。负责审查、核查的人员应当如实提出对建</w:t>
            </w:r>
            <w:r>
              <w:rPr>
                <w:spacing w:val="-1"/>
                <w:w w:val="105"/>
                <w:sz w:val="14"/>
              </w:rPr>
              <w:t>设项目申请文件、资料审查和现场核查的书面意见并签署姓名。对于国内首次使用的化工工艺，</w:t>
            </w:r>
            <w:r>
              <w:rPr>
                <w:spacing w:val="-3"/>
                <w:w w:val="105"/>
                <w:sz w:val="14"/>
              </w:rPr>
              <w:t>要由国家或者省级有关部门组织安全可靠性论证 ，并出具书面意见</w:t>
            </w:r>
            <w:r>
              <w:rPr>
                <w:w w:val="105"/>
                <w:sz w:val="14"/>
              </w:rPr>
              <w:t>（</w:t>
            </w:r>
            <w:r>
              <w:rPr>
                <w:spacing w:val="3"/>
                <w:w w:val="105"/>
                <w:sz w:val="14"/>
              </w:rPr>
              <w:t>复制件</w:t>
            </w:r>
            <w:r>
              <w:rPr>
                <w:w w:val="105"/>
                <w:sz w:val="14"/>
              </w:rPr>
              <w:t>）。</w:t>
            </w:r>
          </w:p>
          <w:p>
            <w:pPr>
              <w:pStyle w:val="20"/>
              <w:spacing w:line="249" w:lineRule="auto"/>
              <w:ind w:left="27" w:right="79"/>
              <w:rPr>
                <w:sz w:val="14"/>
              </w:rPr>
            </w:pPr>
            <w:r>
              <w:rPr>
                <w:w w:val="105"/>
                <w:sz w:val="14"/>
              </w:rPr>
              <w:t>第十一条 建设单位应当按照实施部门的审查、核查意见，组织相关单位对申请文件、资料和现场存在的问题进行整改，并将整改落实情况书面报告实施部门。实施部门应当指派工作人员、必要 时聘请专家，或者委托下级安监部门、安全评价单位，对建设项目整改情况进行复核，负责复核</w:t>
            </w:r>
            <w:r>
              <w:rPr>
                <w:spacing w:val="-2"/>
                <w:w w:val="105"/>
                <w:sz w:val="14"/>
              </w:rPr>
              <w:t>的人员或者部门、单位应当如实提出复核的书面意见并签署姓名</w:t>
            </w:r>
            <w:r>
              <w:rPr>
                <w:spacing w:val="6"/>
                <w:w w:val="105"/>
                <w:sz w:val="14"/>
              </w:rPr>
              <w:t>（</w:t>
            </w:r>
            <w:r>
              <w:rPr>
                <w:spacing w:val="2"/>
                <w:w w:val="105"/>
                <w:sz w:val="14"/>
              </w:rPr>
              <w:t>加盖公章</w:t>
            </w:r>
            <w:r>
              <w:rPr>
                <w:w w:val="105"/>
                <w:sz w:val="14"/>
              </w:rPr>
              <w:t>）。</w:t>
            </w:r>
          </w:p>
        </w:tc>
        <w:tc>
          <w:tcPr>
            <w:tcW w:w="1701"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7"/>
              <w:rPr>
                <w:sz w:val="13"/>
              </w:rPr>
            </w:pPr>
          </w:p>
          <w:p>
            <w:pPr>
              <w:pStyle w:val="20"/>
              <w:spacing w:line="249" w:lineRule="auto"/>
              <w:ind w:left="28"/>
              <w:jc w:val="both"/>
              <w:rPr>
                <w:sz w:val="14"/>
              </w:rPr>
            </w:pPr>
            <w:r>
              <w:rPr>
                <w:w w:val="105"/>
                <w:sz w:val="14"/>
              </w:rPr>
              <w:t>新建、改建、扩建生产、储存危险化学品的建设项目安全条件审查。</w:t>
            </w:r>
          </w:p>
        </w:tc>
        <w:tc>
          <w:tcPr>
            <w:tcW w:w="1134"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90" w:line="242" w:lineRule="auto"/>
              <w:ind w:left="534" w:right="11" w:hanging="490"/>
              <w:rPr>
                <w:sz w:val="14"/>
              </w:rPr>
            </w:pPr>
            <w:r>
              <w:rPr>
                <w:w w:val="105"/>
                <w:sz w:val="14"/>
              </w:rPr>
              <w:t>承诺时限：7</w:t>
            </w:r>
          </w:p>
        </w:tc>
        <w:tc>
          <w:tcPr>
            <w:tcW w:w="993"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
              <w:rPr>
                <w:sz w:val="14"/>
              </w:rPr>
            </w:pPr>
          </w:p>
          <w:p>
            <w:pPr>
              <w:pStyle w:val="20"/>
              <w:ind w:left="149" w:right="119"/>
              <w:jc w:val="center"/>
              <w:rPr>
                <w:sz w:val="14"/>
              </w:rPr>
            </w:pPr>
            <w:r>
              <w:rPr>
                <w:rFonts w:hint="eastAsia"/>
                <w:sz w:val="14"/>
              </w:rPr>
              <w:t>区</w:t>
            </w:r>
            <w:r>
              <w:rPr>
                <w:sz w:val="14"/>
              </w:rPr>
              <w:t>应急局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104" w:hRule="atLeast"/>
          <w:jc w:val="center"/>
        </w:trPr>
        <w:tc>
          <w:tcPr>
            <w:tcW w:w="35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5"/>
              </w:rPr>
            </w:pPr>
          </w:p>
          <w:p>
            <w:pPr>
              <w:pStyle w:val="20"/>
              <w:ind w:left="28"/>
              <w:jc w:val="center"/>
              <w:rPr>
                <w:rFonts w:hint="default" w:eastAsia="宋体"/>
                <w:sz w:val="14"/>
                <w:lang w:val="en-US" w:eastAsia="zh-CN"/>
              </w:rPr>
            </w:pPr>
            <w:r>
              <w:rPr>
                <w:rFonts w:hint="eastAsia"/>
                <w:w w:val="105"/>
                <w:sz w:val="14"/>
                <w:lang w:val="en-US" w:eastAsia="zh-CN"/>
              </w:rPr>
              <w:t>19</w:t>
            </w:r>
          </w:p>
        </w:tc>
        <w:tc>
          <w:tcPr>
            <w:tcW w:w="83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4"/>
              <w:rPr>
                <w:sz w:val="14"/>
              </w:rPr>
            </w:pPr>
          </w:p>
          <w:p>
            <w:pPr>
              <w:pStyle w:val="20"/>
              <w:spacing w:line="249" w:lineRule="auto"/>
              <w:ind w:left="40" w:right="28"/>
              <w:jc w:val="center"/>
              <w:rPr>
                <w:sz w:val="14"/>
              </w:rPr>
            </w:pPr>
            <w:r>
              <w:rPr>
                <w:w w:val="105"/>
                <w:sz w:val="14"/>
              </w:rPr>
              <w:t>建设项目安全设施设计审查</w:t>
            </w:r>
          </w:p>
        </w:tc>
        <w:tc>
          <w:tcPr>
            <w:tcW w:w="1111" w:type="dxa"/>
          </w:tcPr>
          <w:p>
            <w:pPr>
              <w:pStyle w:val="20"/>
              <w:numPr>
                <w:ilvl w:val="0"/>
                <w:numId w:val="3"/>
              </w:numPr>
              <w:tabs>
                <w:tab w:val="left" w:pos="181"/>
              </w:tabs>
              <w:spacing w:line="249" w:lineRule="auto"/>
              <w:ind w:right="72" w:firstLine="0"/>
              <w:jc w:val="both"/>
              <w:rPr>
                <w:sz w:val="14"/>
              </w:rPr>
            </w:pPr>
            <w:r>
              <w:rPr>
                <w:spacing w:val="-3"/>
                <w:w w:val="105"/>
                <w:sz w:val="14"/>
              </w:rPr>
              <w:t>生产、储存烟</w:t>
            </w:r>
            <w:r>
              <w:rPr>
                <w:w w:val="105"/>
                <w:sz w:val="14"/>
              </w:rPr>
              <w:t>花爆竹建设项目安全设施设计审</w:t>
            </w:r>
            <w:r>
              <w:rPr>
                <w:spacing w:val="6"/>
                <w:w w:val="105"/>
                <w:sz w:val="14"/>
              </w:rPr>
              <w:t>查</w:t>
            </w:r>
            <w:r>
              <w:rPr>
                <w:w w:val="105"/>
                <w:sz w:val="14"/>
              </w:rPr>
              <w:t>（10</w:t>
            </w:r>
            <w:r>
              <w:rPr>
                <w:spacing w:val="6"/>
                <w:w w:val="105"/>
                <w:sz w:val="14"/>
              </w:rPr>
              <w:t>日</w:t>
            </w:r>
            <w:r>
              <w:rPr>
                <w:w w:val="105"/>
                <w:sz w:val="14"/>
              </w:rPr>
              <w:t>）</w:t>
            </w:r>
          </w:p>
          <w:p>
            <w:pPr>
              <w:pStyle w:val="20"/>
              <w:numPr>
                <w:ilvl w:val="0"/>
                <w:numId w:val="3"/>
              </w:numPr>
              <w:tabs>
                <w:tab w:val="left" w:pos="181"/>
              </w:tabs>
              <w:spacing w:before="3" w:line="249" w:lineRule="auto"/>
              <w:ind w:right="75" w:firstLine="0"/>
              <w:jc w:val="both"/>
              <w:rPr>
                <w:sz w:val="14"/>
              </w:rPr>
            </w:pPr>
            <w:r>
              <w:rPr>
                <w:spacing w:val="-3"/>
                <w:w w:val="105"/>
                <w:sz w:val="14"/>
              </w:rPr>
              <w:t>矿山建设项目</w:t>
            </w:r>
            <w:r>
              <w:rPr>
                <w:spacing w:val="-2"/>
                <w:w w:val="105"/>
                <w:sz w:val="14"/>
              </w:rPr>
              <w:t>安全设施设计审</w:t>
            </w:r>
            <w:r>
              <w:rPr>
                <w:spacing w:val="6"/>
                <w:w w:val="105"/>
                <w:sz w:val="14"/>
              </w:rPr>
              <w:t>查</w:t>
            </w:r>
            <w:r>
              <w:rPr>
                <w:w w:val="105"/>
                <w:sz w:val="14"/>
              </w:rPr>
              <w:t>（15</w:t>
            </w:r>
            <w:r>
              <w:rPr>
                <w:spacing w:val="6"/>
                <w:w w:val="105"/>
                <w:sz w:val="14"/>
              </w:rPr>
              <w:t>日</w:t>
            </w:r>
            <w:r>
              <w:rPr>
                <w:w w:val="105"/>
                <w:sz w:val="14"/>
              </w:rPr>
              <w:t>）</w:t>
            </w:r>
          </w:p>
          <w:p>
            <w:pPr>
              <w:pStyle w:val="20"/>
              <w:numPr>
                <w:ilvl w:val="0"/>
                <w:numId w:val="3"/>
              </w:numPr>
              <w:tabs>
                <w:tab w:val="left" w:pos="181"/>
              </w:tabs>
              <w:spacing w:line="249" w:lineRule="auto"/>
              <w:ind w:right="67" w:firstLine="0"/>
              <w:jc w:val="both"/>
              <w:rPr>
                <w:sz w:val="14"/>
              </w:rPr>
            </w:pPr>
            <w:r>
              <w:rPr>
                <w:w w:val="105"/>
                <w:sz w:val="14"/>
              </w:rPr>
              <w:t>金属冶炼建设项目安全设施设</w:t>
            </w:r>
            <w:r>
              <w:rPr>
                <w:spacing w:val="1"/>
                <w:w w:val="105"/>
                <w:sz w:val="14"/>
              </w:rPr>
              <w:t>计审查</w:t>
            </w:r>
            <w:r>
              <w:rPr>
                <w:spacing w:val="2"/>
                <w:w w:val="105"/>
                <w:sz w:val="14"/>
              </w:rPr>
              <w:t>（10</w:t>
            </w:r>
            <w:r>
              <w:rPr>
                <w:spacing w:val="6"/>
                <w:w w:val="105"/>
                <w:sz w:val="14"/>
              </w:rPr>
              <w:t>日</w:t>
            </w:r>
            <w:r>
              <w:rPr>
                <w:spacing w:val="-14"/>
                <w:w w:val="105"/>
                <w:sz w:val="14"/>
              </w:rPr>
              <w:t xml:space="preserve">） </w:t>
            </w:r>
            <w:r>
              <w:rPr>
                <w:spacing w:val="2"/>
                <w:w w:val="105"/>
                <w:sz w:val="14"/>
              </w:rPr>
              <w:t>4</w:t>
            </w:r>
            <w:r>
              <w:rPr>
                <w:w w:val="105"/>
                <w:sz w:val="14"/>
              </w:rPr>
              <w:t>.生产、储存危险化学品建设项目安全设施设计</w:t>
            </w:r>
            <w:r>
              <w:rPr>
                <w:spacing w:val="3"/>
                <w:w w:val="105"/>
                <w:sz w:val="14"/>
              </w:rPr>
              <w:t>审查</w:t>
            </w:r>
            <w:r>
              <w:rPr>
                <w:spacing w:val="2"/>
                <w:w w:val="105"/>
                <w:sz w:val="14"/>
              </w:rPr>
              <w:t>（15</w:t>
            </w:r>
            <w:r>
              <w:rPr>
                <w:w w:val="105"/>
                <w:sz w:val="14"/>
              </w:rPr>
              <w:t>日）</w:t>
            </w:r>
          </w:p>
        </w:tc>
        <w:tc>
          <w:tcPr>
            <w:tcW w:w="992"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5"/>
              </w:rPr>
            </w:pPr>
          </w:p>
          <w:p>
            <w:pPr>
              <w:pStyle w:val="20"/>
              <w:ind w:left="32" w:right="16"/>
              <w:jc w:val="center"/>
              <w:rPr>
                <w:sz w:val="14"/>
              </w:rPr>
            </w:pPr>
            <w:r>
              <w:rPr>
                <w:w w:val="105"/>
                <w:sz w:val="14"/>
              </w:rPr>
              <w:t>专家审查</w:t>
            </w:r>
          </w:p>
        </w:tc>
        <w:tc>
          <w:tcPr>
            <w:tcW w:w="7371" w:type="dxa"/>
          </w:tcPr>
          <w:p>
            <w:pPr>
              <w:pStyle w:val="20"/>
              <w:spacing w:before="38" w:line="252" w:lineRule="auto"/>
              <w:ind w:left="27" w:right="143"/>
              <w:jc w:val="both"/>
              <w:rPr>
                <w:sz w:val="14"/>
              </w:rPr>
            </w:pPr>
            <w:r>
              <w:rPr>
                <w:w w:val="105"/>
                <w:sz w:val="14"/>
              </w:rPr>
              <w:t>【部委规章】《建设项目安全设施“三同时”监督管理办法》（原国家安全监管总局令第 36号，2015年4月修正）</w:t>
            </w:r>
          </w:p>
          <w:p>
            <w:pPr>
              <w:pStyle w:val="20"/>
              <w:spacing w:line="252" w:lineRule="auto"/>
              <w:ind w:left="27" w:right="143"/>
              <w:jc w:val="both"/>
              <w:rPr>
                <w:sz w:val="14"/>
              </w:rPr>
            </w:pPr>
            <w:r>
              <w:rPr>
                <w:w w:val="105"/>
                <w:sz w:val="14"/>
              </w:rPr>
              <w:t>第五条：国家安全生产监督管理总局对全国建设项目安全设施 “三同时”实施综合监督管理，并在国务院规定的职责范围内承担有关建设项目安全设施 “三同时”的监督管理。</w:t>
            </w:r>
          </w:p>
          <w:p>
            <w:pPr>
              <w:pStyle w:val="20"/>
              <w:spacing w:line="249" w:lineRule="auto"/>
              <w:ind w:left="27" w:right="143"/>
              <w:jc w:val="both"/>
              <w:rPr>
                <w:sz w:val="14"/>
              </w:rPr>
            </w:pPr>
            <w:r>
              <w:rPr>
                <w:w w:val="105"/>
                <w:sz w:val="14"/>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跨两个及两个以上行政区域的建设项目安全设施“三同时”由其共同的上一级人民政府安全生产监督管理部门实施监督管理。上一级人民政府安全生产监督管理部门根据工作需要，可以将其负责监督管理的建设项目安全设施“三同时”工作委托下一级人民政府安全生产监督管理部门实施监督管理。</w:t>
            </w:r>
          </w:p>
          <w:p>
            <w:pPr>
              <w:pStyle w:val="20"/>
              <w:spacing w:line="249" w:lineRule="auto"/>
              <w:ind w:left="27" w:right="159"/>
              <w:rPr>
                <w:sz w:val="14"/>
              </w:rPr>
            </w:pPr>
            <w:r>
              <w:rPr>
                <w:w w:val="105"/>
                <w:sz w:val="14"/>
              </w:rPr>
              <w:t>第十二条：本办法第七条第（一）项、第（二）项、第（三）项、第（四）项规定的建设项目安全设施设计完成后，生产经营单位应当按照本办法第五条的规定向安全生产监督管理部门提出审查申请。</w:t>
            </w:r>
          </w:p>
          <w:p>
            <w:pPr>
              <w:pStyle w:val="20"/>
              <w:ind w:left="27"/>
              <w:rPr>
                <w:sz w:val="14"/>
              </w:rPr>
            </w:pPr>
            <w:r>
              <w:rPr>
                <w:w w:val="105"/>
                <w:sz w:val="14"/>
              </w:rPr>
              <w:t>【政策文件】《关于加强非煤矿山安全生产工作的指导意见》（矿安〔2022〕4号）</w:t>
            </w:r>
          </w:p>
          <w:p>
            <w:pPr>
              <w:pStyle w:val="20"/>
              <w:spacing w:before="4" w:line="249" w:lineRule="auto"/>
              <w:ind w:left="27" w:right="147"/>
              <w:jc w:val="both"/>
              <w:rPr>
                <w:sz w:val="14"/>
              </w:rPr>
            </w:pPr>
            <w:r>
              <w:rPr>
                <w:w w:val="105"/>
                <w:sz w:val="14"/>
              </w:rPr>
              <w:t>（二）严格安全设施设计。安全设施设计审查应当根据矿山类型、生产规模邀请不少于5名熟悉金属非金属矿山或者尾矿库安全生产工作的相关专业专家进行技术审查，其中：金属非金属地下矿山应当包含采矿、地质、机械、电气专业的专家，金属非金属露天矿山应当包含采矿、地质、岩土专业的专家，尾矿库应当包含水利、地质、土木专业的专家。</w:t>
            </w:r>
          </w:p>
        </w:tc>
        <w:tc>
          <w:tcPr>
            <w:tcW w:w="1701" w:type="dxa"/>
          </w:tcPr>
          <w:p>
            <w:pPr>
              <w:pStyle w:val="20"/>
              <w:rPr>
                <w:sz w:val="14"/>
              </w:rPr>
            </w:pPr>
          </w:p>
          <w:p>
            <w:pPr>
              <w:pStyle w:val="20"/>
              <w:rPr>
                <w:sz w:val="14"/>
              </w:rPr>
            </w:pPr>
          </w:p>
          <w:p>
            <w:pPr>
              <w:pStyle w:val="20"/>
              <w:rPr>
                <w:sz w:val="14"/>
              </w:rPr>
            </w:pPr>
          </w:p>
          <w:p>
            <w:pPr>
              <w:pStyle w:val="20"/>
              <w:rPr>
                <w:sz w:val="14"/>
              </w:rPr>
            </w:pPr>
          </w:p>
          <w:p>
            <w:pPr>
              <w:pStyle w:val="20"/>
              <w:rPr>
                <w:sz w:val="20"/>
              </w:rPr>
            </w:pPr>
          </w:p>
          <w:p>
            <w:pPr>
              <w:pStyle w:val="20"/>
              <w:spacing w:line="252" w:lineRule="auto"/>
              <w:ind w:left="28" w:right="31"/>
              <w:rPr>
                <w:sz w:val="14"/>
              </w:rPr>
            </w:pPr>
            <w:r>
              <w:rPr>
                <w:w w:val="105"/>
                <w:sz w:val="14"/>
              </w:rPr>
              <w:t>烟花爆竹建设项目安全设施设计审查</w:t>
            </w:r>
          </w:p>
          <w:p>
            <w:pPr>
              <w:pStyle w:val="20"/>
              <w:spacing w:line="252" w:lineRule="auto"/>
              <w:ind w:left="28" w:right="31"/>
              <w:rPr>
                <w:sz w:val="14"/>
              </w:rPr>
            </w:pPr>
            <w:r>
              <w:rPr>
                <w:spacing w:val="-1"/>
                <w:w w:val="105"/>
                <w:sz w:val="14"/>
              </w:rPr>
              <w:t>非煤矿山建设项目安全设施</w:t>
            </w:r>
            <w:r>
              <w:rPr>
                <w:spacing w:val="1"/>
                <w:w w:val="105"/>
                <w:sz w:val="14"/>
              </w:rPr>
              <w:t>设计审查；</w:t>
            </w:r>
          </w:p>
          <w:p>
            <w:pPr>
              <w:pStyle w:val="20"/>
              <w:spacing w:line="252" w:lineRule="auto"/>
              <w:ind w:left="28" w:right="31"/>
              <w:rPr>
                <w:sz w:val="14"/>
              </w:rPr>
            </w:pPr>
            <w:r>
              <w:rPr>
                <w:spacing w:val="-1"/>
                <w:w w:val="105"/>
                <w:sz w:val="14"/>
              </w:rPr>
              <w:t>金属冶炼建设项目安全设施</w:t>
            </w:r>
            <w:r>
              <w:rPr>
                <w:spacing w:val="1"/>
                <w:w w:val="105"/>
                <w:sz w:val="14"/>
              </w:rPr>
              <w:t>设计审查；</w:t>
            </w:r>
          </w:p>
          <w:p>
            <w:pPr>
              <w:pStyle w:val="20"/>
              <w:spacing w:line="249" w:lineRule="auto"/>
              <w:ind w:left="28" w:right="12"/>
              <w:rPr>
                <w:sz w:val="14"/>
              </w:rPr>
            </w:pPr>
            <w:r>
              <w:rPr>
                <w:w w:val="105"/>
                <w:sz w:val="14"/>
              </w:rPr>
              <w:t>生产、储存危险化学品的建设项目安全设施设计审查。</w:t>
            </w:r>
          </w:p>
        </w:tc>
        <w:tc>
          <w:tcPr>
            <w:tcW w:w="1134"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01" w:line="242" w:lineRule="auto"/>
              <w:ind w:left="534" w:right="11" w:hanging="490"/>
              <w:rPr>
                <w:sz w:val="14"/>
              </w:rPr>
            </w:pPr>
            <w:r>
              <w:rPr>
                <w:w w:val="105"/>
                <w:sz w:val="14"/>
              </w:rPr>
              <w:t>承诺时限：7</w:t>
            </w:r>
          </w:p>
        </w:tc>
        <w:tc>
          <w:tcPr>
            <w:tcW w:w="993"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5"/>
              </w:rPr>
            </w:pPr>
          </w:p>
          <w:p>
            <w:pPr>
              <w:pStyle w:val="20"/>
              <w:ind w:left="149" w:right="119"/>
              <w:jc w:val="center"/>
              <w:rPr>
                <w:sz w:val="14"/>
              </w:rPr>
            </w:pPr>
            <w:r>
              <w:rPr>
                <w:rFonts w:hint="eastAsia"/>
                <w:sz w:val="14"/>
              </w:rPr>
              <w:t>区</w:t>
            </w:r>
            <w:r>
              <w:rPr>
                <w:sz w:val="14"/>
              </w:rPr>
              <w:t>应急局</w:t>
            </w:r>
          </w:p>
        </w:tc>
      </w:tr>
    </w:tbl>
    <w:p>
      <w:pPr>
        <w:jc w:val="center"/>
        <w:rPr>
          <w:sz w:val="14"/>
        </w:rPr>
        <w:sectPr>
          <w:footerReference r:id="rId7" w:type="default"/>
          <w:pgSz w:w="16840" w:h="11910" w:orient="landscape"/>
          <w:pgMar w:top="1000" w:right="980" w:bottom="920" w:left="980" w:header="0" w:footer="721" w:gutter="0"/>
          <w:pgNumType w:start="18"/>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866"/>
        <w:gridCol w:w="1058"/>
        <w:gridCol w:w="9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31"/>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166"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62"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3"/>
              <w:rPr>
                <w:sz w:val="20"/>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058"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80" w:type="dxa"/>
            <w:vAlign w:val="center"/>
          </w:tcPr>
          <w:p>
            <w:pPr>
              <w:pStyle w:val="20"/>
              <w:spacing w:line="242" w:lineRule="auto"/>
              <w:ind w:left="391" w:right="61" w:hanging="303"/>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39" w:hRule="atLeast"/>
          <w:jc w:val="center"/>
        </w:trPr>
        <w:tc>
          <w:tcPr>
            <w:tcW w:w="35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2"/>
              <w:rPr>
                <w:sz w:val="14"/>
              </w:rPr>
            </w:pPr>
          </w:p>
          <w:p>
            <w:pPr>
              <w:pStyle w:val="20"/>
              <w:ind w:left="107"/>
              <w:rPr>
                <w:rFonts w:hint="eastAsia" w:eastAsia="宋体"/>
                <w:sz w:val="14"/>
                <w:lang w:eastAsia="zh-CN"/>
              </w:rPr>
            </w:pPr>
            <w:r>
              <w:rPr>
                <w:w w:val="105"/>
                <w:sz w:val="14"/>
              </w:rPr>
              <w:t>2</w:t>
            </w:r>
            <w:r>
              <w:rPr>
                <w:rFonts w:hint="eastAsia"/>
                <w:w w:val="105"/>
                <w:sz w:val="14"/>
                <w:lang w:val="en-US" w:eastAsia="zh-CN"/>
              </w:rPr>
              <w:t>0</w:t>
            </w:r>
          </w:p>
        </w:tc>
        <w:tc>
          <w:tcPr>
            <w:tcW w:w="83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line="247" w:lineRule="auto"/>
              <w:ind w:left="40" w:right="28"/>
              <w:rPr>
                <w:sz w:val="14"/>
              </w:rPr>
            </w:pPr>
            <w:r>
              <w:rPr>
                <w:w w:val="105"/>
                <w:sz w:val="14"/>
              </w:rPr>
              <w:t>建设工程抗震设防要求审定</w:t>
            </w:r>
          </w:p>
        </w:tc>
        <w:tc>
          <w:tcPr>
            <w:tcW w:w="1166"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1"/>
              <w:rPr>
                <w:sz w:val="19"/>
              </w:rPr>
            </w:pPr>
          </w:p>
          <w:p>
            <w:pPr>
              <w:pStyle w:val="20"/>
              <w:numPr>
                <w:ilvl w:val="0"/>
                <w:numId w:val="4"/>
              </w:numPr>
              <w:tabs>
                <w:tab w:val="left" w:pos="213"/>
              </w:tabs>
              <w:spacing w:line="178" w:lineRule="exact"/>
              <w:ind w:left="52" w:right="34" w:firstLine="0"/>
              <w:rPr>
                <w:sz w:val="14"/>
              </w:rPr>
            </w:pPr>
            <w:r>
              <w:rPr>
                <w:spacing w:val="-3"/>
                <w:w w:val="105"/>
                <w:sz w:val="14"/>
              </w:rPr>
              <w:t>重大工程抗震</w:t>
            </w:r>
            <w:r>
              <w:rPr>
                <w:w w:val="105"/>
                <w:sz w:val="14"/>
              </w:rPr>
              <w:t>设防要求审定（4日）</w:t>
            </w:r>
          </w:p>
          <w:p>
            <w:pPr>
              <w:pStyle w:val="20"/>
              <w:numPr>
                <w:ilvl w:val="0"/>
                <w:numId w:val="4"/>
              </w:numPr>
              <w:tabs>
                <w:tab w:val="left" w:pos="213"/>
              </w:tabs>
              <w:spacing w:before="7" w:line="252" w:lineRule="auto"/>
              <w:ind w:right="46" w:firstLine="0"/>
              <w:rPr>
                <w:sz w:val="14"/>
              </w:rPr>
            </w:pPr>
            <w:r>
              <w:rPr>
                <w:spacing w:val="-3"/>
                <w:w w:val="105"/>
                <w:sz w:val="14"/>
              </w:rPr>
              <w:t>一般工程抗震</w:t>
            </w:r>
            <w:r>
              <w:rPr>
                <w:w w:val="105"/>
                <w:sz w:val="14"/>
              </w:rPr>
              <w:t>设防要求审定（即办）</w:t>
            </w:r>
          </w:p>
        </w:tc>
        <w:tc>
          <w:tcPr>
            <w:tcW w:w="1262"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8"/>
              <w:rPr>
                <w:sz w:val="11"/>
              </w:rPr>
            </w:pPr>
          </w:p>
          <w:p>
            <w:pPr>
              <w:pStyle w:val="20"/>
              <w:spacing w:line="252" w:lineRule="auto"/>
              <w:ind w:left="108" w:right="21" w:hanging="77"/>
              <w:rPr>
                <w:sz w:val="14"/>
              </w:rPr>
            </w:pPr>
            <w:r>
              <w:rPr>
                <w:w w:val="105"/>
                <w:sz w:val="14"/>
              </w:rPr>
              <w:t>建设单位委托开展地震安全性评价</w:t>
            </w:r>
          </w:p>
        </w:tc>
        <w:tc>
          <w:tcPr>
            <w:tcW w:w="6532" w:type="dxa"/>
          </w:tcPr>
          <w:p>
            <w:pPr>
              <w:pStyle w:val="20"/>
              <w:spacing w:before="19" w:line="249" w:lineRule="auto"/>
              <w:ind w:left="27" w:right="95"/>
              <w:rPr>
                <w:sz w:val="14"/>
              </w:rPr>
            </w:pPr>
            <w:r>
              <w:rPr>
                <w:spacing w:val="1"/>
                <w:w w:val="105"/>
                <w:sz w:val="14"/>
              </w:rPr>
              <w:t>【法律】《中华人民共和国防震减灾法》</w:t>
            </w:r>
            <w:r>
              <w:rPr>
                <w:w w:val="105"/>
                <w:sz w:val="14"/>
              </w:rPr>
              <w:t>（1997</w:t>
            </w:r>
            <w:r>
              <w:rPr>
                <w:spacing w:val="7"/>
                <w:w w:val="105"/>
                <w:sz w:val="14"/>
              </w:rPr>
              <w:t>年</w:t>
            </w:r>
            <w:r>
              <w:rPr>
                <w:w w:val="105"/>
                <w:sz w:val="14"/>
              </w:rPr>
              <w:t>12</w:t>
            </w:r>
            <w:r>
              <w:rPr>
                <w:spacing w:val="6"/>
                <w:w w:val="105"/>
                <w:sz w:val="14"/>
              </w:rPr>
              <w:t>月</w:t>
            </w:r>
            <w:r>
              <w:rPr>
                <w:w w:val="105"/>
                <w:sz w:val="14"/>
              </w:rPr>
              <w:t xml:space="preserve">29日第八届全国人民代表大会常务委员会 </w:t>
            </w:r>
            <w:r>
              <w:rPr>
                <w:spacing w:val="1"/>
                <w:w w:val="105"/>
                <w:sz w:val="14"/>
              </w:rPr>
              <w:t>第二十九次会议通过，</w:t>
            </w:r>
            <w:r>
              <w:rPr>
                <w:spacing w:val="2"/>
                <w:w w:val="105"/>
                <w:sz w:val="14"/>
              </w:rPr>
              <w:t>2008</w:t>
            </w:r>
            <w:r>
              <w:rPr>
                <w:w w:val="105"/>
                <w:sz w:val="14"/>
              </w:rPr>
              <w:t>年</w:t>
            </w:r>
            <w:r>
              <w:rPr>
                <w:spacing w:val="3"/>
                <w:w w:val="105"/>
                <w:sz w:val="14"/>
              </w:rPr>
              <w:t>12</w:t>
            </w:r>
            <w:r>
              <w:rPr>
                <w:w w:val="105"/>
                <w:sz w:val="14"/>
              </w:rPr>
              <w:t>月</w:t>
            </w:r>
            <w:r>
              <w:rPr>
                <w:spacing w:val="3"/>
                <w:w w:val="105"/>
                <w:sz w:val="14"/>
              </w:rPr>
              <w:t>27</w:t>
            </w:r>
            <w:r>
              <w:rPr>
                <w:spacing w:val="-1"/>
                <w:w w:val="105"/>
                <w:sz w:val="14"/>
              </w:rPr>
              <w:t>日第十一届全国人民代表大会常务委员会第六次会议修订</w:t>
            </w:r>
            <w:r>
              <w:rPr>
                <w:w w:val="105"/>
                <w:sz w:val="14"/>
              </w:rPr>
              <w:t>）</w:t>
            </w:r>
            <w:r>
              <w:rPr>
                <w:spacing w:val="-1"/>
                <w:w w:val="105"/>
                <w:sz w:val="14"/>
              </w:rPr>
              <w:t>第三十五条 重大建设工程和可能发生严重次生灾害的建设工程，应当按照国务院有关规定进行地</w:t>
            </w:r>
            <w:r>
              <w:rPr>
                <w:w w:val="105"/>
                <w:sz w:val="14"/>
              </w:rPr>
              <w:t>震安全性评价。</w:t>
            </w:r>
          </w:p>
          <w:p>
            <w:pPr>
              <w:pStyle w:val="20"/>
              <w:spacing w:before="2" w:line="247" w:lineRule="auto"/>
              <w:ind w:left="27" w:right="95"/>
              <w:rPr>
                <w:w w:val="105"/>
                <w:sz w:val="14"/>
              </w:rPr>
            </w:pPr>
            <w:r>
              <w:rPr>
                <w:w w:val="105"/>
                <w:sz w:val="14"/>
              </w:rPr>
              <w:t>【地方法规】《山东省防震减灾条例》</w:t>
            </w:r>
            <w:r>
              <w:rPr>
                <w:spacing w:val="2"/>
                <w:w w:val="105"/>
                <w:sz w:val="14"/>
              </w:rPr>
              <w:t>（1999</w:t>
            </w:r>
            <w:r>
              <w:rPr>
                <w:w w:val="105"/>
                <w:sz w:val="14"/>
              </w:rPr>
              <w:t>年</w:t>
            </w:r>
            <w:r>
              <w:rPr>
                <w:spacing w:val="3"/>
                <w:w w:val="105"/>
                <w:sz w:val="14"/>
              </w:rPr>
              <w:t>10</w:t>
            </w:r>
            <w:r>
              <w:rPr>
                <w:w w:val="105"/>
                <w:sz w:val="14"/>
              </w:rPr>
              <w:t>月</w:t>
            </w:r>
            <w:r>
              <w:rPr>
                <w:spacing w:val="3"/>
                <w:w w:val="105"/>
                <w:sz w:val="14"/>
              </w:rPr>
              <w:t>25</w:t>
            </w:r>
            <w:r>
              <w:rPr>
                <w:w w:val="105"/>
                <w:sz w:val="14"/>
              </w:rPr>
              <w:t xml:space="preserve">日山东省第九届人民代表大会常务委员会 </w:t>
            </w:r>
            <w:r>
              <w:rPr>
                <w:spacing w:val="6"/>
                <w:w w:val="105"/>
                <w:sz w:val="14"/>
              </w:rPr>
              <w:t>第</w:t>
            </w:r>
            <w:r>
              <w:rPr>
                <w:w w:val="105"/>
                <w:sz w:val="14"/>
              </w:rPr>
              <w:t>11</w:t>
            </w:r>
            <w:r>
              <w:rPr>
                <w:spacing w:val="2"/>
                <w:w w:val="105"/>
                <w:sz w:val="14"/>
              </w:rPr>
              <w:t>次会议通过</w:t>
            </w:r>
            <w:r>
              <w:rPr>
                <w:w w:val="105"/>
                <w:sz w:val="14"/>
              </w:rPr>
              <w:t>，2010年9</w:t>
            </w:r>
            <w:r>
              <w:rPr>
                <w:spacing w:val="6"/>
                <w:w w:val="105"/>
                <w:sz w:val="14"/>
              </w:rPr>
              <w:t>月</w:t>
            </w:r>
            <w:r>
              <w:rPr>
                <w:w w:val="105"/>
                <w:sz w:val="14"/>
              </w:rPr>
              <w:t>29</w:t>
            </w:r>
            <w:r>
              <w:rPr>
                <w:spacing w:val="1"/>
                <w:w w:val="105"/>
                <w:sz w:val="14"/>
              </w:rPr>
              <w:t>日山东省第十一届人民代表大会常务委员会第十九次会议修订</w:t>
            </w:r>
            <w:r>
              <w:rPr>
                <w:w w:val="105"/>
                <w:sz w:val="14"/>
              </w:rPr>
              <w:t>）</w:t>
            </w:r>
          </w:p>
          <w:p>
            <w:pPr>
              <w:pStyle w:val="20"/>
              <w:spacing w:before="2" w:line="247" w:lineRule="auto"/>
              <w:ind w:left="27" w:right="95"/>
              <w:rPr>
                <w:sz w:val="14"/>
              </w:rPr>
            </w:pPr>
            <w:r>
              <w:rPr>
                <w:spacing w:val="-1"/>
                <w:w w:val="105"/>
                <w:sz w:val="14"/>
              </w:rPr>
              <w:t>第二十七条 重大建设工程和可能发生严重次生灾害的建设工程，应当按照国家和省有关规定进行</w:t>
            </w:r>
            <w:r>
              <w:rPr>
                <w:w w:val="105"/>
                <w:sz w:val="14"/>
              </w:rPr>
              <w:t>地震安全性评价。</w:t>
            </w:r>
          </w:p>
          <w:p>
            <w:pPr>
              <w:pStyle w:val="20"/>
              <w:spacing w:before="5" w:line="249" w:lineRule="auto"/>
              <w:ind w:left="27" w:right="94"/>
              <w:rPr>
                <w:sz w:val="14"/>
              </w:rPr>
            </w:pPr>
            <w:r>
              <w:rPr>
                <w:w w:val="105"/>
                <w:sz w:val="14"/>
              </w:rPr>
              <w:t>【地方法规】《山东省建设工程抗震设防条例》（2017年9月30日山东省第十二届人民代表大会常务委员会第三十二次会议通过 根据2020年7月24日山东省第十三届人民代表大会常务委员会第二十二次会议《关于修改〈山东省农民专业合作社条例〉等十二件地方性法规的决定》修正）</w:t>
            </w:r>
          </w:p>
          <w:p>
            <w:pPr>
              <w:pStyle w:val="20"/>
              <w:spacing w:before="2"/>
              <w:ind w:left="27"/>
              <w:rPr>
                <w:sz w:val="14"/>
              </w:rPr>
            </w:pPr>
            <w:r>
              <w:rPr>
                <w:w w:val="105"/>
                <w:sz w:val="14"/>
              </w:rPr>
              <w:t>第十二条 重大建设工程和可能发生严重次生灾害的建设工程，其建设单位应当按照国家和省的规定开展地震安全性评价。</w:t>
            </w:r>
          </w:p>
        </w:tc>
        <w:tc>
          <w:tcPr>
            <w:tcW w:w="186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8"/>
              <w:rPr>
                <w:sz w:val="11"/>
              </w:rPr>
            </w:pPr>
          </w:p>
          <w:p>
            <w:pPr>
              <w:pStyle w:val="20"/>
              <w:spacing w:line="252" w:lineRule="auto"/>
              <w:ind w:left="28" w:right="21"/>
              <w:rPr>
                <w:sz w:val="14"/>
              </w:rPr>
            </w:pPr>
            <w:r>
              <w:rPr>
                <w:w w:val="105"/>
                <w:sz w:val="14"/>
              </w:rPr>
              <w:t>应当开展地震安全性评价的重大工程。</w:t>
            </w:r>
          </w:p>
        </w:tc>
        <w:tc>
          <w:tcPr>
            <w:tcW w:w="1058"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8"/>
              <w:rPr>
                <w:sz w:val="11"/>
              </w:rPr>
            </w:pPr>
          </w:p>
          <w:p>
            <w:pPr>
              <w:pStyle w:val="20"/>
              <w:spacing w:line="252" w:lineRule="auto"/>
              <w:ind w:left="495" w:right="11" w:hanging="451"/>
              <w:rPr>
                <w:sz w:val="14"/>
              </w:rPr>
            </w:pPr>
            <w:r>
              <w:rPr>
                <w:w w:val="105"/>
                <w:sz w:val="14"/>
              </w:rPr>
              <w:t>承诺时限：10</w:t>
            </w:r>
          </w:p>
        </w:tc>
        <w:tc>
          <w:tcPr>
            <w:tcW w:w="98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2"/>
              <w:rPr>
                <w:sz w:val="14"/>
              </w:rPr>
            </w:pPr>
          </w:p>
          <w:p>
            <w:pPr>
              <w:pStyle w:val="20"/>
              <w:rPr>
                <w:sz w:val="14"/>
              </w:rPr>
            </w:pPr>
            <w:r>
              <w:rPr>
                <w:rFonts w:hint="eastAsia"/>
                <w:sz w:val="14"/>
              </w:rPr>
              <w:t>区</w:t>
            </w:r>
            <w:r>
              <w:rPr>
                <w:sz w:val="14"/>
              </w:rPr>
              <w:t>行政审批局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95"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166" w:type="dxa"/>
            <w:vMerge w:val="continue"/>
            <w:tcBorders>
              <w:top w:val="nil"/>
            </w:tcBorders>
          </w:tcPr>
          <w:p>
            <w:pPr>
              <w:rPr>
                <w:sz w:val="2"/>
                <w:szCs w:val="2"/>
              </w:rPr>
            </w:pPr>
          </w:p>
        </w:tc>
        <w:tc>
          <w:tcPr>
            <w:tcW w:w="1262" w:type="dxa"/>
          </w:tcPr>
          <w:p>
            <w:pPr>
              <w:pStyle w:val="20"/>
              <w:spacing w:before="1"/>
              <w:rPr>
                <w:sz w:val="16"/>
              </w:rPr>
            </w:pPr>
          </w:p>
          <w:p>
            <w:pPr>
              <w:pStyle w:val="20"/>
              <w:spacing w:line="249" w:lineRule="auto"/>
              <w:ind w:left="32" w:right="21"/>
              <w:jc w:val="center"/>
              <w:rPr>
                <w:sz w:val="14"/>
              </w:rPr>
            </w:pPr>
            <w:r>
              <w:rPr>
                <w:w w:val="105"/>
                <w:sz w:val="14"/>
              </w:rPr>
              <w:t>重大工程地震安全性评价报告技术审查</w:t>
            </w:r>
          </w:p>
        </w:tc>
        <w:tc>
          <w:tcPr>
            <w:tcW w:w="6532" w:type="dxa"/>
          </w:tcPr>
          <w:p>
            <w:pPr>
              <w:pStyle w:val="20"/>
              <w:spacing w:before="115" w:line="249" w:lineRule="auto"/>
              <w:ind w:left="27"/>
              <w:rPr>
                <w:sz w:val="14"/>
              </w:rPr>
            </w:pPr>
            <w:r>
              <w:rPr>
                <w:w w:val="105"/>
                <w:sz w:val="14"/>
              </w:rPr>
              <w:t>【地方政府规章】《山东省地震安全性评价管理办法》（2005年1月4日山东省人民政府令第176号公布，根据2018年1月24日山东省政府令第311号修订）</w:t>
            </w:r>
          </w:p>
          <w:p>
            <w:pPr>
              <w:pStyle w:val="20"/>
              <w:spacing w:before="1" w:line="249" w:lineRule="auto"/>
              <w:ind w:left="27" w:right="11"/>
              <w:rPr>
                <w:sz w:val="14"/>
              </w:rPr>
            </w:pPr>
            <w:r>
              <w:rPr>
                <w:w w:val="105"/>
                <w:sz w:val="14"/>
              </w:rPr>
              <w:t>第十条 省地震行政主管部门收到地震安全性评价报告后，应当委托省地震安全性评审组织对地震安全性评价报告进行技术评审。</w:t>
            </w:r>
          </w:p>
        </w:tc>
        <w:tc>
          <w:tcPr>
            <w:tcW w:w="1866" w:type="dxa"/>
          </w:tcPr>
          <w:p>
            <w:pPr>
              <w:pStyle w:val="20"/>
              <w:rPr>
                <w:sz w:val="14"/>
              </w:rPr>
            </w:pPr>
          </w:p>
          <w:p>
            <w:pPr>
              <w:pStyle w:val="20"/>
              <w:spacing w:before="122" w:line="252" w:lineRule="auto"/>
              <w:ind w:left="28" w:right="21"/>
              <w:rPr>
                <w:sz w:val="14"/>
              </w:rPr>
            </w:pPr>
            <w:r>
              <w:rPr>
                <w:w w:val="105"/>
                <w:sz w:val="14"/>
              </w:rPr>
              <w:t>应当开展地震安全性评价的重大工程。</w:t>
            </w:r>
          </w:p>
        </w:tc>
        <w:tc>
          <w:tcPr>
            <w:tcW w:w="1058" w:type="dxa"/>
          </w:tcPr>
          <w:p>
            <w:pPr>
              <w:pStyle w:val="20"/>
              <w:rPr>
                <w:sz w:val="14"/>
              </w:rPr>
            </w:pPr>
          </w:p>
          <w:p>
            <w:pPr>
              <w:pStyle w:val="20"/>
              <w:spacing w:before="122" w:line="252" w:lineRule="auto"/>
              <w:ind w:left="495" w:right="11" w:hanging="451"/>
              <w:rPr>
                <w:sz w:val="14"/>
              </w:rPr>
            </w:pPr>
            <w:r>
              <w:rPr>
                <w:w w:val="105"/>
                <w:sz w:val="14"/>
              </w:rPr>
              <w:t>承诺时限：10</w:t>
            </w:r>
          </w:p>
        </w:tc>
        <w:tc>
          <w:tcPr>
            <w:tcW w:w="980" w:type="dxa"/>
            <w:vMerge w:val="continue"/>
            <w:tcBorders>
              <w:top w:val="nil"/>
            </w:tcBorders>
          </w:tcPr>
          <w:p>
            <w:pPr>
              <w:rPr>
                <w:sz w:val="2"/>
                <w:szCs w:val="2"/>
              </w:rPr>
            </w:pPr>
          </w:p>
        </w:tc>
      </w:tr>
    </w:tbl>
    <w:p>
      <w:pPr>
        <w:rPr>
          <w:sz w:val="2"/>
          <w:szCs w:val="2"/>
        </w:rPr>
        <w:sectPr>
          <w:pgSz w:w="16840" w:h="11910" w:orient="landscape"/>
          <w:pgMar w:top="1000" w:right="980" w:bottom="1140" w:left="980" w:header="0" w:footer="72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166"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62"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3"/>
              <w:rPr>
                <w:sz w:val="20"/>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vAlign w:val="center"/>
          </w:tcPr>
          <w:p>
            <w:pPr>
              <w:pStyle w:val="20"/>
              <w:spacing w:line="242" w:lineRule="auto"/>
              <w:ind w:left="391" w:right="61" w:hanging="303"/>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39" w:hRule="atLeast"/>
          <w:jc w:val="center"/>
        </w:trPr>
        <w:tc>
          <w:tcPr>
            <w:tcW w:w="35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0"/>
              <w:rPr>
                <w:sz w:val="17"/>
              </w:rPr>
            </w:pPr>
          </w:p>
          <w:p>
            <w:pPr>
              <w:pStyle w:val="20"/>
              <w:spacing w:before="1"/>
              <w:ind w:left="28"/>
              <w:jc w:val="center"/>
              <w:rPr>
                <w:rFonts w:hint="eastAsia" w:eastAsia="宋体"/>
                <w:sz w:val="14"/>
                <w:lang w:eastAsia="zh-CN"/>
              </w:rPr>
            </w:pPr>
            <w:r>
              <w:rPr>
                <w:w w:val="105"/>
                <w:sz w:val="14"/>
              </w:rPr>
              <w:t>2</w:t>
            </w:r>
            <w:r>
              <w:rPr>
                <w:rFonts w:hint="eastAsia"/>
                <w:w w:val="105"/>
                <w:sz w:val="14"/>
                <w:lang w:val="en-US" w:eastAsia="zh-CN"/>
              </w:rPr>
              <w:t>0</w:t>
            </w:r>
          </w:p>
        </w:tc>
        <w:tc>
          <w:tcPr>
            <w:tcW w:w="83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2"/>
              <w:rPr>
                <w:sz w:val="17"/>
              </w:rPr>
            </w:pPr>
          </w:p>
          <w:p>
            <w:pPr>
              <w:pStyle w:val="20"/>
              <w:spacing w:line="249" w:lineRule="auto"/>
              <w:ind w:left="40" w:right="28"/>
              <w:jc w:val="center"/>
              <w:rPr>
                <w:sz w:val="14"/>
              </w:rPr>
            </w:pPr>
            <w:r>
              <w:rPr>
                <w:w w:val="105"/>
                <w:sz w:val="14"/>
              </w:rPr>
              <w:t>建设工程抗震设防要求审定</w:t>
            </w:r>
          </w:p>
        </w:tc>
        <w:tc>
          <w:tcPr>
            <w:tcW w:w="116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numPr>
                <w:ilvl w:val="0"/>
                <w:numId w:val="5"/>
              </w:numPr>
              <w:tabs>
                <w:tab w:val="left" w:pos="181"/>
              </w:tabs>
              <w:spacing w:before="1" w:line="249" w:lineRule="auto"/>
              <w:ind w:right="75" w:firstLine="0"/>
              <w:rPr>
                <w:sz w:val="14"/>
              </w:rPr>
            </w:pPr>
            <w:r>
              <w:rPr>
                <w:spacing w:val="-3"/>
                <w:w w:val="105"/>
                <w:sz w:val="14"/>
              </w:rPr>
              <w:t>重大工程抗震</w:t>
            </w:r>
            <w:r>
              <w:rPr>
                <w:w w:val="105"/>
                <w:sz w:val="14"/>
              </w:rPr>
              <w:t>设防要求审定（4日）</w:t>
            </w:r>
          </w:p>
          <w:p>
            <w:pPr>
              <w:pStyle w:val="20"/>
              <w:numPr>
                <w:ilvl w:val="0"/>
                <w:numId w:val="5"/>
              </w:numPr>
              <w:tabs>
                <w:tab w:val="left" w:pos="181"/>
              </w:tabs>
              <w:spacing w:before="7" w:line="244" w:lineRule="auto"/>
              <w:ind w:right="75" w:firstLine="0"/>
              <w:rPr>
                <w:sz w:val="14"/>
              </w:rPr>
            </w:pPr>
            <w:r>
              <w:rPr>
                <w:spacing w:val="-3"/>
                <w:w w:val="105"/>
                <w:sz w:val="14"/>
              </w:rPr>
              <w:t>一般工程抗震</w:t>
            </w:r>
            <w:r>
              <w:rPr>
                <w:w w:val="105"/>
                <w:sz w:val="14"/>
              </w:rPr>
              <w:t>设防要求审定（即办）</w:t>
            </w:r>
          </w:p>
        </w:tc>
        <w:tc>
          <w:tcPr>
            <w:tcW w:w="1262"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9"/>
              <w:rPr>
                <w:sz w:val="10"/>
              </w:rPr>
            </w:pPr>
          </w:p>
          <w:p>
            <w:pPr>
              <w:pStyle w:val="20"/>
              <w:spacing w:line="249" w:lineRule="auto"/>
              <w:ind w:left="334" w:right="21" w:hanging="303"/>
              <w:rPr>
                <w:sz w:val="14"/>
              </w:rPr>
            </w:pPr>
            <w:r>
              <w:rPr>
                <w:w w:val="105"/>
                <w:sz w:val="14"/>
              </w:rPr>
              <w:t>重大工程抗震设防要求审定</w:t>
            </w:r>
          </w:p>
        </w:tc>
        <w:tc>
          <w:tcPr>
            <w:tcW w:w="6532" w:type="dxa"/>
          </w:tcPr>
          <w:p>
            <w:pPr>
              <w:pStyle w:val="20"/>
              <w:spacing w:before="9"/>
              <w:rPr>
                <w:sz w:val="12"/>
              </w:rPr>
            </w:pPr>
          </w:p>
          <w:p>
            <w:pPr>
              <w:pStyle w:val="20"/>
              <w:spacing w:line="249" w:lineRule="auto"/>
              <w:ind w:left="27" w:right="29"/>
              <w:rPr>
                <w:sz w:val="14"/>
              </w:rPr>
            </w:pPr>
            <w:r>
              <w:rPr>
                <w:spacing w:val="6"/>
                <w:w w:val="105"/>
                <w:sz w:val="14"/>
              </w:rPr>
              <w:t>【法律】《中华人民共和国防震减灾法》</w:t>
            </w:r>
            <w:r>
              <w:rPr>
                <w:spacing w:val="3"/>
                <w:w w:val="105"/>
                <w:sz w:val="14"/>
              </w:rPr>
              <w:t>（1997</w:t>
            </w:r>
            <w:r>
              <w:rPr>
                <w:spacing w:val="6"/>
                <w:w w:val="105"/>
                <w:sz w:val="14"/>
              </w:rPr>
              <w:t>年</w:t>
            </w:r>
            <w:r>
              <w:rPr>
                <w:spacing w:val="3"/>
                <w:w w:val="105"/>
                <w:sz w:val="14"/>
              </w:rPr>
              <w:t>12</w:t>
            </w:r>
            <w:r>
              <w:rPr>
                <w:spacing w:val="6"/>
                <w:w w:val="105"/>
                <w:sz w:val="14"/>
              </w:rPr>
              <w:t>月</w:t>
            </w:r>
            <w:r>
              <w:rPr>
                <w:spacing w:val="5"/>
                <w:w w:val="105"/>
                <w:sz w:val="14"/>
              </w:rPr>
              <w:t>29</w:t>
            </w:r>
            <w:r>
              <w:rPr>
                <w:spacing w:val="4"/>
                <w:w w:val="105"/>
                <w:sz w:val="14"/>
              </w:rPr>
              <w:t>日第八届全国人民代表大会常务委员会第二十九次会议通过，</w:t>
            </w:r>
            <w:r>
              <w:rPr>
                <w:spacing w:val="2"/>
                <w:w w:val="105"/>
                <w:sz w:val="14"/>
              </w:rPr>
              <w:t>2008</w:t>
            </w:r>
            <w:r>
              <w:rPr>
                <w:w w:val="105"/>
                <w:sz w:val="14"/>
              </w:rPr>
              <w:t>年</w:t>
            </w:r>
            <w:r>
              <w:rPr>
                <w:spacing w:val="3"/>
                <w:w w:val="105"/>
                <w:sz w:val="14"/>
              </w:rPr>
              <w:t>12</w:t>
            </w:r>
            <w:r>
              <w:rPr>
                <w:w w:val="105"/>
                <w:sz w:val="14"/>
              </w:rPr>
              <w:t>月</w:t>
            </w:r>
            <w:r>
              <w:rPr>
                <w:spacing w:val="3"/>
                <w:w w:val="105"/>
                <w:sz w:val="14"/>
              </w:rPr>
              <w:t>27</w:t>
            </w:r>
            <w:r>
              <w:rPr>
                <w:w w:val="105"/>
                <w:sz w:val="14"/>
              </w:rPr>
              <w:t xml:space="preserve">日第十一届全国人民代表大会常务委员会第六次会议修订） </w:t>
            </w:r>
            <w:r>
              <w:rPr>
                <w:spacing w:val="2"/>
                <w:w w:val="105"/>
                <w:sz w:val="14"/>
              </w:rPr>
              <w:t>第三十四条 国务院地震工作主管部门和省、自治区、直辖市人民政府负责管理地震工作的部门或</w:t>
            </w:r>
            <w:r>
              <w:rPr>
                <w:spacing w:val="-2"/>
                <w:w w:val="105"/>
                <w:sz w:val="14"/>
              </w:rPr>
              <w:t>者机构，负责审定建设工程的地震安全性评价报告，确定抗震设防要求。</w:t>
            </w:r>
          </w:p>
          <w:p>
            <w:pPr>
              <w:pStyle w:val="20"/>
              <w:spacing w:before="3" w:line="247" w:lineRule="auto"/>
              <w:ind w:left="27" w:right="1"/>
              <w:jc w:val="both"/>
              <w:rPr>
                <w:sz w:val="14"/>
              </w:rPr>
            </w:pPr>
            <w:r>
              <w:rPr>
                <w:w w:val="105"/>
                <w:sz w:val="14"/>
              </w:rPr>
              <w:t>【行政法规】《地震安全性评价管理条例》（2001年11月15日中华人民共和国国务院令第323号公布，自2002年1月1日起施行，根据2017年3月1日国务院令第676号公布的《国务院关于修改和废止部分行政法规的决定》修正，根据2019年3月2日国务院令第709号公布的《国务院关于修改和废止部分行政法规的决定》修正）</w:t>
            </w:r>
          </w:p>
          <w:p>
            <w:pPr>
              <w:pStyle w:val="20"/>
              <w:spacing w:before="4" w:line="252" w:lineRule="auto"/>
              <w:ind w:left="27" w:right="35"/>
              <w:jc w:val="both"/>
              <w:rPr>
                <w:sz w:val="14"/>
              </w:rPr>
            </w:pPr>
            <w:r>
              <w:rPr>
                <w:w w:val="105"/>
                <w:sz w:val="14"/>
              </w:rPr>
              <w:t>第十一条 国务院地震工作主管部门和省、自治区、直辖市人民政府负责管理地震工作的部门或者机构，应当自收到地震安全性评价报告之日起15日内进行审定，确定建设工程的抗震设防要求。</w:t>
            </w:r>
          </w:p>
          <w:p>
            <w:pPr>
              <w:pStyle w:val="20"/>
              <w:spacing w:line="249" w:lineRule="auto"/>
              <w:ind w:left="27" w:right="12"/>
              <w:rPr>
                <w:w w:val="105"/>
                <w:sz w:val="14"/>
              </w:rPr>
            </w:pPr>
            <w:r>
              <w:rPr>
                <w:spacing w:val="6"/>
                <w:w w:val="105"/>
                <w:sz w:val="14"/>
              </w:rPr>
              <w:t>【地方法规】《山东省防震减灾条例》</w:t>
            </w:r>
            <w:r>
              <w:rPr>
                <w:spacing w:val="3"/>
                <w:w w:val="105"/>
                <w:sz w:val="14"/>
              </w:rPr>
              <w:t>（1999</w:t>
            </w:r>
            <w:r>
              <w:rPr>
                <w:spacing w:val="6"/>
                <w:w w:val="105"/>
                <w:sz w:val="14"/>
              </w:rPr>
              <w:t>年</w:t>
            </w:r>
            <w:r>
              <w:rPr>
                <w:spacing w:val="3"/>
                <w:w w:val="105"/>
                <w:sz w:val="14"/>
              </w:rPr>
              <w:t>10</w:t>
            </w:r>
            <w:r>
              <w:rPr>
                <w:spacing w:val="7"/>
                <w:w w:val="105"/>
                <w:sz w:val="14"/>
              </w:rPr>
              <w:t>月</w:t>
            </w:r>
            <w:r>
              <w:rPr>
                <w:spacing w:val="3"/>
                <w:w w:val="105"/>
                <w:sz w:val="14"/>
              </w:rPr>
              <w:t>25</w:t>
            </w:r>
            <w:r>
              <w:rPr>
                <w:spacing w:val="4"/>
                <w:w w:val="105"/>
                <w:sz w:val="14"/>
              </w:rPr>
              <w:t>日山东省第九届人民代表大会常务委员会</w:t>
            </w:r>
            <w:r>
              <w:rPr>
                <w:spacing w:val="6"/>
                <w:w w:val="105"/>
                <w:sz w:val="14"/>
              </w:rPr>
              <w:t>第</w:t>
            </w:r>
            <w:r>
              <w:rPr>
                <w:w w:val="105"/>
                <w:sz w:val="14"/>
              </w:rPr>
              <w:t>11</w:t>
            </w:r>
            <w:r>
              <w:rPr>
                <w:spacing w:val="2"/>
                <w:w w:val="105"/>
                <w:sz w:val="14"/>
              </w:rPr>
              <w:t>次会议通过</w:t>
            </w:r>
            <w:r>
              <w:rPr>
                <w:w w:val="105"/>
                <w:sz w:val="14"/>
              </w:rPr>
              <w:t>，2010年9</w:t>
            </w:r>
            <w:r>
              <w:rPr>
                <w:spacing w:val="6"/>
                <w:w w:val="105"/>
                <w:sz w:val="14"/>
              </w:rPr>
              <w:t>月</w:t>
            </w:r>
            <w:r>
              <w:rPr>
                <w:w w:val="105"/>
                <w:sz w:val="14"/>
              </w:rPr>
              <w:t>29</w:t>
            </w:r>
            <w:r>
              <w:rPr>
                <w:spacing w:val="1"/>
                <w:w w:val="105"/>
                <w:sz w:val="14"/>
              </w:rPr>
              <w:t>日山东省第十一届人民代表大会常务委员会第十九次会议修订</w:t>
            </w:r>
            <w:r>
              <w:rPr>
                <w:w w:val="105"/>
                <w:sz w:val="14"/>
              </w:rPr>
              <w:t>）</w:t>
            </w:r>
          </w:p>
          <w:p>
            <w:pPr>
              <w:pStyle w:val="20"/>
              <w:spacing w:line="249" w:lineRule="auto"/>
              <w:ind w:left="27" w:right="12"/>
              <w:rPr>
                <w:sz w:val="14"/>
              </w:rPr>
            </w:pPr>
            <w:r>
              <w:rPr>
                <w:w w:val="105"/>
                <w:sz w:val="14"/>
              </w:rPr>
              <w:t>第十一条 省人民政府地震工作主管部门负责地震安全性评价资质和执业资格管理，组织审定地震</w:t>
            </w:r>
            <w:r>
              <w:rPr>
                <w:spacing w:val="1"/>
                <w:w w:val="105"/>
                <w:sz w:val="14"/>
              </w:rPr>
              <w:t>安全性评价报告。</w:t>
            </w:r>
          </w:p>
          <w:p>
            <w:pPr>
              <w:pStyle w:val="20"/>
              <w:spacing w:line="244" w:lineRule="auto"/>
              <w:ind w:left="27" w:right="1"/>
              <w:rPr>
                <w:sz w:val="14"/>
              </w:rPr>
            </w:pPr>
            <w:r>
              <w:rPr>
                <w:w w:val="105"/>
                <w:sz w:val="14"/>
              </w:rPr>
              <w:t>【地方政府规章】《山东省地震安全性评价管理办法》（2005年1月4日山东省人民政府令第176号公布，根据2018年1月24日山东省政府令第311号修订）</w:t>
            </w:r>
          </w:p>
          <w:p>
            <w:pPr>
              <w:pStyle w:val="20"/>
              <w:spacing w:before="5" w:line="249" w:lineRule="auto"/>
              <w:ind w:left="27" w:right="1"/>
              <w:jc w:val="both"/>
              <w:rPr>
                <w:sz w:val="14"/>
              </w:rPr>
            </w:pPr>
            <w:r>
              <w:rPr>
                <w:w w:val="105"/>
                <w:sz w:val="14"/>
              </w:rPr>
              <w:t>第十一条 省地震行政主管部门应当自收到建设单位提交的地震安全性评价报告之日起15日内，完成审定工作，确定抗震设防要求，并书面告知建设单位和建设项目所在地的市、县(市、区)人民政府负责管理地震工作的部门或者机构。</w:t>
            </w:r>
          </w:p>
        </w:tc>
        <w:tc>
          <w:tcPr>
            <w:tcW w:w="186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9"/>
              <w:rPr>
                <w:sz w:val="10"/>
              </w:rPr>
            </w:pPr>
          </w:p>
          <w:p>
            <w:pPr>
              <w:pStyle w:val="20"/>
              <w:spacing w:line="249" w:lineRule="auto"/>
              <w:ind w:left="28" w:right="21"/>
              <w:rPr>
                <w:sz w:val="14"/>
              </w:rPr>
            </w:pPr>
            <w:r>
              <w:rPr>
                <w:w w:val="105"/>
                <w:sz w:val="14"/>
              </w:rPr>
              <w:t>应当开展地震安全性评价的重大工程。</w:t>
            </w:r>
          </w:p>
        </w:tc>
        <w:tc>
          <w:tcPr>
            <w:tcW w:w="1127"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2"/>
              <w:rPr>
                <w:sz w:val="17"/>
              </w:rPr>
            </w:pPr>
          </w:p>
          <w:p>
            <w:pPr>
              <w:pStyle w:val="20"/>
              <w:spacing w:line="249" w:lineRule="auto"/>
              <w:ind w:left="44" w:right="11"/>
              <w:jc w:val="center"/>
              <w:rPr>
                <w:w w:val="105"/>
                <w:sz w:val="14"/>
              </w:rPr>
            </w:pPr>
            <w:r>
              <w:rPr>
                <w:spacing w:val="2"/>
                <w:w w:val="105"/>
                <w:sz w:val="14"/>
              </w:rPr>
              <w:t>法定时限</w:t>
            </w:r>
            <w:r>
              <w:rPr>
                <w:w w:val="105"/>
                <w:sz w:val="14"/>
              </w:rPr>
              <w:t xml:space="preserve">：15 </w:t>
            </w:r>
          </w:p>
          <w:p>
            <w:pPr>
              <w:pStyle w:val="20"/>
              <w:spacing w:line="249" w:lineRule="auto"/>
              <w:ind w:left="44" w:right="11"/>
              <w:jc w:val="center"/>
              <w:rPr>
                <w:sz w:val="14"/>
              </w:rPr>
            </w:pPr>
            <w:r>
              <w:rPr>
                <w:spacing w:val="-1"/>
                <w:w w:val="105"/>
                <w:sz w:val="14"/>
              </w:rPr>
              <w:t>承诺时限：</w:t>
            </w:r>
            <w:r>
              <w:rPr>
                <w:w w:val="105"/>
                <w:sz w:val="14"/>
              </w:rPr>
              <w:t>7</w:t>
            </w:r>
          </w:p>
        </w:tc>
        <w:tc>
          <w:tcPr>
            <w:tcW w:w="911"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0"/>
              <w:rPr>
                <w:sz w:val="17"/>
              </w:rPr>
            </w:pPr>
          </w:p>
          <w:p>
            <w:pPr>
              <w:pStyle w:val="20"/>
              <w:spacing w:before="1"/>
              <w:rPr>
                <w:sz w:val="14"/>
              </w:rPr>
            </w:pPr>
            <w:r>
              <w:rPr>
                <w:rFonts w:hint="eastAsia"/>
                <w:sz w:val="14"/>
              </w:rPr>
              <w:t>区</w:t>
            </w:r>
            <w:r>
              <w:rPr>
                <w:sz w:val="14"/>
              </w:rPr>
              <w:t>行政审批局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71" w:hRule="atLeast"/>
          <w:jc w:val="center"/>
        </w:trPr>
        <w:tc>
          <w:tcPr>
            <w:tcW w:w="35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0"/>
              <w:rPr>
                <w:sz w:val="14"/>
              </w:rPr>
            </w:pPr>
          </w:p>
          <w:p>
            <w:pPr>
              <w:pStyle w:val="20"/>
              <w:ind w:left="107"/>
              <w:rPr>
                <w:rFonts w:hint="eastAsia" w:eastAsia="宋体"/>
                <w:sz w:val="14"/>
                <w:lang w:eastAsia="zh-CN"/>
              </w:rPr>
            </w:pPr>
            <w:r>
              <w:rPr>
                <w:w w:val="105"/>
                <w:sz w:val="14"/>
              </w:rPr>
              <w:t>2</w:t>
            </w:r>
            <w:r>
              <w:rPr>
                <w:rFonts w:hint="eastAsia"/>
                <w:w w:val="105"/>
                <w:sz w:val="14"/>
                <w:lang w:val="en-US" w:eastAsia="zh-CN"/>
              </w:rPr>
              <w:t>1</w:t>
            </w:r>
          </w:p>
        </w:tc>
        <w:tc>
          <w:tcPr>
            <w:tcW w:w="83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2"/>
              <w:rPr>
                <w:sz w:val="13"/>
              </w:rPr>
            </w:pPr>
          </w:p>
          <w:p>
            <w:pPr>
              <w:pStyle w:val="20"/>
              <w:ind w:left="40"/>
              <w:rPr>
                <w:sz w:val="14"/>
              </w:rPr>
            </w:pPr>
            <w:r>
              <w:rPr>
                <w:w w:val="105"/>
                <w:sz w:val="14"/>
              </w:rPr>
              <w:t>新建、扩建</w:t>
            </w:r>
          </w:p>
          <w:p>
            <w:pPr>
              <w:pStyle w:val="20"/>
              <w:spacing w:before="3" w:line="249" w:lineRule="auto"/>
              <w:ind w:left="40" w:right="24"/>
              <w:jc w:val="both"/>
              <w:rPr>
                <w:sz w:val="14"/>
              </w:rPr>
            </w:pPr>
            <w:r>
              <w:rPr>
                <w:w w:val="105"/>
                <w:sz w:val="14"/>
              </w:rPr>
              <w:t>、改建建设工程避免危害气象探测环境审批</w:t>
            </w:r>
          </w:p>
        </w:tc>
        <w:tc>
          <w:tcPr>
            <w:tcW w:w="1166"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2"/>
              <w:rPr>
                <w:sz w:val="13"/>
              </w:rPr>
            </w:pPr>
          </w:p>
          <w:p>
            <w:pPr>
              <w:pStyle w:val="20"/>
              <w:spacing w:line="249" w:lineRule="auto"/>
              <w:ind w:left="60" w:right="33" w:hanging="2"/>
              <w:rPr>
                <w:sz w:val="14"/>
              </w:rPr>
            </w:pPr>
            <w:r>
              <w:rPr>
                <w:w w:val="105"/>
                <w:sz w:val="14"/>
              </w:rPr>
              <w:t>新建、扩建、改建建设工程避免危害气象台站探测环境审批（16 日）</w:t>
            </w:r>
          </w:p>
        </w:tc>
        <w:tc>
          <w:tcPr>
            <w:tcW w:w="1262" w:type="dxa"/>
          </w:tcPr>
          <w:p>
            <w:pPr>
              <w:pStyle w:val="20"/>
              <w:rPr>
                <w:sz w:val="14"/>
              </w:rPr>
            </w:pPr>
          </w:p>
          <w:p>
            <w:pPr>
              <w:pStyle w:val="20"/>
              <w:rPr>
                <w:sz w:val="14"/>
              </w:rPr>
            </w:pPr>
          </w:p>
          <w:p>
            <w:pPr>
              <w:pStyle w:val="20"/>
              <w:spacing w:before="5"/>
              <w:rPr>
                <w:sz w:val="15"/>
              </w:rPr>
            </w:pPr>
          </w:p>
          <w:p>
            <w:pPr>
              <w:pStyle w:val="20"/>
              <w:spacing w:before="1"/>
              <w:ind w:left="32" w:right="16"/>
              <w:jc w:val="center"/>
              <w:rPr>
                <w:sz w:val="14"/>
              </w:rPr>
            </w:pPr>
            <w:r>
              <w:rPr>
                <w:w w:val="105"/>
                <w:sz w:val="14"/>
              </w:rPr>
              <w:t>现场踏勘</w:t>
            </w:r>
          </w:p>
        </w:tc>
        <w:tc>
          <w:tcPr>
            <w:tcW w:w="6532" w:type="dxa"/>
          </w:tcPr>
          <w:p>
            <w:pPr>
              <w:pStyle w:val="20"/>
              <w:spacing w:before="91" w:line="249" w:lineRule="auto"/>
              <w:ind w:left="27" w:right="68"/>
              <w:rPr>
                <w:sz w:val="14"/>
              </w:rPr>
            </w:pPr>
            <w:r>
              <w:rPr>
                <w:w w:val="105"/>
                <w:sz w:val="14"/>
              </w:rPr>
              <w:t>【部门规章】《新建、扩建、改建建设工程避免危害气象探测环境行政许可管理办法 》（2016年4月7日中国气象局令第29号公布根据2020年3月24日《中国气象局关于修改&lt;气象信息服务管理办法&gt;等四部部门规章的决定》修订）</w:t>
            </w:r>
          </w:p>
          <w:p>
            <w:pPr>
              <w:pStyle w:val="20"/>
              <w:spacing w:before="7" w:line="249" w:lineRule="auto"/>
              <w:ind w:left="27" w:right="94"/>
              <w:rPr>
                <w:sz w:val="14"/>
              </w:rPr>
            </w:pPr>
            <w:r>
              <w:rPr>
                <w:w w:val="105"/>
                <w:sz w:val="14"/>
              </w:rPr>
              <w:t>第七条 受理机构负责对申请材料进行初审，并组织现场踏勘。现场踏勘应当通知申请人或者其代理人到场，申请人或者其代理人应当在现场踏勘记录表上签署明确意见。受理机构应当自受理之日起二十个工作日内将全部申请材料和初审意见报省、自治区、直辖市气象主管机构审批。</w:t>
            </w:r>
          </w:p>
        </w:tc>
        <w:tc>
          <w:tcPr>
            <w:tcW w:w="1866" w:type="dxa"/>
          </w:tcPr>
          <w:p>
            <w:pPr>
              <w:pStyle w:val="20"/>
              <w:rPr>
                <w:sz w:val="14"/>
              </w:rPr>
            </w:pPr>
          </w:p>
          <w:p>
            <w:pPr>
              <w:pStyle w:val="20"/>
              <w:rPr>
                <w:sz w:val="14"/>
              </w:rPr>
            </w:pPr>
          </w:p>
          <w:p>
            <w:pPr>
              <w:pStyle w:val="20"/>
              <w:spacing w:before="106" w:line="249" w:lineRule="auto"/>
              <w:ind w:left="28" w:right="21"/>
              <w:rPr>
                <w:sz w:val="14"/>
              </w:rPr>
            </w:pPr>
            <w:r>
              <w:rPr>
                <w:w w:val="105"/>
                <w:sz w:val="14"/>
              </w:rPr>
              <w:t>需要办理该审批服务事项的项目。</w:t>
            </w:r>
          </w:p>
        </w:tc>
        <w:tc>
          <w:tcPr>
            <w:tcW w:w="1127" w:type="dxa"/>
          </w:tcPr>
          <w:p>
            <w:pPr>
              <w:pStyle w:val="20"/>
              <w:rPr>
                <w:sz w:val="14"/>
              </w:rPr>
            </w:pPr>
          </w:p>
          <w:p>
            <w:pPr>
              <w:pStyle w:val="20"/>
              <w:rPr>
                <w:sz w:val="14"/>
              </w:rPr>
            </w:pPr>
          </w:p>
          <w:p>
            <w:pPr>
              <w:pStyle w:val="20"/>
              <w:spacing w:before="106" w:line="249" w:lineRule="auto"/>
              <w:ind w:left="495" w:right="11" w:hanging="451"/>
              <w:rPr>
                <w:sz w:val="14"/>
              </w:rPr>
            </w:pPr>
            <w:r>
              <w:rPr>
                <w:w w:val="105"/>
                <w:sz w:val="14"/>
              </w:rPr>
              <w:t>承诺时限：10</w:t>
            </w:r>
          </w:p>
        </w:tc>
        <w:tc>
          <w:tcPr>
            <w:tcW w:w="911"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0"/>
              <w:rPr>
                <w:sz w:val="14"/>
              </w:rPr>
            </w:pPr>
          </w:p>
          <w:p>
            <w:pPr>
              <w:pStyle w:val="20"/>
              <w:ind w:left="165"/>
              <w:rPr>
                <w:sz w:val="14"/>
              </w:rPr>
            </w:pPr>
            <w:r>
              <w:rPr>
                <w:rFonts w:hint="eastAsia"/>
                <w:w w:val="105"/>
                <w:sz w:val="14"/>
              </w:rPr>
              <w:t>区</w:t>
            </w:r>
            <w:r>
              <w:rPr>
                <w:w w:val="105"/>
                <w:sz w:val="14"/>
              </w:rPr>
              <w:t>气象局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27"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166" w:type="dxa"/>
            <w:vMerge w:val="continue"/>
            <w:tcBorders>
              <w:top w:val="nil"/>
            </w:tcBorders>
          </w:tcPr>
          <w:p>
            <w:pPr>
              <w:rPr>
                <w:sz w:val="2"/>
                <w:szCs w:val="2"/>
              </w:rPr>
            </w:pPr>
          </w:p>
        </w:tc>
        <w:tc>
          <w:tcPr>
            <w:tcW w:w="1262" w:type="dxa"/>
          </w:tcPr>
          <w:p>
            <w:pPr>
              <w:pStyle w:val="20"/>
              <w:rPr>
                <w:sz w:val="14"/>
              </w:rPr>
            </w:pPr>
          </w:p>
          <w:p>
            <w:pPr>
              <w:pStyle w:val="20"/>
              <w:rPr>
                <w:sz w:val="14"/>
              </w:rPr>
            </w:pPr>
          </w:p>
          <w:p>
            <w:pPr>
              <w:pStyle w:val="20"/>
              <w:rPr>
                <w:sz w:val="14"/>
              </w:rPr>
            </w:pPr>
          </w:p>
          <w:p>
            <w:pPr>
              <w:pStyle w:val="20"/>
              <w:spacing w:before="5"/>
              <w:rPr>
                <w:sz w:val="19"/>
              </w:rPr>
            </w:pPr>
          </w:p>
          <w:p>
            <w:pPr>
              <w:pStyle w:val="20"/>
              <w:ind w:left="32" w:right="16"/>
              <w:jc w:val="center"/>
              <w:rPr>
                <w:sz w:val="14"/>
              </w:rPr>
            </w:pPr>
            <w:r>
              <w:rPr>
                <w:w w:val="105"/>
                <w:sz w:val="14"/>
              </w:rPr>
              <w:t>现场复查</w:t>
            </w:r>
          </w:p>
        </w:tc>
        <w:tc>
          <w:tcPr>
            <w:tcW w:w="6532" w:type="dxa"/>
          </w:tcPr>
          <w:p>
            <w:pPr>
              <w:pStyle w:val="20"/>
              <w:spacing w:before="6"/>
              <w:rPr>
                <w:sz w:val="10"/>
              </w:rPr>
            </w:pPr>
          </w:p>
          <w:p>
            <w:pPr>
              <w:pStyle w:val="20"/>
              <w:spacing w:line="249" w:lineRule="auto"/>
              <w:ind w:left="27" w:right="68"/>
              <w:rPr>
                <w:sz w:val="14"/>
              </w:rPr>
            </w:pPr>
            <w:r>
              <w:rPr>
                <w:w w:val="105"/>
                <w:sz w:val="14"/>
              </w:rPr>
              <w:t>【部门规章】《新建、扩建、改建建设工程避免危害气象探测环境行政许可管理办法 》（2016年4月7日中国气象局令第29号公布根据2020年3月24日《中国气象局关于修改&lt;气象信息服务管理办法</w:t>
            </w:r>
          </w:p>
          <w:p>
            <w:pPr>
              <w:pStyle w:val="20"/>
              <w:spacing w:before="1"/>
              <w:ind w:left="27"/>
              <w:rPr>
                <w:sz w:val="14"/>
              </w:rPr>
            </w:pPr>
            <w:r>
              <w:rPr>
                <w:w w:val="105"/>
                <w:sz w:val="14"/>
              </w:rPr>
              <w:t>&gt;等四部部门规章的决定》修订）</w:t>
            </w:r>
          </w:p>
          <w:p>
            <w:pPr>
              <w:pStyle w:val="20"/>
              <w:spacing w:before="3" w:line="249" w:lineRule="auto"/>
              <w:ind w:left="27" w:right="86"/>
              <w:rPr>
                <w:sz w:val="14"/>
              </w:rPr>
            </w:pPr>
            <w:r>
              <w:rPr>
                <w:w w:val="105"/>
                <w:sz w:val="14"/>
              </w:rPr>
              <w:t>第八条 省、自治区、直辖市气象主管机构应当对申请材料进行全面审查，必要时可组织现场复查和专家论证。经审查符合有关法律法规和标准要求的，应当在收到全部申请材料和初审意见之日起二十个工作日内作出准予许可的书面决定；不符合要求的，作出不予许可的书面决定，并说明理由。二十个工作日内不能作出决定的，经本级气象主管机构负责人批准，可以延长十个工作日，并应当将延长期限的理由书面告知申请人。</w:t>
            </w:r>
          </w:p>
        </w:tc>
        <w:tc>
          <w:tcPr>
            <w:tcW w:w="1866" w:type="dxa"/>
          </w:tcPr>
          <w:p>
            <w:pPr>
              <w:pStyle w:val="20"/>
              <w:rPr>
                <w:sz w:val="14"/>
              </w:rPr>
            </w:pPr>
          </w:p>
          <w:p>
            <w:pPr>
              <w:pStyle w:val="20"/>
              <w:rPr>
                <w:sz w:val="14"/>
              </w:rPr>
            </w:pPr>
          </w:p>
          <w:p>
            <w:pPr>
              <w:pStyle w:val="20"/>
              <w:spacing w:before="10"/>
              <w:rPr>
                <w:sz w:val="18"/>
              </w:rPr>
            </w:pPr>
          </w:p>
          <w:p>
            <w:pPr>
              <w:pStyle w:val="20"/>
              <w:spacing w:line="249" w:lineRule="auto"/>
              <w:ind w:left="28" w:right="20"/>
              <w:jc w:val="both"/>
              <w:rPr>
                <w:sz w:val="14"/>
              </w:rPr>
            </w:pPr>
            <w:r>
              <w:rPr>
                <w:w w:val="105"/>
                <w:sz w:val="14"/>
              </w:rPr>
              <w:t>省、自治区、直辖市气象主管机构认为有必要进行现场复查的。</w:t>
            </w:r>
          </w:p>
        </w:tc>
        <w:tc>
          <w:tcPr>
            <w:tcW w:w="1127" w:type="dxa"/>
          </w:tcPr>
          <w:p>
            <w:pPr>
              <w:pStyle w:val="20"/>
              <w:rPr>
                <w:sz w:val="14"/>
              </w:rPr>
            </w:pPr>
          </w:p>
          <w:p>
            <w:pPr>
              <w:pStyle w:val="20"/>
              <w:rPr>
                <w:sz w:val="14"/>
              </w:rPr>
            </w:pPr>
          </w:p>
          <w:p>
            <w:pPr>
              <w:pStyle w:val="20"/>
              <w:rPr>
                <w:sz w:val="14"/>
              </w:rPr>
            </w:pPr>
          </w:p>
          <w:p>
            <w:pPr>
              <w:pStyle w:val="20"/>
              <w:spacing w:before="12"/>
              <w:rPr>
                <w:sz w:val="11"/>
              </w:rPr>
            </w:pPr>
          </w:p>
          <w:p>
            <w:pPr>
              <w:pStyle w:val="20"/>
              <w:spacing w:line="249" w:lineRule="auto"/>
              <w:ind w:left="495" w:right="11" w:hanging="451"/>
              <w:rPr>
                <w:sz w:val="14"/>
              </w:rPr>
            </w:pPr>
            <w:r>
              <w:rPr>
                <w:w w:val="105"/>
                <w:sz w:val="14"/>
              </w:rPr>
              <w:t>承诺时限：10</w:t>
            </w:r>
          </w:p>
        </w:tc>
        <w:tc>
          <w:tcPr>
            <w:tcW w:w="91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13"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166" w:type="dxa"/>
            <w:vMerge w:val="continue"/>
            <w:tcBorders>
              <w:top w:val="nil"/>
            </w:tcBorders>
          </w:tcPr>
          <w:p>
            <w:pPr>
              <w:rPr>
                <w:sz w:val="2"/>
                <w:szCs w:val="2"/>
              </w:rPr>
            </w:pPr>
          </w:p>
        </w:tc>
        <w:tc>
          <w:tcPr>
            <w:tcW w:w="1262" w:type="dxa"/>
          </w:tcPr>
          <w:p>
            <w:pPr>
              <w:pStyle w:val="20"/>
              <w:rPr>
                <w:sz w:val="14"/>
              </w:rPr>
            </w:pPr>
          </w:p>
          <w:p>
            <w:pPr>
              <w:pStyle w:val="20"/>
              <w:rPr>
                <w:sz w:val="14"/>
              </w:rPr>
            </w:pPr>
          </w:p>
          <w:p>
            <w:pPr>
              <w:pStyle w:val="20"/>
              <w:rPr>
                <w:sz w:val="14"/>
              </w:rPr>
            </w:pPr>
          </w:p>
          <w:p>
            <w:pPr>
              <w:pStyle w:val="20"/>
              <w:rPr>
                <w:sz w:val="14"/>
              </w:rPr>
            </w:pPr>
          </w:p>
          <w:p>
            <w:pPr>
              <w:pStyle w:val="20"/>
              <w:spacing w:before="113"/>
              <w:ind w:left="32" w:right="16"/>
              <w:jc w:val="center"/>
              <w:rPr>
                <w:sz w:val="14"/>
              </w:rPr>
            </w:pPr>
            <w:r>
              <w:rPr>
                <w:w w:val="105"/>
                <w:sz w:val="14"/>
              </w:rPr>
              <w:t>专家论证</w:t>
            </w:r>
          </w:p>
        </w:tc>
        <w:tc>
          <w:tcPr>
            <w:tcW w:w="6532" w:type="dxa"/>
          </w:tcPr>
          <w:p>
            <w:pPr>
              <w:pStyle w:val="20"/>
              <w:spacing w:before="10"/>
              <w:rPr>
                <w:sz w:val="13"/>
              </w:rPr>
            </w:pPr>
          </w:p>
          <w:p>
            <w:pPr>
              <w:pStyle w:val="20"/>
              <w:spacing w:line="252" w:lineRule="auto"/>
              <w:ind w:left="27" w:right="68"/>
              <w:rPr>
                <w:sz w:val="14"/>
              </w:rPr>
            </w:pPr>
            <w:r>
              <w:rPr>
                <w:w w:val="105"/>
                <w:sz w:val="14"/>
              </w:rPr>
              <w:t>【部门规章】《新建、扩建、改建建设工程避免危害气象探测环境行政许可管理办法》（2016年4月7日中国气象局令第29号公布根据2020年3月24日《中国气象局关于修改&lt;气象信息服务管理办法&gt;等四部部门规章的决定》修订）</w:t>
            </w:r>
          </w:p>
          <w:p>
            <w:pPr>
              <w:pStyle w:val="20"/>
              <w:spacing w:before="9" w:line="247" w:lineRule="auto"/>
              <w:ind w:left="27" w:right="86"/>
              <w:rPr>
                <w:sz w:val="14"/>
              </w:rPr>
            </w:pPr>
            <w:r>
              <w:rPr>
                <w:w w:val="105"/>
                <w:sz w:val="14"/>
              </w:rPr>
              <w:t>第八条 省、自治区、直辖市气象主管机构应当对申请材料进行全面审查，必要时可组织现场复查和专家论证。经审查符合有关法律法规和标准要求的，应当在收到全部申请材料和初审意见之日起二十个工作日内作出准予许可的书面决定；不符合要求的，作出不予许可的书面决定，并说明理由。二十个工作日内不能作出决定的，经本级气象主管机构负责人批准，可以延长十个工作日，并应当将延长期限的理由书面告知申请人。</w:t>
            </w:r>
          </w:p>
        </w:tc>
        <w:tc>
          <w:tcPr>
            <w:tcW w:w="1866" w:type="dxa"/>
          </w:tcPr>
          <w:p>
            <w:pPr>
              <w:pStyle w:val="20"/>
              <w:rPr>
                <w:sz w:val="14"/>
              </w:rPr>
            </w:pPr>
          </w:p>
          <w:p>
            <w:pPr>
              <w:pStyle w:val="20"/>
              <w:rPr>
                <w:sz w:val="14"/>
              </w:rPr>
            </w:pPr>
          </w:p>
          <w:p>
            <w:pPr>
              <w:pStyle w:val="20"/>
              <w:rPr>
                <w:sz w:val="14"/>
              </w:rPr>
            </w:pPr>
          </w:p>
          <w:p>
            <w:pPr>
              <w:pStyle w:val="20"/>
              <w:spacing w:before="104" w:line="249" w:lineRule="auto"/>
              <w:ind w:left="28" w:right="20"/>
              <w:jc w:val="both"/>
              <w:rPr>
                <w:sz w:val="14"/>
              </w:rPr>
            </w:pPr>
            <w:r>
              <w:rPr>
                <w:w w:val="105"/>
                <w:sz w:val="14"/>
              </w:rPr>
              <w:t>省、自治区、直辖市气象主管机构认为有必要进行专家论证。</w:t>
            </w:r>
          </w:p>
        </w:tc>
        <w:tc>
          <w:tcPr>
            <w:tcW w:w="1127" w:type="dxa"/>
          </w:tcPr>
          <w:p>
            <w:pPr>
              <w:pStyle w:val="20"/>
              <w:rPr>
                <w:sz w:val="14"/>
              </w:rPr>
            </w:pPr>
          </w:p>
          <w:p>
            <w:pPr>
              <w:pStyle w:val="20"/>
              <w:rPr>
                <w:sz w:val="14"/>
              </w:rPr>
            </w:pPr>
          </w:p>
          <w:p>
            <w:pPr>
              <w:pStyle w:val="20"/>
              <w:rPr>
                <w:sz w:val="14"/>
              </w:rPr>
            </w:pPr>
          </w:p>
          <w:p>
            <w:pPr>
              <w:pStyle w:val="20"/>
              <w:spacing w:before="8"/>
              <w:rPr>
                <w:sz w:val="15"/>
              </w:rPr>
            </w:pPr>
          </w:p>
          <w:p>
            <w:pPr>
              <w:pStyle w:val="20"/>
              <w:spacing w:before="1" w:line="242" w:lineRule="auto"/>
              <w:ind w:left="495" w:right="11" w:hanging="451"/>
              <w:rPr>
                <w:sz w:val="14"/>
              </w:rPr>
            </w:pPr>
            <w:r>
              <w:rPr>
                <w:w w:val="105"/>
                <w:sz w:val="14"/>
              </w:rPr>
              <w:t>承诺时限：10</w:t>
            </w:r>
          </w:p>
        </w:tc>
        <w:tc>
          <w:tcPr>
            <w:tcW w:w="911" w:type="dxa"/>
            <w:vMerge w:val="continue"/>
            <w:tcBorders>
              <w:top w:val="nil"/>
            </w:tcBorders>
          </w:tcPr>
          <w:p>
            <w:pPr>
              <w:rPr>
                <w:sz w:val="2"/>
                <w:szCs w:val="2"/>
              </w:rPr>
            </w:pPr>
          </w:p>
        </w:tc>
      </w:tr>
    </w:tbl>
    <w:p>
      <w:pPr>
        <w:rPr>
          <w:sz w:val="2"/>
          <w:szCs w:val="2"/>
        </w:rPr>
        <w:sectPr>
          <w:pgSz w:w="16840" w:h="11910" w:orient="landscape"/>
          <w:pgMar w:top="1000" w:right="980" w:bottom="1140" w:left="980" w:header="0" w:footer="72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166"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62"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3"/>
              <w:rPr>
                <w:sz w:val="20"/>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tcPr>
          <w:p>
            <w:pPr>
              <w:pStyle w:val="20"/>
              <w:spacing w:before="3"/>
              <w:rPr>
                <w:sz w:val="20"/>
              </w:rPr>
            </w:pPr>
          </w:p>
          <w:p>
            <w:pPr>
              <w:pStyle w:val="20"/>
              <w:spacing w:line="242" w:lineRule="auto"/>
              <w:ind w:left="391" w:right="61" w:hanging="303"/>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88" w:hRule="atLeast"/>
          <w:jc w:val="center"/>
        </w:trPr>
        <w:tc>
          <w:tcPr>
            <w:tcW w:w="35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2"/>
              <w:rPr>
                <w:sz w:val="10"/>
              </w:rPr>
            </w:pPr>
          </w:p>
          <w:p>
            <w:pPr>
              <w:pStyle w:val="20"/>
              <w:spacing w:before="1"/>
              <w:ind w:left="107"/>
              <w:rPr>
                <w:rFonts w:hint="eastAsia" w:eastAsia="宋体"/>
                <w:sz w:val="14"/>
                <w:lang w:eastAsia="zh-CN"/>
              </w:rPr>
            </w:pPr>
            <w:r>
              <w:rPr>
                <w:w w:val="105"/>
                <w:sz w:val="14"/>
              </w:rPr>
              <w:t>2</w:t>
            </w:r>
            <w:r>
              <w:rPr>
                <w:rFonts w:hint="eastAsia"/>
                <w:w w:val="105"/>
                <w:sz w:val="14"/>
                <w:lang w:val="en-US" w:eastAsia="zh-CN"/>
              </w:rPr>
              <w:t>1</w:t>
            </w:r>
          </w:p>
        </w:tc>
        <w:tc>
          <w:tcPr>
            <w:tcW w:w="83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15"/>
              <w:ind w:left="40"/>
              <w:rPr>
                <w:sz w:val="14"/>
              </w:rPr>
            </w:pPr>
            <w:r>
              <w:rPr>
                <w:w w:val="105"/>
                <w:sz w:val="14"/>
              </w:rPr>
              <w:t>新建、扩建</w:t>
            </w:r>
          </w:p>
          <w:p>
            <w:pPr>
              <w:pStyle w:val="20"/>
              <w:spacing w:before="8" w:line="247" w:lineRule="auto"/>
              <w:ind w:left="40" w:right="24"/>
              <w:jc w:val="both"/>
              <w:rPr>
                <w:sz w:val="14"/>
              </w:rPr>
            </w:pPr>
            <w:r>
              <w:rPr>
                <w:w w:val="105"/>
                <w:sz w:val="14"/>
              </w:rPr>
              <w:t>、改建建设工程避免危害气象探测环境审批</w:t>
            </w:r>
          </w:p>
        </w:tc>
        <w:tc>
          <w:tcPr>
            <w:tcW w:w="1166"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15" w:line="249" w:lineRule="auto"/>
              <w:ind w:left="60" w:right="33" w:hanging="2"/>
              <w:rPr>
                <w:sz w:val="14"/>
              </w:rPr>
            </w:pPr>
            <w:r>
              <w:rPr>
                <w:w w:val="105"/>
                <w:sz w:val="14"/>
              </w:rPr>
              <w:t>新建、扩建、改建建设工程避免危害气象台站探测环境审批（16日）</w:t>
            </w:r>
          </w:p>
        </w:tc>
        <w:tc>
          <w:tcPr>
            <w:tcW w:w="1262" w:type="dxa"/>
          </w:tcPr>
          <w:p>
            <w:pPr>
              <w:pStyle w:val="20"/>
              <w:rPr>
                <w:sz w:val="14"/>
              </w:rPr>
            </w:pPr>
          </w:p>
          <w:p>
            <w:pPr>
              <w:pStyle w:val="20"/>
              <w:rPr>
                <w:sz w:val="14"/>
              </w:rPr>
            </w:pPr>
          </w:p>
          <w:p>
            <w:pPr>
              <w:pStyle w:val="20"/>
              <w:rPr>
                <w:sz w:val="14"/>
              </w:rPr>
            </w:pPr>
          </w:p>
          <w:p>
            <w:pPr>
              <w:pStyle w:val="20"/>
              <w:spacing w:before="2"/>
              <w:rPr>
                <w:sz w:val="14"/>
              </w:rPr>
            </w:pPr>
          </w:p>
          <w:p>
            <w:pPr>
              <w:pStyle w:val="20"/>
              <w:ind w:left="32" w:right="16"/>
              <w:jc w:val="center"/>
              <w:rPr>
                <w:sz w:val="14"/>
              </w:rPr>
            </w:pPr>
            <w:r>
              <w:rPr>
                <w:w w:val="105"/>
                <w:sz w:val="14"/>
              </w:rPr>
              <w:t>技术审查</w:t>
            </w:r>
          </w:p>
        </w:tc>
        <w:tc>
          <w:tcPr>
            <w:tcW w:w="6532" w:type="dxa"/>
          </w:tcPr>
          <w:p>
            <w:pPr>
              <w:pStyle w:val="20"/>
              <w:spacing w:before="62" w:line="252" w:lineRule="auto"/>
              <w:ind w:left="27" w:right="68"/>
              <w:rPr>
                <w:sz w:val="14"/>
              </w:rPr>
            </w:pPr>
            <w:r>
              <w:rPr>
                <w:w w:val="105"/>
                <w:sz w:val="14"/>
              </w:rPr>
              <w:t>【部门规章】《新建、扩建、改建建设工程避免危害气象探测环境行政许可管理办法》（2016年4月7日中国气象局令第29号公布根据2020年3月24日《中国气象局关于修改&lt;气象信息服务管理办法&gt;等四部部门规章的决定》修订）</w:t>
            </w:r>
          </w:p>
          <w:p>
            <w:pPr>
              <w:pStyle w:val="20"/>
              <w:spacing w:before="8" w:line="249" w:lineRule="auto"/>
              <w:ind w:left="27" w:right="75"/>
              <w:rPr>
                <w:sz w:val="14"/>
              </w:rPr>
            </w:pPr>
            <w:r>
              <w:rPr>
                <w:w w:val="105"/>
                <w:sz w:val="14"/>
              </w:rPr>
              <w:t>第九条 省、自治区、直辖市气象主管机构、设区的市气象主管机构或者省直管县（市）气象主管机构在审批过程中需要按照《中华人民共和国行政许可法》第四十五条规定进行技术审查（含现场踏勘）的，所需时间不计入审批时间内。技术审查（含现场踏勘）时间一般不超过一个月。省、自治区、直辖市气象主管机构、设区的市气象主管机构或者</w:t>
            </w:r>
            <w:r>
              <w:rPr>
                <w:spacing w:val="2"/>
                <w:w w:val="105"/>
                <w:sz w:val="14"/>
              </w:rPr>
              <w:t>省直管县</w:t>
            </w:r>
            <w:r>
              <w:rPr>
                <w:spacing w:val="7"/>
                <w:w w:val="105"/>
                <w:sz w:val="14"/>
              </w:rPr>
              <w:t>（</w:t>
            </w:r>
            <w:r>
              <w:rPr>
                <w:w w:val="105"/>
                <w:sz w:val="14"/>
              </w:rPr>
              <w:t>市</w:t>
            </w:r>
            <w:r>
              <w:rPr>
                <w:spacing w:val="6"/>
                <w:w w:val="105"/>
                <w:sz w:val="14"/>
              </w:rPr>
              <w:t>）</w:t>
            </w:r>
            <w:r>
              <w:rPr>
                <w:w w:val="105"/>
                <w:sz w:val="14"/>
              </w:rPr>
              <w:t>气象主管机构应当将所需时间书面告知申请人。</w:t>
            </w:r>
          </w:p>
        </w:tc>
        <w:tc>
          <w:tcPr>
            <w:tcW w:w="1866" w:type="dxa"/>
          </w:tcPr>
          <w:p>
            <w:pPr>
              <w:pStyle w:val="20"/>
              <w:rPr>
                <w:sz w:val="14"/>
              </w:rPr>
            </w:pPr>
          </w:p>
          <w:p>
            <w:pPr>
              <w:pStyle w:val="20"/>
              <w:rPr>
                <w:sz w:val="14"/>
              </w:rPr>
            </w:pPr>
          </w:p>
          <w:p>
            <w:pPr>
              <w:pStyle w:val="20"/>
              <w:spacing w:before="7"/>
              <w:rPr>
                <w:sz w:val="13"/>
              </w:rPr>
            </w:pPr>
          </w:p>
          <w:p>
            <w:pPr>
              <w:pStyle w:val="20"/>
              <w:spacing w:line="247" w:lineRule="auto"/>
              <w:ind w:left="28" w:right="20"/>
              <w:jc w:val="both"/>
              <w:rPr>
                <w:sz w:val="14"/>
              </w:rPr>
            </w:pPr>
            <w:r>
              <w:rPr>
                <w:w w:val="105"/>
                <w:sz w:val="14"/>
              </w:rPr>
              <w:t>省、自治区、直辖市气象主管机构认为有需要进行技术审查的。</w:t>
            </w:r>
          </w:p>
        </w:tc>
        <w:tc>
          <w:tcPr>
            <w:tcW w:w="1127" w:type="dxa"/>
          </w:tcPr>
          <w:p>
            <w:pPr>
              <w:pStyle w:val="20"/>
              <w:rPr>
                <w:sz w:val="14"/>
              </w:rPr>
            </w:pPr>
          </w:p>
          <w:p>
            <w:pPr>
              <w:pStyle w:val="20"/>
              <w:rPr>
                <w:sz w:val="14"/>
              </w:rPr>
            </w:pPr>
          </w:p>
          <w:p>
            <w:pPr>
              <w:pStyle w:val="20"/>
              <w:spacing w:before="7"/>
              <w:rPr>
                <w:sz w:val="13"/>
              </w:rPr>
            </w:pPr>
          </w:p>
          <w:p>
            <w:pPr>
              <w:pStyle w:val="20"/>
              <w:spacing w:line="247" w:lineRule="auto"/>
              <w:ind w:left="44" w:right="11"/>
              <w:rPr>
                <w:w w:val="105"/>
                <w:sz w:val="14"/>
              </w:rPr>
            </w:pPr>
            <w:r>
              <w:rPr>
                <w:spacing w:val="2"/>
                <w:w w:val="105"/>
                <w:sz w:val="14"/>
              </w:rPr>
              <w:t>法定时限</w:t>
            </w:r>
            <w:r>
              <w:rPr>
                <w:w w:val="105"/>
                <w:sz w:val="14"/>
              </w:rPr>
              <w:t xml:space="preserve">：30 </w:t>
            </w:r>
          </w:p>
          <w:p>
            <w:pPr>
              <w:pStyle w:val="20"/>
              <w:spacing w:line="247" w:lineRule="auto"/>
              <w:ind w:left="44" w:right="11"/>
              <w:rPr>
                <w:sz w:val="14"/>
              </w:rPr>
            </w:pPr>
            <w:r>
              <w:rPr>
                <w:spacing w:val="-1"/>
                <w:w w:val="105"/>
                <w:sz w:val="14"/>
              </w:rPr>
              <w:t>承诺时限：</w:t>
            </w:r>
            <w:r>
              <w:rPr>
                <w:w w:val="105"/>
                <w:sz w:val="14"/>
              </w:rPr>
              <w:t>10</w:t>
            </w:r>
          </w:p>
        </w:tc>
        <w:tc>
          <w:tcPr>
            <w:tcW w:w="911"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2"/>
              <w:rPr>
                <w:sz w:val="10"/>
              </w:rPr>
            </w:pPr>
          </w:p>
          <w:p>
            <w:pPr>
              <w:pStyle w:val="20"/>
              <w:spacing w:before="1"/>
              <w:ind w:left="165"/>
              <w:rPr>
                <w:sz w:val="14"/>
              </w:rPr>
            </w:pPr>
            <w:r>
              <w:rPr>
                <w:rFonts w:hint="eastAsia"/>
                <w:w w:val="105"/>
                <w:sz w:val="14"/>
              </w:rPr>
              <w:t>区</w:t>
            </w:r>
            <w:r>
              <w:rPr>
                <w:w w:val="105"/>
                <w:sz w:val="14"/>
              </w:rPr>
              <w:t>气象局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19"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166" w:type="dxa"/>
            <w:vMerge w:val="continue"/>
            <w:tcBorders>
              <w:top w:val="nil"/>
            </w:tcBorders>
          </w:tcPr>
          <w:p>
            <w:pPr>
              <w:rPr>
                <w:sz w:val="2"/>
                <w:szCs w:val="2"/>
              </w:rPr>
            </w:pPr>
          </w:p>
        </w:tc>
        <w:tc>
          <w:tcPr>
            <w:tcW w:w="1262" w:type="dxa"/>
          </w:tcPr>
          <w:p>
            <w:pPr>
              <w:pStyle w:val="20"/>
              <w:rPr>
                <w:sz w:val="14"/>
              </w:rPr>
            </w:pPr>
          </w:p>
          <w:p>
            <w:pPr>
              <w:pStyle w:val="20"/>
              <w:rPr>
                <w:sz w:val="14"/>
              </w:rPr>
            </w:pPr>
          </w:p>
          <w:p>
            <w:pPr>
              <w:pStyle w:val="20"/>
              <w:spacing w:before="3"/>
              <w:rPr>
                <w:sz w:val="17"/>
              </w:rPr>
            </w:pPr>
          </w:p>
          <w:p>
            <w:pPr>
              <w:pStyle w:val="20"/>
              <w:ind w:left="32" w:right="7"/>
              <w:jc w:val="center"/>
              <w:rPr>
                <w:sz w:val="14"/>
              </w:rPr>
            </w:pPr>
            <w:r>
              <w:rPr>
                <w:w w:val="105"/>
                <w:sz w:val="14"/>
              </w:rPr>
              <w:t>听证</w:t>
            </w:r>
          </w:p>
        </w:tc>
        <w:tc>
          <w:tcPr>
            <w:tcW w:w="6532" w:type="dxa"/>
          </w:tcPr>
          <w:p>
            <w:pPr>
              <w:pStyle w:val="20"/>
              <w:spacing w:before="24" w:line="249" w:lineRule="auto"/>
              <w:ind w:left="27" w:right="68"/>
              <w:rPr>
                <w:sz w:val="14"/>
              </w:rPr>
            </w:pPr>
            <w:r>
              <w:rPr>
                <w:w w:val="105"/>
                <w:sz w:val="14"/>
              </w:rPr>
              <w:t>【部门规章】《新建、扩建、改建建设工程避免危害气象探测环境行政许可管理办法 》（2016年4月7日中国气象局令第29号公布根据2020年3月24日《中国气象局关于修改&lt;气象信息服务管理办法&gt;等四部部门规章的决定》修订）</w:t>
            </w:r>
          </w:p>
          <w:p>
            <w:pPr>
              <w:pStyle w:val="20"/>
              <w:spacing w:before="2" w:line="249" w:lineRule="auto"/>
              <w:ind w:left="27" w:right="83"/>
              <w:rPr>
                <w:sz w:val="14"/>
              </w:rPr>
            </w:pPr>
            <w:r>
              <w:rPr>
                <w:w w:val="105"/>
                <w:sz w:val="14"/>
              </w:rPr>
              <w:t>第十条 省、自治区、直辖市气象主管机构在作出许可决定前，应当告知申请人、利害关系人享有要求听证的权利。申请人要求听证的，应当自接到告知听证通知之日起五个工作日内以书面形式提出。听证程序按照《中华人民共和国行政许可法》第四十八条要求进行。省、自治区、直辖市对听证另有规定的，从其规定。</w:t>
            </w:r>
          </w:p>
        </w:tc>
        <w:tc>
          <w:tcPr>
            <w:tcW w:w="1866" w:type="dxa"/>
          </w:tcPr>
          <w:p>
            <w:pPr>
              <w:pStyle w:val="20"/>
              <w:rPr>
                <w:sz w:val="14"/>
              </w:rPr>
            </w:pPr>
          </w:p>
          <w:p>
            <w:pPr>
              <w:pStyle w:val="20"/>
              <w:rPr>
                <w:sz w:val="14"/>
              </w:rPr>
            </w:pPr>
          </w:p>
          <w:p>
            <w:pPr>
              <w:pStyle w:val="20"/>
              <w:spacing w:before="2"/>
              <w:rPr>
                <w:sz w:val="10"/>
              </w:rPr>
            </w:pPr>
          </w:p>
          <w:p>
            <w:pPr>
              <w:pStyle w:val="20"/>
              <w:spacing w:line="252" w:lineRule="auto"/>
              <w:ind w:left="28" w:right="24"/>
              <w:rPr>
                <w:sz w:val="14"/>
              </w:rPr>
            </w:pPr>
            <w:r>
              <w:rPr>
                <w:w w:val="105"/>
                <w:sz w:val="14"/>
              </w:rPr>
              <w:t>申请人、利害关系人要求听证的。</w:t>
            </w:r>
          </w:p>
        </w:tc>
        <w:tc>
          <w:tcPr>
            <w:tcW w:w="1127" w:type="dxa"/>
          </w:tcPr>
          <w:p>
            <w:pPr>
              <w:pStyle w:val="20"/>
              <w:rPr>
                <w:sz w:val="14"/>
              </w:rPr>
            </w:pPr>
          </w:p>
          <w:p>
            <w:pPr>
              <w:pStyle w:val="20"/>
              <w:rPr>
                <w:sz w:val="14"/>
              </w:rPr>
            </w:pPr>
          </w:p>
          <w:p>
            <w:pPr>
              <w:pStyle w:val="20"/>
              <w:spacing w:before="2"/>
              <w:rPr>
                <w:sz w:val="10"/>
              </w:rPr>
            </w:pPr>
          </w:p>
          <w:p>
            <w:pPr>
              <w:pStyle w:val="20"/>
              <w:spacing w:line="252" w:lineRule="auto"/>
              <w:ind w:left="495" w:right="11" w:hanging="451"/>
              <w:rPr>
                <w:sz w:val="14"/>
              </w:rPr>
            </w:pPr>
            <w:r>
              <w:rPr>
                <w:w w:val="105"/>
                <w:sz w:val="14"/>
              </w:rPr>
              <w:t>承诺时限：10</w:t>
            </w:r>
          </w:p>
        </w:tc>
        <w:tc>
          <w:tcPr>
            <w:tcW w:w="91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64" w:hRule="atLeast"/>
          <w:jc w:val="center"/>
        </w:trPr>
        <w:tc>
          <w:tcPr>
            <w:tcW w:w="350" w:type="dxa"/>
          </w:tcPr>
          <w:p>
            <w:pPr>
              <w:pStyle w:val="20"/>
              <w:rPr>
                <w:sz w:val="14"/>
              </w:rPr>
            </w:pPr>
          </w:p>
          <w:p>
            <w:pPr>
              <w:pStyle w:val="20"/>
              <w:rPr>
                <w:sz w:val="14"/>
              </w:rPr>
            </w:pPr>
          </w:p>
          <w:p>
            <w:pPr>
              <w:pStyle w:val="20"/>
              <w:spacing w:before="97"/>
              <w:ind w:left="28"/>
              <w:jc w:val="center"/>
              <w:rPr>
                <w:rFonts w:hint="eastAsia" w:eastAsia="宋体"/>
                <w:sz w:val="14"/>
                <w:lang w:eastAsia="zh-CN"/>
              </w:rPr>
            </w:pPr>
            <w:r>
              <w:rPr>
                <w:w w:val="105"/>
                <w:sz w:val="14"/>
              </w:rPr>
              <w:t>2</w:t>
            </w:r>
            <w:r>
              <w:rPr>
                <w:rFonts w:hint="eastAsia"/>
                <w:w w:val="105"/>
                <w:sz w:val="14"/>
                <w:lang w:val="en-US" w:eastAsia="zh-CN"/>
              </w:rPr>
              <w:t>2</w:t>
            </w:r>
          </w:p>
        </w:tc>
        <w:tc>
          <w:tcPr>
            <w:tcW w:w="830" w:type="dxa"/>
          </w:tcPr>
          <w:p>
            <w:pPr>
              <w:pStyle w:val="20"/>
              <w:rPr>
                <w:sz w:val="14"/>
              </w:rPr>
            </w:pPr>
          </w:p>
          <w:p>
            <w:pPr>
              <w:pStyle w:val="20"/>
              <w:spacing w:before="5"/>
              <w:rPr>
                <w:sz w:val="14"/>
              </w:rPr>
            </w:pPr>
          </w:p>
          <w:p>
            <w:pPr>
              <w:pStyle w:val="20"/>
              <w:spacing w:before="1" w:line="244" w:lineRule="auto"/>
              <w:ind w:left="40" w:right="28"/>
              <w:rPr>
                <w:sz w:val="14"/>
              </w:rPr>
            </w:pPr>
            <w:r>
              <w:rPr>
                <w:w w:val="105"/>
                <w:sz w:val="14"/>
              </w:rPr>
              <w:t>雷电防护装置设计审核</w:t>
            </w:r>
          </w:p>
        </w:tc>
        <w:tc>
          <w:tcPr>
            <w:tcW w:w="1166" w:type="dxa"/>
          </w:tcPr>
          <w:p>
            <w:pPr>
              <w:pStyle w:val="20"/>
              <w:rPr>
                <w:sz w:val="14"/>
              </w:rPr>
            </w:pPr>
          </w:p>
          <w:p>
            <w:pPr>
              <w:pStyle w:val="20"/>
              <w:spacing w:before="5"/>
              <w:rPr>
                <w:sz w:val="14"/>
              </w:rPr>
            </w:pPr>
          </w:p>
          <w:p>
            <w:pPr>
              <w:pStyle w:val="20"/>
              <w:spacing w:before="1" w:line="244" w:lineRule="auto"/>
              <w:ind w:left="27" w:right="79"/>
              <w:rPr>
                <w:sz w:val="14"/>
              </w:rPr>
            </w:pPr>
            <w:r>
              <w:rPr>
                <w:w w:val="105"/>
                <w:sz w:val="14"/>
              </w:rPr>
              <w:t>雷电防护装置设计审核（8日）</w:t>
            </w:r>
          </w:p>
        </w:tc>
        <w:tc>
          <w:tcPr>
            <w:tcW w:w="1262" w:type="dxa"/>
          </w:tcPr>
          <w:p>
            <w:pPr>
              <w:pStyle w:val="20"/>
              <w:rPr>
                <w:sz w:val="14"/>
              </w:rPr>
            </w:pPr>
          </w:p>
          <w:p>
            <w:pPr>
              <w:pStyle w:val="20"/>
              <w:rPr>
                <w:sz w:val="14"/>
              </w:rPr>
            </w:pPr>
          </w:p>
          <w:p>
            <w:pPr>
              <w:pStyle w:val="20"/>
              <w:spacing w:before="97"/>
              <w:ind w:left="32" w:right="16"/>
              <w:jc w:val="center"/>
              <w:rPr>
                <w:sz w:val="14"/>
              </w:rPr>
            </w:pPr>
            <w:r>
              <w:rPr>
                <w:w w:val="105"/>
                <w:sz w:val="14"/>
              </w:rPr>
              <w:t>技术评价</w:t>
            </w:r>
          </w:p>
        </w:tc>
        <w:tc>
          <w:tcPr>
            <w:tcW w:w="6532" w:type="dxa"/>
          </w:tcPr>
          <w:p>
            <w:pPr>
              <w:pStyle w:val="20"/>
              <w:spacing w:before="81"/>
              <w:ind w:left="27"/>
              <w:rPr>
                <w:sz w:val="14"/>
              </w:rPr>
            </w:pPr>
            <w:r>
              <w:rPr>
                <w:w w:val="105"/>
                <w:sz w:val="14"/>
              </w:rPr>
              <w:t>【部门规章】《雷电防护装置设计审核和竣工验收规定》（中国气象局令第37号）</w:t>
            </w:r>
          </w:p>
          <w:p>
            <w:pPr>
              <w:pStyle w:val="20"/>
              <w:spacing w:before="8" w:line="249" w:lineRule="auto"/>
              <w:ind w:left="27" w:right="78"/>
              <w:rPr>
                <w:sz w:val="14"/>
              </w:rPr>
            </w:pPr>
            <w:r>
              <w:rPr>
                <w:w w:val="105"/>
                <w:sz w:val="14"/>
              </w:rPr>
              <w:t>第九条 气象主管机构受理后，应当委托有关机构开展雷电防护装置设计技术评价。有关机构开展雷电防护装置设计技术评价应当遵守国家有关标准、规范和规程，出具雷电防护装置设计技术评价报告，并对评价报告负责。雷电防护装置设计技术评价报告结论应当包含雷电防护装置设计文件是否符合国家有关标准和国务院气象主管机构规定的使用要求。</w:t>
            </w:r>
          </w:p>
        </w:tc>
        <w:tc>
          <w:tcPr>
            <w:tcW w:w="1866" w:type="dxa"/>
          </w:tcPr>
          <w:p>
            <w:pPr>
              <w:pStyle w:val="20"/>
              <w:rPr>
                <w:sz w:val="14"/>
              </w:rPr>
            </w:pPr>
          </w:p>
          <w:p>
            <w:pPr>
              <w:pStyle w:val="20"/>
              <w:spacing w:before="5"/>
              <w:rPr>
                <w:sz w:val="14"/>
              </w:rPr>
            </w:pPr>
          </w:p>
          <w:p>
            <w:pPr>
              <w:pStyle w:val="20"/>
              <w:spacing w:before="1" w:line="244" w:lineRule="auto"/>
              <w:ind w:left="28" w:right="21"/>
              <w:rPr>
                <w:sz w:val="14"/>
              </w:rPr>
            </w:pPr>
            <w:r>
              <w:rPr>
                <w:w w:val="105"/>
                <w:sz w:val="14"/>
              </w:rPr>
              <w:t>需要办理该审批服务事项的项目。</w:t>
            </w:r>
          </w:p>
        </w:tc>
        <w:tc>
          <w:tcPr>
            <w:tcW w:w="1127" w:type="dxa"/>
          </w:tcPr>
          <w:p>
            <w:pPr>
              <w:pStyle w:val="20"/>
              <w:spacing w:before="12"/>
              <w:rPr>
                <w:sz w:val="20"/>
              </w:rPr>
            </w:pPr>
          </w:p>
          <w:p>
            <w:pPr>
              <w:pStyle w:val="20"/>
              <w:spacing w:line="249" w:lineRule="auto"/>
              <w:ind w:left="44" w:right="11"/>
              <w:rPr>
                <w:w w:val="105"/>
                <w:sz w:val="14"/>
              </w:rPr>
            </w:pPr>
            <w:r>
              <w:rPr>
                <w:spacing w:val="2"/>
                <w:w w:val="105"/>
                <w:sz w:val="14"/>
              </w:rPr>
              <w:t>法定时限</w:t>
            </w:r>
            <w:r>
              <w:rPr>
                <w:w w:val="105"/>
                <w:sz w:val="14"/>
              </w:rPr>
              <w:t xml:space="preserve">：10 </w:t>
            </w:r>
          </w:p>
          <w:p>
            <w:pPr>
              <w:pStyle w:val="20"/>
              <w:spacing w:line="249" w:lineRule="auto"/>
              <w:ind w:left="44" w:right="11"/>
              <w:rPr>
                <w:sz w:val="14"/>
              </w:rPr>
            </w:pPr>
            <w:r>
              <w:rPr>
                <w:spacing w:val="-1"/>
                <w:w w:val="105"/>
                <w:sz w:val="14"/>
              </w:rPr>
              <w:t>承诺时限：</w:t>
            </w:r>
            <w:r>
              <w:rPr>
                <w:w w:val="105"/>
                <w:sz w:val="14"/>
              </w:rPr>
              <w:t>5</w:t>
            </w:r>
          </w:p>
        </w:tc>
        <w:tc>
          <w:tcPr>
            <w:tcW w:w="911" w:type="dxa"/>
          </w:tcPr>
          <w:p>
            <w:pPr>
              <w:pStyle w:val="20"/>
              <w:rPr>
                <w:sz w:val="14"/>
              </w:rPr>
            </w:pPr>
          </w:p>
          <w:p>
            <w:pPr>
              <w:pStyle w:val="20"/>
              <w:rPr>
                <w:sz w:val="14"/>
              </w:rPr>
            </w:pPr>
          </w:p>
          <w:p>
            <w:pPr>
              <w:pStyle w:val="20"/>
              <w:spacing w:before="97"/>
              <w:ind w:left="149" w:right="119"/>
              <w:jc w:val="center"/>
              <w:rPr>
                <w:sz w:val="14"/>
              </w:rPr>
            </w:pPr>
            <w:r>
              <w:rPr>
                <w:rFonts w:hint="eastAsia"/>
                <w:w w:val="105"/>
                <w:sz w:val="14"/>
              </w:rPr>
              <w:t>区</w:t>
            </w:r>
            <w:r>
              <w:rPr>
                <w:w w:val="105"/>
                <w:sz w:val="14"/>
              </w:rPr>
              <w:t>气象局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71" w:hRule="atLeast"/>
          <w:jc w:val="center"/>
        </w:trPr>
        <w:tc>
          <w:tcPr>
            <w:tcW w:w="350" w:type="dxa"/>
          </w:tcPr>
          <w:p>
            <w:pPr>
              <w:pStyle w:val="20"/>
              <w:rPr>
                <w:sz w:val="14"/>
              </w:rPr>
            </w:pPr>
          </w:p>
          <w:p>
            <w:pPr>
              <w:pStyle w:val="20"/>
              <w:rPr>
                <w:sz w:val="14"/>
              </w:rPr>
            </w:pPr>
          </w:p>
          <w:p>
            <w:pPr>
              <w:pStyle w:val="20"/>
              <w:spacing w:before="5"/>
              <w:rPr>
                <w:sz w:val="15"/>
              </w:rPr>
            </w:pPr>
          </w:p>
          <w:p>
            <w:pPr>
              <w:pStyle w:val="20"/>
              <w:ind w:left="28"/>
              <w:jc w:val="center"/>
              <w:rPr>
                <w:rFonts w:hint="eastAsia" w:eastAsia="宋体"/>
                <w:sz w:val="14"/>
                <w:lang w:eastAsia="zh-CN"/>
              </w:rPr>
            </w:pPr>
            <w:r>
              <w:rPr>
                <w:w w:val="105"/>
                <w:sz w:val="14"/>
              </w:rPr>
              <w:t>2</w:t>
            </w:r>
            <w:r>
              <w:rPr>
                <w:rFonts w:hint="eastAsia"/>
                <w:w w:val="105"/>
                <w:sz w:val="14"/>
                <w:lang w:val="en-US" w:eastAsia="zh-CN"/>
              </w:rPr>
              <w:t>3</w:t>
            </w:r>
          </w:p>
        </w:tc>
        <w:tc>
          <w:tcPr>
            <w:tcW w:w="830" w:type="dxa"/>
          </w:tcPr>
          <w:p>
            <w:pPr>
              <w:pStyle w:val="20"/>
              <w:rPr>
                <w:sz w:val="14"/>
              </w:rPr>
            </w:pPr>
          </w:p>
          <w:p>
            <w:pPr>
              <w:pStyle w:val="20"/>
              <w:rPr>
                <w:sz w:val="14"/>
              </w:rPr>
            </w:pPr>
          </w:p>
          <w:p>
            <w:pPr>
              <w:pStyle w:val="20"/>
              <w:spacing w:before="106" w:line="252" w:lineRule="auto"/>
              <w:ind w:left="40" w:right="28"/>
              <w:rPr>
                <w:sz w:val="14"/>
              </w:rPr>
            </w:pPr>
            <w:r>
              <w:rPr>
                <w:w w:val="105"/>
                <w:sz w:val="14"/>
              </w:rPr>
              <w:t>雷电防护装置竣工验收</w:t>
            </w:r>
          </w:p>
        </w:tc>
        <w:tc>
          <w:tcPr>
            <w:tcW w:w="1166" w:type="dxa"/>
          </w:tcPr>
          <w:p>
            <w:pPr>
              <w:pStyle w:val="20"/>
              <w:rPr>
                <w:sz w:val="14"/>
              </w:rPr>
            </w:pPr>
          </w:p>
          <w:p>
            <w:pPr>
              <w:pStyle w:val="20"/>
              <w:rPr>
                <w:sz w:val="14"/>
              </w:rPr>
            </w:pPr>
          </w:p>
          <w:p>
            <w:pPr>
              <w:pStyle w:val="20"/>
              <w:spacing w:before="106" w:line="252" w:lineRule="auto"/>
              <w:ind w:left="27" w:right="79"/>
              <w:rPr>
                <w:sz w:val="14"/>
              </w:rPr>
            </w:pPr>
            <w:r>
              <w:rPr>
                <w:w w:val="105"/>
                <w:sz w:val="14"/>
              </w:rPr>
              <w:t>雷电防护装置竣工验收（8日）</w:t>
            </w:r>
          </w:p>
        </w:tc>
        <w:tc>
          <w:tcPr>
            <w:tcW w:w="1262" w:type="dxa"/>
          </w:tcPr>
          <w:p>
            <w:pPr>
              <w:pStyle w:val="20"/>
              <w:rPr>
                <w:sz w:val="14"/>
              </w:rPr>
            </w:pPr>
          </w:p>
          <w:p>
            <w:pPr>
              <w:pStyle w:val="20"/>
              <w:rPr>
                <w:sz w:val="14"/>
              </w:rPr>
            </w:pPr>
          </w:p>
          <w:p>
            <w:pPr>
              <w:pStyle w:val="20"/>
              <w:spacing w:before="5"/>
              <w:rPr>
                <w:sz w:val="15"/>
              </w:rPr>
            </w:pPr>
          </w:p>
          <w:p>
            <w:pPr>
              <w:pStyle w:val="20"/>
              <w:ind w:left="32" w:right="16"/>
              <w:jc w:val="center"/>
              <w:rPr>
                <w:sz w:val="14"/>
              </w:rPr>
            </w:pPr>
            <w:r>
              <w:rPr>
                <w:w w:val="105"/>
                <w:sz w:val="14"/>
              </w:rPr>
              <w:t>委托检测</w:t>
            </w:r>
          </w:p>
        </w:tc>
        <w:tc>
          <w:tcPr>
            <w:tcW w:w="6532" w:type="dxa"/>
          </w:tcPr>
          <w:p>
            <w:pPr>
              <w:pStyle w:val="20"/>
              <w:spacing w:before="90"/>
              <w:ind w:left="27"/>
              <w:jc w:val="both"/>
              <w:rPr>
                <w:sz w:val="14"/>
              </w:rPr>
            </w:pPr>
            <w:r>
              <w:rPr>
                <w:w w:val="105"/>
                <w:sz w:val="14"/>
              </w:rPr>
              <w:t>【部门规章】《雷电防护装置设计审核和竣工验收规定》（中国气象局令第37号）</w:t>
            </w:r>
          </w:p>
          <w:p>
            <w:pPr>
              <w:pStyle w:val="20"/>
              <w:spacing w:before="8" w:line="249" w:lineRule="auto"/>
              <w:ind w:left="27" w:right="117"/>
              <w:jc w:val="both"/>
              <w:rPr>
                <w:sz w:val="14"/>
              </w:rPr>
            </w:pPr>
            <w:r>
              <w:rPr>
                <w:w w:val="105"/>
                <w:sz w:val="14"/>
              </w:rPr>
              <w:t>第十四条 气象主管机构受理后，应当委托取得雷电防护装置检测资质的单位开展雷电防护装置检测</w:t>
            </w:r>
            <w:r>
              <w:rPr>
                <w:rFonts w:hint="eastAsia" w:ascii="黑体" w:eastAsia="黑体"/>
                <w:w w:val="105"/>
                <w:sz w:val="14"/>
              </w:rPr>
              <w:t>。</w:t>
            </w:r>
            <w:r>
              <w:rPr>
                <w:w w:val="105"/>
                <w:sz w:val="14"/>
              </w:rPr>
              <w:t xml:space="preserve">取得雷电防护装置检测资质的单位开展检测应当遵守国家有关标准、规范和规程，出具雷电防护装置检测报告并对检测报告负责。出具的雷电防护装置检测报告必须全面、真实、可靠。雷电防护装置检测报告结论应当包含安装的雷电防护装置是否按照核准的施工图施工完成；是否符合国家有关标准和国务院气象主管机构规定的使用要求。 </w:t>
            </w:r>
          </w:p>
        </w:tc>
        <w:tc>
          <w:tcPr>
            <w:tcW w:w="1866" w:type="dxa"/>
          </w:tcPr>
          <w:p>
            <w:pPr>
              <w:pStyle w:val="20"/>
              <w:rPr>
                <w:sz w:val="14"/>
              </w:rPr>
            </w:pPr>
          </w:p>
          <w:p>
            <w:pPr>
              <w:pStyle w:val="20"/>
              <w:rPr>
                <w:sz w:val="14"/>
              </w:rPr>
            </w:pPr>
          </w:p>
          <w:p>
            <w:pPr>
              <w:pStyle w:val="20"/>
              <w:spacing w:before="106" w:line="252" w:lineRule="auto"/>
              <w:ind w:left="28" w:right="21"/>
              <w:rPr>
                <w:sz w:val="14"/>
              </w:rPr>
            </w:pPr>
            <w:r>
              <w:rPr>
                <w:w w:val="105"/>
                <w:sz w:val="14"/>
              </w:rPr>
              <w:t>需要办理该审批服务事项的项目。</w:t>
            </w:r>
          </w:p>
        </w:tc>
        <w:tc>
          <w:tcPr>
            <w:tcW w:w="1127" w:type="dxa"/>
          </w:tcPr>
          <w:p>
            <w:pPr>
              <w:pStyle w:val="20"/>
              <w:rPr>
                <w:sz w:val="14"/>
              </w:rPr>
            </w:pPr>
          </w:p>
          <w:p>
            <w:pPr>
              <w:pStyle w:val="20"/>
              <w:spacing w:before="2"/>
              <w:rPr>
                <w:sz w:val="15"/>
              </w:rPr>
            </w:pPr>
          </w:p>
          <w:p>
            <w:pPr>
              <w:pStyle w:val="20"/>
              <w:spacing w:before="1" w:line="247" w:lineRule="auto"/>
              <w:ind w:left="44" w:right="11"/>
              <w:rPr>
                <w:w w:val="105"/>
                <w:sz w:val="14"/>
              </w:rPr>
            </w:pPr>
            <w:r>
              <w:rPr>
                <w:spacing w:val="2"/>
                <w:w w:val="105"/>
                <w:sz w:val="14"/>
              </w:rPr>
              <w:t>法定时限</w:t>
            </w:r>
            <w:r>
              <w:rPr>
                <w:w w:val="105"/>
                <w:sz w:val="14"/>
              </w:rPr>
              <w:t xml:space="preserve">：10 </w:t>
            </w:r>
          </w:p>
          <w:p>
            <w:pPr>
              <w:pStyle w:val="20"/>
              <w:spacing w:before="1" w:line="247" w:lineRule="auto"/>
              <w:ind w:left="44" w:right="11"/>
              <w:rPr>
                <w:sz w:val="14"/>
              </w:rPr>
            </w:pPr>
            <w:r>
              <w:rPr>
                <w:spacing w:val="-1"/>
                <w:w w:val="105"/>
                <w:sz w:val="14"/>
              </w:rPr>
              <w:t>承诺时限：</w:t>
            </w:r>
            <w:r>
              <w:rPr>
                <w:w w:val="105"/>
                <w:sz w:val="14"/>
              </w:rPr>
              <w:t>5</w:t>
            </w:r>
          </w:p>
        </w:tc>
        <w:tc>
          <w:tcPr>
            <w:tcW w:w="911" w:type="dxa"/>
          </w:tcPr>
          <w:p>
            <w:pPr>
              <w:pStyle w:val="20"/>
              <w:rPr>
                <w:sz w:val="14"/>
              </w:rPr>
            </w:pPr>
          </w:p>
          <w:p>
            <w:pPr>
              <w:pStyle w:val="20"/>
              <w:rPr>
                <w:sz w:val="14"/>
              </w:rPr>
            </w:pPr>
          </w:p>
          <w:p>
            <w:pPr>
              <w:pStyle w:val="20"/>
              <w:spacing w:before="5"/>
              <w:rPr>
                <w:sz w:val="15"/>
              </w:rPr>
            </w:pPr>
          </w:p>
          <w:p>
            <w:pPr>
              <w:pStyle w:val="20"/>
              <w:ind w:left="149" w:right="119"/>
              <w:jc w:val="center"/>
              <w:rPr>
                <w:sz w:val="14"/>
              </w:rPr>
            </w:pPr>
            <w:r>
              <w:rPr>
                <w:rFonts w:hint="eastAsia"/>
                <w:w w:val="105"/>
                <w:sz w:val="14"/>
              </w:rPr>
              <w:t>区</w:t>
            </w:r>
            <w:r>
              <w:rPr>
                <w:w w:val="105"/>
                <w:sz w:val="14"/>
              </w:rPr>
              <w:t>气象局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65" w:hRule="atLeast"/>
          <w:jc w:val="center"/>
        </w:trPr>
        <w:tc>
          <w:tcPr>
            <w:tcW w:w="35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92"/>
              <w:ind w:left="107"/>
              <w:rPr>
                <w:rFonts w:hint="default" w:eastAsia="宋体"/>
                <w:sz w:val="14"/>
                <w:lang w:val="en-US" w:eastAsia="zh-CN"/>
              </w:rPr>
            </w:pPr>
            <w:r>
              <w:rPr>
                <w:rFonts w:hint="eastAsia"/>
                <w:sz w:val="14"/>
                <w:lang w:val="en-US" w:eastAsia="zh-CN"/>
              </w:rPr>
              <w:t>24</w:t>
            </w:r>
          </w:p>
        </w:tc>
        <w:tc>
          <w:tcPr>
            <w:tcW w:w="830" w:type="dxa"/>
            <w:vMerge w:val="restart"/>
          </w:tcPr>
          <w:p>
            <w:pPr>
              <w:pStyle w:val="20"/>
              <w:rPr>
                <w:sz w:val="14"/>
              </w:rPr>
            </w:pPr>
          </w:p>
          <w:p>
            <w:pPr>
              <w:pStyle w:val="20"/>
              <w:rPr>
                <w:sz w:val="14"/>
              </w:rPr>
            </w:pPr>
          </w:p>
          <w:p>
            <w:pPr>
              <w:pStyle w:val="20"/>
              <w:rPr>
                <w:sz w:val="14"/>
              </w:rPr>
            </w:pPr>
          </w:p>
          <w:p>
            <w:pPr>
              <w:pStyle w:val="20"/>
              <w:spacing w:before="5"/>
              <w:rPr>
                <w:sz w:val="19"/>
              </w:rPr>
            </w:pPr>
          </w:p>
          <w:p>
            <w:pPr>
              <w:pStyle w:val="20"/>
              <w:spacing w:line="249" w:lineRule="auto"/>
              <w:ind w:left="40" w:right="20"/>
              <w:jc w:val="both"/>
              <w:rPr>
                <w:sz w:val="14"/>
              </w:rPr>
            </w:pPr>
            <w:r>
              <w:rPr>
                <w:w w:val="105"/>
                <w:sz w:val="14"/>
              </w:rPr>
              <w:t>建设项目使用林地、草原及在森林和野生动物类型国家级自然保护区建设审批</w:t>
            </w:r>
          </w:p>
        </w:tc>
        <w:tc>
          <w:tcPr>
            <w:tcW w:w="1166" w:type="dxa"/>
            <w:vMerge w:val="restart"/>
          </w:tcPr>
          <w:p>
            <w:pPr>
              <w:pStyle w:val="20"/>
              <w:rPr>
                <w:sz w:val="14"/>
              </w:rPr>
            </w:pPr>
          </w:p>
          <w:p>
            <w:pPr>
              <w:pStyle w:val="20"/>
              <w:rPr>
                <w:sz w:val="14"/>
              </w:rPr>
            </w:pPr>
          </w:p>
          <w:p>
            <w:pPr>
              <w:pStyle w:val="20"/>
              <w:spacing w:before="10"/>
              <w:rPr>
                <w:sz w:val="18"/>
              </w:rPr>
            </w:pPr>
          </w:p>
          <w:p>
            <w:pPr>
              <w:pStyle w:val="20"/>
              <w:numPr>
                <w:ilvl w:val="0"/>
                <w:numId w:val="6"/>
              </w:numPr>
              <w:tabs>
                <w:tab w:val="left" w:pos="181"/>
              </w:tabs>
              <w:spacing w:before="3" w:line="249" w:lineRule="auto"/>
              <w:ind w:right="75" w:firstLine="0"/>
              <w:jc w:val="both"/>
              <w:rPr>
                <w:sz w:val="14"/>
              </w:rPr>
            </w:pPr>
            <w:r>
              <w:rPr>
                <w:spacing w:val="-3"/>
                <w:w w:val="105"/>
                <w:sz w:val="14"/>
              </w:rPr>
              <w:t>建设项目使用</w:t>
            </w:r>
            <w:r>
              <w:rPr>
                <w:spacing w:val="-2"/>
                <w:w w:val="105"/>
                <w:sz w:val="14"/>
              </w:rPr>
              <w:t>林地及在森林和野生动物类型国家级自然保护区</w:t>
            </w:r>
            <w:r>
              <w:rPr>
                <w:w w:val="105"/>
                <w:sz w:val="14"/>
              </w:rPr>
              <w:t>建设审批（10日）</w:t>
            </w:r>
          </w:p>
          <w:p>
            <w:pPr>
              <w:pStyle w:val="20"/>
              <w:numPr>
                <w:ilvl w:val="0"/>
                <w:numId w:val="6"/>
              </w:numPr>
              <w:tabs>
                <w:tab w:val="left" w:pos="181"/>
              </w:tabs>
              <w:spacing w:before="8" w:line="252" w:lineRule="auto"/>
              <w:ind w:right="75" w:firstLine="0"/>
              <w:rPr>
                <w:sz w:val="14"/>
              </w:rPr>
            </w:pPr>
            <w:r>
              <w:rPr>
                <w:spacing w:val="-3"/>
                <w:w w:val="105"/>
                <w:sz w:val="14"/>
              </w:rPr>
              <w:t>建设项目使用</w:t>
            </w:r>
            <w:r>
              <w:rPr>
                <w:w w:val="105"/>
                <w:sz w:val="14"/>
              </w:rPr>
              <w:t>草原审批（10日）</w:t>
            </w:r>
          </w:p>
        </w:tc>
        <w:tc>
          <w:tcPr>
            <w:tcW w:w="1262" w:type="dxa"/>
          </w:tcPr>
          <w:p>
            <w:pPr>
              <w:pStyle w:val="20"/>
              <w:rPr>
                <w:sz w:val="14"/>
              </w:rPr>
            </w:pPr>
          </w:p>
          <w:p>
            <w:pPr>
              <w:pStyle w:val="20"/>
              <w:rPr>
                <w:sz w:val="14"/>
              </w:rPr>
            </w:pPr>
          </w:p>
          <w:p>
            <w:pPr>
              <w:pStyle w:val="20"/>
              <w:spacing w:before="97"/>
              <w:ind w:left="32" w:right="7"/>
              <w:jc w:val="center"/>
              <w:rPr>
                <w:sz w:val="14"/>
              </w:rPr>
            </w:pPr>
            <w:r>
              <w:rPr>
                <w:w w:val="105"/>
                <w:sz w:val="14"/>
              </w:rPr>
              <w:t>公示（林地）</w:t>
            </w:r>
          </w:p>
        </w:tc>
        <w:tc>
          <w:tcPr>
            <w:tcW w:w="6532" w:type="dxa"/>
          </w:tcPr>
          <w:p>
            <w:pPr>
              <w:pStyle w:val="20"/>
              <w:spacing w:before="10"/>
              <w:rPr>
                <w:sz w:val="13"/>
              </w:rPr>
            </w:pPr>
          </w:p>
          <w:p>
            <w:pPr>
              <w:pStyle w:val="20"/>
              <w:ind w:left="27"/>
              <w:jc w:val="both"/>
              <w:rPr>
                <w:sz w:val="14"/>
              </w:rPr>
            </w:pPr>
            <w:r>
              <w:rPr>
                <w:w w:val="105"/>
                <w:sz w:val="14"/>
              </w:rPr>
              <w:t>【部门规章】《建设项目使用林地审核审批管理办法》（国家林业局令第35号）</w:t>
            </w:r>
          </w:p>
          <w:p>
            <w:pPr>
              <w:pStyle w:val="20"/>
              <w:spacing w:before="8" w:line="247" w:lineRule="auto"/>
              <w:ind w:left="27" w:right="1"/>
              <w:jc w:val="both"/>
              <w:rPr>
                <w:sz w:val="14"/>
              </w:rPr>
            </w:pPr>
            <w:r>
              <w:rPr>
                <w:w w:val="105"/>
                <w:sz w:val="14"/>
              </w:rPr>
              <w:t>第十一条 县级人民政府林业主管部门对建设项目拟使用的林地，应当在林地所在地的村（组）或</w:t>
            </w:r>
            <w:r>
              <w:rPr>
                <w:sz w:val="14"/>
              </w:rPr>
              <w:t xml:space="preserve">者林场范围内将拟使用林地用途、范围、面积等内容进行公示，公示期不少于5个工作日。但是，   </w:t>
            </w:r>
            <w:r>
              <w:rPr>
                <w:w w:val="105"/>
                <w:sz w:val="14"/>
              </w:rPr>
              <w:t>依照相关法律法规的规定不需要公示的除外。</w:t>
            </w:r>
          </w:p>
        </w:tc>
        <w:tc>
          <w:tcPr>
            <w:tcW w:w="1866" w:type="dxa"/>
          </w:tcPr>
          <w:p>
            <w:pPr>
              <w:pStyle w:val="20"/>
              <w:rPr>
                <w:sz w:val="14"/>
              </w:rPr>
            </w:pPr>
          </w:p>
          <w:p>
            <w:pPr>
              <w:pStyle w:val="20"/>
              <w:spacing w:before="5"/>
              <w:rPr>
                <w:sz w:val="14"/>
              </w:rPr>
            </w:pPr>
          </w:p>
          <w:p>
            <w:pPr>
              <w:pStyle w:val="20"/>
              <w:spacing w:before="1" w:line="244" w:lineRule="auto"/>
              <w:ind w:left="28" w:right="21"/>
              <w:rPr>
                <w:sz w:val="14"/>
              </w:rPr>
            </w:pPr>
            <w:r>
              <w:rPr>
                <w:w w:val="105"/>
                <w:sz w:val="14"/>
              </w:rPr>
              <w:t>需要办理该审批服务事项的项目。</w:t>
            </w:r>
          </w:p>
        </w:tc>
        <w:tc>
          <w:tcPr>
            <w:tcW w:w="1127" w:type="dxa"/>
          </w:tcPr>
          <w:p>
            <w:pPr>
              <w:pStyle w:val="20"/>
              <w:spacing w:before="12"/>
              <w:rPr>
                <w:sz w:val="20"/>
              </w:rPr>
            </w:pPr>
          </w:p>
          <w:p>
            <w:pPr>
              <w:pStyle w:val="20"/>
              <w:spacing w:line="252" w:lineRule="auto"/>
              <w:ind w:left="44" w:right="11"/>
              <w:rPr>
                <w:w w:val="105"/>
                <w:sz w:val="14"/>
              </w:rPr>
            </w:pPr>
            <w:r>
              <w:rPr>
                <w:w w:val="105"/>
                <w:sz w:val="14"/>
              </w:rPr>
              <w:t xml:space="preserve">法定时限：5 </w:t>
            </w:r>
          </w:p>
          <w:p>
            <w:pPr>
              <w:pStyle w:val="20"/>
              <w:spacing w:line="252" w:lineRule="auto"/>
              <w:ind w:left="44" w:right="11"/>
              <w:rPr>
                <w:sz w:val="14"/>
              </w:rPr>
            </w:pPr>
            <w:r>
              <w:rPr>
                <w:w w:val="105"/>
                <w:sz w:val="14"/>
              </w:rPr>
              <w:t>承诺时限：</w:t>
            </w:r>
            <w:r>
              <w:rPr>
                <w:w w:val="104"/>
                <w:sz w:val="14"/>
              </w:rPr>
              <w:t>5</w:t>
            </w:r>
          </w:p>
        </w:tc>
        <w:tc>
          <w:tcPr>
            <w:tcW w:w="911" w:type="dxa"/>
            <w:vMerge w:val="restart"/>
            <w:vAlign w:val="center"/>
          </w:tcPr>
          <w:p>
            <w:pPr>
              <w:pStyle w:val="20"/>
              <w:spacing w:line="244" w:lineRule="auto"/>
              <w:jc w:val="both"/>
              <w:rPr>
                <w:sz w:val="14"/>
              </w:rPr>
            </w:pPr>
            <w:r>
              <w:rPr>
                <w:rFonts w:hint="eastAsia"/>
                <w:sz w:val="14"/>
              </w:rPr>
              <w:t>区自然资源局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70"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166" w:type="dxa"/>
            <w:vMerge w:val="continue"/>
            <w:tcBorders>
              <w:top w:val="nil"/>
            </w:tcBorders>
          </w:tcPr>
          <w:p>
            <w:pPr>
              <w:rPr>
                <w:sz w:val="2"/>
                <w:szCs w:val="2"/>
              </w:rPr>
            </w:pPr>
          </w:p>
        </w:tc>
        <w:tc>
          <w:tcPr>
            <w:tcW w:w="1262" w:type="dxa"/>
          </w:tcPr>
          <w:p>
            <w:pPr>
              <w:pStyle w:val="20"/>
              <w:rPr>
                <w:sz w:val="14"/>
              </w:rPr>
            </w:pPr>
          </w:p>
          <w:p>
            <w:pPr>
              <w:pStyle w:val="20"/>
              <w:rPr>
                <w:sz w:val="14"/>
              </w:rPr>
            </w:pPr>
          </w:p>
          <w:p>
            <w:pPr>
              <w:pStyle w:val="20"/>
              <w:rPr>
                <w:sz w:val="14"/>
              </w:rPr>
            </w:pPr>
          </w:p>
          <w:p>
            <w:pPr>
              <w:pStyle w:val="20"/>
              <w:spacing w:before="10"/>
              <w:rPr>
                <w:sz w:val="13"/>
              </w:rPr>
            </w:pPr>
          </w:p>
          <w:p>
            <w:pPr>
              <w:pStyle w:val="20"/>
              <w:spacing w:line="252" w:lineRule="auto"/>
              <w:ind w:left="411" w:right="5" w:hanging="380"/>
              <w:rPr>
                <w:sz w:val="14"/>
              </w:rPr>
            </w:pPr>
            <w:r>
              <w:rPr>
                <w:w w:val="105"/>
                <w:sz w:val="14"/>
              </w:rPr>
              <w:t>现场查验（林地、草原）</w:t>
            </w:r>
          </w:p>
        </w:tc>
        <w:tc>
          <w:tcPr>
            <w:tcW w:w="6532" w:type="dxa"/>
          </w:tcPr>
          <w:p>
            <w:pPr>
              <w:pStyle w:val="20"/>
              <w:spacing w:before="62"/>
              <w:ind w:left="27"/>
              <w:jc w:val="both"/>
              <w:rPr>
                <w:sz w:val="14"/>
              </w:rPr>
            </w:pPr>
            <w:r>
              <w:rPr>
                <w:w w:val="105"/>
                <w:sz w:val="14"/>
              </w:rPr>
              <w:t>【部门规章】《草原征占用审核审批管理办法》（农业部令第58号，2014年4月修改）</w:t>
            </w:r>
          </w:p>
          <w:p>
            <w:pPr>
              <w:pStyle w:val="20"/>
              <w:spacing w:before="8" w:line="249" w:lineRule="auto"/>
              <w:ind w:left="27" w:right="11"/>
              <w:jc w:val="both"/>
              <w:rPr>
                <w:sz w:val="14"/>
              </w:rPr>
            </w:pPr>
            <w:r>
              <w:rPr>
                <w:w w:val="105"/>
                <w:sz w:val="14"/>
              </w:rPr>
              <w:t>第十三条 省级以上林业和草原主管部门可以根据需要组织开展现场查验工作。当地县级以上林业和草原主管部门应当将现场查验报告及时报送负责审核的林业和草原主管部门。现场查验报告应当包括以下内容：拟征收、征用或者使用草原项目基本情况；拟征收、征用或者使用草原的权属、面积、类型、等级和相关草原所有权者、使用权者和承包经营权者数量和补偿情况；是否涉及生态保护红线、各类自然保护地内草原和未批先建等情况。</w:t>
            </w:r>
          </w:p>
          <w:p>
            <w:pPr>
              <w:pStyle w:val="20"/>
              <w:spacing w:before="3" w:line="249" w:lineRule="auto"/>
              <w:ind w:left="27" w:right="5"/>
              <w:jc w:val="both"/>
              <w:rPr>
                <w:w w:val="105"/>
                <w:sz w:val="14"/>
              </w:rPr>
            </w:pPr>
            <w:r>
              <w:rPr>
                <w:w w:val="105"/>
                <w:sz w:val="14"/>
              </w:rPr>
              <w:t xml:space="preserve">【部门规章】《建设项目使用林地审核审批管理办法》（国家林业局令第35号） </w:t>
            </w:r>
          </w:p>
          <w:p>
            <w:pPr>
              <w:pStyle w:val="20"/>
              <w:spacing w:before="3" w:line="249" w:lineRule="auto"/>
              <w:ind w:left="27" w:right="5"/>
              <w:jc w:val="both"/>
              <w:rPr>
                <w:sz w:val="14"/>
              </w:rPr>
            </w:pPr>
            <w:r>
              <w:rPr>
                <w:w w:val="105"/>
                <w:sz w:val="14"/>
              </w:rPr>
              <w:t>第十条 县级人民政府林业主管部门对材料齐全、符合条件的使用林地申请，应当在收到申请之日起10个工作日内，指派2名以上工作人员进行用地现场查验，并填写《使用林地现场查验表》。</w:t>
            </w:r>
          </w:p>
        </w:tc>
        <w:tc>
          <w:tcPr>
            <w:tcW w:w="1866" w:type="dxa"/>
          </w:tcPr>
          <w:p>
            <w:pPr>
              <w:pStyle w:val="20"/>
              <w:rPr>
                <w:sz w:val="14"/>
              </w:rPr>
            </w:pPr>
          </w:p>
          <w:p>
            <w:pPr>
              <w:pStyle w:val="20"/>
              <w:rPr>
                <w:sz w:val="14"/>
              </w:rPr>
            </w:pPr>
          </w:p>
          <w:p>
            <w:pPr>
              <w:pStyle w:val="20"/>
              <w:rPr>
                <w:sz w:val="14"/>
              </w:rPr>
            </w:pPr>
          </w:p>
          <w:p>
            <w:pPr>
              <w:pStyle w:val="20"/>
              <w:spacing w:before="10"/>
              <w:rPr>
                <w:sz w:val="13"/>
              </w:rPr>
            </w:pPr>
          </w:p>
          <w:p>
            <w:pPr>
              <w:pStyle w:val="20"/>
              <w:spacing w:line="252" w:lineRule="auto"/>
              <w:ind w:left="28" w:right="21"/>
              <w:rPr>
                <w:sz w:val="14"/>
              </w:rPr>
            </w:pPr>
            <w:r>
              <w:rPr>
                <w:w w:val="105"/>
                <w:sz w:val="14"/>
              </w:rPr>
              <w:t>需要办理该审批服务事项的项目。</w:t>
            </w:r>
          </w:p>
        </w:tc>
        <w:tc>
          <w:tcPr>
            <w:tcW w:w="1127" w:type="dxa"/>
          </w:tcPr>
          <w:p>
            <w:pPr>
              <w:pStyle w:val="20"/>
              <w:rPr>
                <w:sz w:val="14"/>
              </w:rPr>
            </w:pPr>
          </w:p>
          <w:p>
            <w:pPr>
              <w:pStyle w:val="20"/>
              <w:rPr>
                <w:sz w:val="14"/>
              </w:rPr>
            </w:pPr>
          </w:p>
          <w:p>
            <w:pPr>
              <w:pStyle w:val="20"/>
              <w:spacing w:before="8"/>
              <w:rPr>
                <w:sz w:val="20"/>
              </w:rPr>
            </w:pPr>
          </w:p>
          <w:p>
            <w:pPr>
              <w:pStyle w:val="20"/>
              <w:spacing w:line="247" w:lineRule="auto"/>
              <w:ind w:left="44" w:right="11"/>
              <w:jc w:val="center"/>
              <w:rPr>
                <w:w w:val="105"/>
                <w:sz w:val="14"/>
              </w:rPr>
            </w:pPr>
            <w:r>
              <w:rPr>
                <w:spacing w:val="2"/>
                <w:w w:val="105"/>
                <w:sz w:val="14"/>
              </w:rPr>
              <w:t>法定时限</w:t>
            </w:r>
            <w:r>
              <w:rPr>
                <w:w w:val="105"/>
                <w:sz w:val="14"/>
              </w:rPr>
              <w:t xml:space="preserve">：10 </w:t>
            </w:r>
          </w:p>
          <w:p>
            <w:pPr>
              <w:pStyle w:val="20"/>
              <w:spacing w:line="247" w:lineRule="auto"/>
              <w:ind w:left="44" w:right="11"/>
              <w:jc w:val="center"/>
              <w:rPr>
                <w:sz w:val="14"/>
              </w:rPr>
            </w:pPr>
            <w:r>
              <w:rPr>
                <w:spacing w:val="-1"/>
                <w:w w:val="105"/>
                <w:sz w:val="14"/>
              </w:rPr>
              <w:t>承诺时限：</w:t>
            </w:r>
            <w:r>
              <w:rPr>
                <w:w w:val="105"/>
                <w:sz w:val="14"/>
              </w:rPr>
              <w:t>5</w:t>
            </w:r>
          </w:p>
        </w:tc>
        <w:tc>
          <w:tcPr>
            <w:tcW w:w="911" w:type="dxa"/>
            <w:vMerge w:val="continue"/>
            <w:tcBorders>
              <w:top w:val="nil"/>
            </w:tcBorders>
            <w:vAlign w:val="center"/>
          </w:tcPr>
          <w:p>
            <w:pPr>
              <w:jc w:val="both"/>
              <w:rPr>
                <w:sz w:val="2"/>
                <w:szCs w:val="2"/>
                <w:lang w:eastAsia="zh-CN"/>
              </w:rPr>
            </w:pPr>
          </w:p>
        </w:tc>
      </w:tr>
    </w:tbl>
    <w:p>
      <w:pPr>
        <w:spacing w:line="242" w:lineRule="auto"/>
        <w:rPr>
          <w:sz w:val="14"/>
          <w:lang w:eastAsia="zh-CN"/>
        </w:rPr>
        <w:sectPr>
          <w:pgSz w:w="16840" w:h="11910" w:orient="landscape"/>
          <w:pgMar w:top="1000" w:right="980" w:bottom="1140" w:left="980" w:header="0" w:footer="72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790"/>
        <w:gridCol w:w="1203"/>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40" w:right="26"/>
              <w:jc w:val="center"/>
              <w:rPr>
                <w:rFonts w:ascii="黑体" w:eastAsia="黑体"/>
                <w:sz w:val="14"/>
              </w:rPr>
            </w:pPr>
            <w:r>
              <w:rPr>
                <w:rFonts w:hint="eastAsia" w:ascii="黑体" w:eastAsia="黑体"/>
                <w:w w:val="105"/>
                <w:sz w:val="14"/>
              </w:rPr>
              <w:t>事项名称</w:t>
            </w:r>
          </w:p>
        </w:tc>
        <w:tc>
          <w:tcPr>
            <w:tcW w:w="1166"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62"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tcBorders>
              <w:bottom w:val="single" w:color="auto" w:sz="4" w:space="0"/>
            </w:tcBorders>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790" w:type="dxa"/>
          </w:tcPr>
          <w:p>
            <w:pPr>
              <w:pStyle w:val="20"/>
              <w:spacing w:before="3"/>
              <w:rPr>
                <w:sz w:val="20"/>
              </w:rPr>
            </w:pPr>
          </w:p>
          <w:p>
            <w:pPr>
              <w:pStyle w:val="20"/>
              <w:spacing w:line="242" w:lineRule="auto"/>
              <w:jc w:val="center"/>
              <w:rPr>
                <w:rFonts w:ascii="黑体" w:eastAsia="黑体"/>
                <w:w w:val="105"/>
                <w:sz w:val="14"/>
              </w:rPr>
            </w:pPr>
            <w:r>
              <w:rPr>
                <w:rFonts w:hint="eastAsia" w:ascii="黑体" w:eastAsia="黑体"/>
                <w:w w:val="105"/>
                <w:sz w:val="14"/>
              </w:rPr>
              <w:t>特殊程序</w:t>
            </w:r>
          </w:p>
          <w:p>
            <w:pPr>
              <w:pStyle w:val="20"/>
              <w:spacing w:line="242" w:lineRule="auto"/>
              <w:jc w:val="center"/>
              <w:rPr>
                <w:rFonts w:ascii="黑体" w:eastAsia="黑体"/>
                <w:sz w:val="14"/>
              </w:rPr>
            </w:pPr>
            <w:r>
              <w:rPr>
                <w:rFonts w:hint="eastAsia" w:ascii="黑体" w:eastAsia="黑体"/>
                <w:w w:val="105"/>
                <w:sz w:val="14"/>
              </w:rPr>
              <w:t>适用条件</w:t>
            </w:r>
          </w:p>
        </w:tc>
        <w:tc>
          <w:tcPr>
            <w:tcW w:w="1203"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tcPr>
          <w:p>
            <w:pPr>
              <w:pStyle w:val="20"/>
              <w:spacing w:before="3"/>
              <w:rPr>
                <w:sz w:val="20"/>
              </w:rPr>
            </w:pPr>
          </w:p>
          <w:p>
            <w:pPr>
              <w:pStyle w:val="20"/>
              <w:spacing w:line="242" w:lineRule="auto"/>
              <w:ind w:left="391" w:right="61" w:hanging="303"/>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48" w:hRule="atLeast"/>
          <w:jc w:val="center"/>
        </w:trPr>
        <w:tc>
          <w:tcPr>
            <w:tcW w:w="350" w:type="dxa"/>
            <w:vMerge w:val="restart"/>
            <w:tcBorders>
              <w:top w:val="nil"/>
              <w:bottom w:val="nil"/>
            </w:tcBorders>
          </w:tcPr>
          <w:p>
            <w:pPr>
              <w:pStyle w:val="20"/>
              <w:rPr>
                <w:rFonts w:ascii="Times New Roman"/>
                <w:sz w:val="14"/>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jc w:val="center"/>
              <w:rPr>
                <w:rFonts w:hint="eastAsia" w:ascii="Times New Roman" w:hAnsi="宋体" w:eastAsia="宋体" w:cs="宋体"/>
                <w:sz w:val="14"/>
                <w:szCs w:val="22"/>
                <w:lang w:val="en-US" w:eastAsia="zh-CN" w:bidi="zh-CN"/>
              </w:rPr>
            </w:pPr>
          </w:p>
          <w:p>
            <w:pPr>
              <w:bidi w:val="0"/>
              <w:jc w:val="center"/>
              <w:rPr>
                <w:rFonts w:hint="default" w:ascii="Times New Roman" w:hAnsi="宋体" w:eastAsia="宋体" w:cs="宋体"/>
                <w:sz w:val="14"/>
                <w:szCs w:val="22"/>
                <w:lang w:val="en-US" w:eastAsia="zh-CN" w:bidi="zh-CN"/>
              </w:rPr>
            </w:pPr>
            <w:r>
              <w:rPr>
                <w:rFonts w:hint="eastAsia" w:ascii="Times New Roman" w:hAnsi="宋体" w:eastAsia="宋体" w:cs="宋体"/>
                <w:sz w:val="14"/>
                <w:szCs w:val="22"/>
                <w:lang w:val="en-US" w:eastAsia="zh-CN" w:bidi="zh-CN"/>
              </w:rPr>
              <w:t>2</w:t>
            </w:r>
            <w:r>
              <w:rPr>
                <w:rFonts w:hint="eastAsia" w:hAnsi="宋体" w:cs="宋体"/>
                <w:sz w:val="14"/>
                <w:szCs w:val="22"/>
                <w:lang w:val="en-US" w:eastAsia="zh-CN" w:bidi="zh-CN"/>
              </w:rPr>
              <w:t>5</w:t>
            </w:r>
          </w:p>
          <w:p>
            <w:pPr>
              <w:bidi w:val="0"/>
            </w:pPr>
          </w:p>
          <w:p>
            <w:pPr>
              <w:bidi w:val="0"/>
            </w:pPr>
          </w:p>
          <w:p>
            <w:pPr>
              <w:bidi w:val="0"/>
            </w:pPr>
          </w:p>
          <w:p>
            <w:pPr>
              <w:bidi w:val="0"/>
              <w:jc w:val="both"/>
            </w:pPr>
          </w:p>
        </w:tc>
        <w:tc>
          <w:tcPr>
            <w:tcW w:w="830" w:type="dxa"/>
            <w:vMerge w:val="restart"/>
            <w:tcBorders>
              <w:top w:val="nil"/>
              <w:bottom w:val="nil"/>
            </w:tcBorders>
            <w:vAlign w:val="center"/>
          </w:tcPr>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p>
          <w:p>
            <w:pPr>
              <w:pStyle w:val="20"/>
              <w:spacing w:line="178" w:lineRule="exact"/>
              <w:jc w:val="both"/>
              <w:rPr>
                <w:w w:val="105"/>
                <w:sz w:val="14"/>
              </w:rPr>
            </w:pPr>
            <w:r>
              <w:rPr>
                <w:rFonts w:hint="eastAsia"/>
                <w:w w:val="105"/>
                <w:sz w:val="14"/>
              </w:rPr>
              <w:t>占用农业灌溉水源、灌排工程设施审批</w:t>
            </w:r>
          </w:p>
        </w:tc>
        <w:tc>
          <w:tcPr>
            <w:tcW w:w="1166" w:type="dxa"/>
            <w:vMerge w:val="restart"/>
            <w:tcBorders>
              <w:top w:val="nil"/>
            </w:tcBorders>
            <w:vAlign w:val="center"/>
          </w:tcPr>
          <w:p>
            <w:pPr>
              <w:jc w:val="both"/>
              <w:rPr>
                <w:rFonts w:ascii="宋体" w:hAnsi="宋体" w:cs="宋体"/>
                <w:w w:val="105"/>
                <w:sz w:val="14"/>
                <w:szCs w:val="22"/>
                <w:lang w:val="zh-CN" w:eastAsia="zh-CN" w:bidi="zh-CN"/>
              </w:rPr>
            </w:pPr>
            <w:r>
              <w:rPr>
                <w:rFonts w:hint="eastAsia" w:ascii="宋体" w:hAnsi="宋体" w:cs="宋体"/>
                <w:w w:val="105"/>
                <w:sz w:val="14"/>
                <w:szCs w:val="22"/>
                <w:lang w:val="zh-CN" w:eastAsia="zh-CN" w:bidi="zh-CN"/>
              </w:rPr>
              <w:t>占用农业灌溉水源、灌排工程设施审批（20日）</w:t>
            </w:r>
          </w:p>
        </w:tc>
        <w:tc>
          <w:tcPr>
            <w:tcW w:w="1262" w:type="dxa"/>
            <w:tcBorders>
              <w:top w:val="nil"/>
            </w:tcBorders>
            <w:vAlign w:val="center"/>
          </w:tcPr>
          <w:p>
            <w:pPr>
              <w:pStyle w:val="20"/>
              <w:jc w:val="center"/>
              <w:rPr>
                <w:w w:val="105"/>
                <w:sz w:val="14"/>
              </w:rPr>
            </w:pPr>
            <w:r>
              <w:rPr>
                <w:w w:val="105"/>
                <w:sz w:val="14"/>
              </w:rPr>
              <w:t>技术审查</w:t>
            </w:r>
          </w:p>
        </w:tc>
        <w:tc>
          <w:tcPr>
            <w:tcW w:w="6532" w:type="dxa"/>
            <w:tcBorders>
              <w:top w:val="single" w:color="auto" w:sz="4" w:space="0"/>
            </w:tcBorders>
          </w:tcPr>
          <w:p>
            <w:pPr>
              <w:pStyle w:val="20"/>
              <w:rPr>
                <w:w w:val="105"/>
                <w:sz w:val="14"/>
              </w:rPr>
            </w:pPr>
            <w:r>
              <w:rPr>
                <w:w w:val="105"/>
                <w:sz w:val="14"/>
              </w:rPr>
              <w:t>【部门规章】</w:t>
            </w:r>
            <w:r>
              <w:rPr>
                <w:rFonts w:hint="eastAsia"/>
                <w:w w:val="105"/>
                <w:sz w:val="14"/>
              </w:rPr>
              <w:t xml:space="preserve">《水行政许可实施办法》（水利部第23号令） </w:t>
            </w:r>
          </w:p>
          <w:p>
            <w:pPr>
              <w:pStyle w:val="20"/>
              <w:rPr>
                <w:w w:val="105"/>
                <w:sz w:val="14"/>
              </w:rPr>
            </w:pPr>
            <w:r>
              <w:rPr>
                <w:rFonts w:hint="eastAsia"/>
                <w:w w:val="105"/>
                <w:sz w:val="14"/>
              </w:rPr>
              <w:t xml:space="preserve">第三十一条 水行政许可实施机关可以根据法律、法规、规章的规定和水行政许可的需要，对水行政许可事项进行专家评审或者技术评估，并将评审或者评估意见作为水行政许可决定的参考依据。水行政许可实施机关可以根据法律、法规、规章的规定和水行政许可的需要，征求有关水行政主管部门或者其他行政机关的意见。 </w:t>
            </w:r>
          </w:p>
          <w:p>
            <w:pPr>
              <w:pStyle w:val="20"/>
              <w:rPr>
                <w:w w:val="105"/>
                <w:sz w:val="14"/>
              </w:rPr>
            </w:pPr>
            <w:r>
              <w:rPr>
                <w:rFonts w:hint="eastAsia"/>
                <w:w w:val="105"/>
                <w:sz w:val="14"/>
              </w:rPr>
              <w:t xml:space="preserve">【规范性文件】《水利工程建设程序管理暂行规定》（水建〔1998〕16号） </w:t>
            </w:r>
          </w:p>
          <w:p>
            <w:pPr>
              <w:pStyle w:val="20"/>
              <w:rPr>
                <w:w w:val="105"/>
                <w:sz w:val="14"/>
              </w:rPr>
            </w:pPr>
            <w:r>
              <w:rPr>
                <w:rFonts w:hint="eastAsia"/>
                <w:w w:val="105"/>
                <w:sz w:val="14"/>
              </w:rPr>
              <w:t>第七条 初步设计文件报批前，一般须由项目法人委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p>
          <w:p>
            <w:pPr>
              <w:pStyle w:val="20"/>
              <w:rPr>
                <w:w w:val="105"/>
                <w:sz w:val="14"/>
              </w:rPr>
            </w:pPr>
            <w:r>
              <w:rPr>
                <w:rFonts w:hint="eastAsia"/>
                <w:w w:val="105"/>
                <w:sz w:val="14"/>
              </w:rPr>
              <w:t>【政策文件】《山东省水利厅行政许可专家评审工作管理办法》（鲁水规字〔2021〕3号）</w:t>
            </w:r>
          </w:p>
          <w:p>
            <w:pPr>
              <w:pStyle w:val="20"/>
              <w:rPr>
                <w:w w:val="105"/>
                <w:sz w:val="14"/>
              </w:rPr>
            </w:pPr>
            <w:r>
              <w:rPr>
                <w:rFonts w:hint="eastAsia"/>
                <w:w w:val="105"/>
                <w:sz w:val="14"/>
              </w:rPr>
              <w:t>第十三条 为提高行政审批效率，省水利厅行政许可专家评审和技术审查期限为20个工作日（不含报告或方案修改时间），包括现场核查、专家评审会（或书面函审）、报告（方案）复审、省流域中心出具技术审查意见等环节。其中，现场核查和专家评审在受理行政许可申请之日起12个工作日内组织完成；需要复审的，报告（方案）修改完成并提交后，5个工作日内完成复审，并出具专家评审意见；专家组出具评审意见之日起3个工作日内，省流域中心出具技术审查意见。</w:t>
            </w:r>
          </w:p>
          <w:p>
            <w:pPr>
              <w:pStyle w:val="20"/>
              <w:rPr>
                <w:rFonts w:ascii="Times New Roman"/>
                <w:sz w:val="4"/>
              </w:rPr>
            </w:pPr>
            <w:r>
              <w:rPr>
                <w:rFonts w:hint="eastAsia"/>
                <w:w w:val="105"/>
                <w:sz w:val="14"/>
              </w:rPr>
              <w:t>第二十三条：项目申请人在10个工作日内未完成报告（方案）修改完善的，由专家组视情况出具评审意见，省流域中心出具技术审查意见，省水利厅出具许可决定。</w:t>
            </w:r>
          </w:p>
        </w:tc>
        <w:tc>
          <w:tcPr>
            <w:tcW w:w="1790" w:type="dxa"/>
            <w:tcBorders>
              <w:top w:val="nil"/>
            </w:tcBorders>
          </w:tcPr>
          <w:p>
            <w:pPr>
              <w:pStyle w:val="20"/>
              <w:rPr>
                <w:w w:val="105"/>
                <w:sz w:val="14"/>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p>
          <w:p>
            <w:pPr>
              <w:jc w:val="center"/>
              <w:rPr>
                <w:rFonts w:ascii="宋体" w:hAnsi="宋体" w:cs="宋体"/>
                <w:w w:val="105"/>
                <w:sz w:val="14"/>
                <w:szCs w:val="22"/>
                <w:lang w:val="zh-CN" w:eastAsia="zh-CN" w:bidi="zh-CN"/>
              </w:rPr>
            </w:pPr>
            <w:r>
              <w:rPr>
                <w:rFonts w:hint="eastAsia" w:ascii="宋体" w:hAnsi="宋体" w:cs="宋体"/>
                <w:w w:val="105"/>
                <w:sz w:val="14"/>
                <w:szCs w:val="22"/>
                <w:lang w:val="zh-CN" w:eastAsia="zh-CN" w:bidi="zh-CN"/>
              </w:rPr>
              <w:t>应当进行技术审查的项目。</w:t>
            </w:r>
          </w:p>
        </w:tc>
        <w:tc>
          <w:tcPr>
            <w:tcW w:w="1203" w:type="dxa"/>
            <w:tcBorders>
              <w:top w:val="nil"/>
            </w:tcBorders>
          </w:tcPr>
          <w:p>
            <w:pPr>
              <w:pStyle w:val="20"/>
              <w:rPr>
                <w:w w:val="105"/>
                <w:sz w:val="14"/>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p>
          <w:p>
            <w:pPr>
              <w:rPr>
                <w:rFonts w:ascii="宋体" w:hAnsi="宋体" w:cs="宋体"/>
                <w:w w:val="105"/>
                <w:sz w:val="14"/>
                <w:szCs w:val="22"/>
                <w:lang w:val="zh-CN" w:eastAsia="zh-CN" w:bidi="zh-CN"/>
              </w:rPr>
            </w:pPr>
            <w:r>
              <w:rPr>
                <w:rFonts w:hint="eastAsia" w:ascii="宋体" w:hAnsi="宋体" w:cs="宋体"/>
                <w:w w:val="105"/>
                <w:sz w:val="14"/>
                <w:szCs w:val="22"/>
                <w:lang w:val="zh-CN" w:eastAsia="zh-CN" w:bidi="zh-CN"/>
              </w:rPr>
              <w:t>法定时限：30</w:t>
            </w:r>
          </w:p>
          <w:p>
            <w:pPr>
              <w:rPr>
                <w:rFonts w:ascii="宋体" w:hAnsi="宋体" w:cs="宋体"/>
                <w:w w:val="105"/>
                <w:sz w:val="14"/>
                <w:szCs w:val="22"/>
                <w:lang w:val="zh-CN" w:eastAsia="zh-CN" w:bidi="zh-CN"/>
              </w:rPr>
            </w:pPr>
            <w:r>
              <w:rPr>
                <w:rFonts w:hint="eastAsia" w:ascii="宋体" w:hAnsi="宋体" w:cs="宋体"/>
                <w:w w:val="105"/>
                <w:sz w:val="14"/>
                <w:szCs w:val="22"/>
                <w:lang w:val="zh-CN" w:eastAsia="zh-CN" w:bidi="zh-CN"/>
              </w:rPr>
              <w:t>承诺时限：</w:t>
            </w:r>
            <w:r>
              <w:rPr>
                <w:rFonts w:ascii="宋体" w:hAnsi="宋体" w:cs="宋体"/>
                <w:w w:val="105"/>
                <w:sz w:val="14"/>
                <w:szCs w:val="22"/>
                <w:lang w:val="zh-CN" w:eastAsia="zh-CN" w:bidi="zh-CN"/>
              </w:rPr>
              <w:t>1</w:t>
            </w:r>
            <w:r>
              <w:rPr>
                <w:rFonts w:hint="eastAsia" w:ascii="宋体" w:hAnsi="宋体" w:cs="宋体"/>
                <w:w w:val="105"/>
                <w:sz w:val="14"/>
                <w:szCs w:val="22"/>
                <w:lang w:val="zh-CN" w:eastAsia="zh-CN" w:bidi="zh-CN"/>
              </w:rPr>
              <w:t>0</w:t>
            </w:r>
          </w:p>
        </w:tc>
        <w:tc>
          <w:tcPr>
            <w:tcW w:w="911" w:type="dxa"/>
            <w:vMerge w:val="restart"/>
            <w:tcBorders>
              <w:top w:val="nil"/>
              <w:bottom w:val="nil"/>
            </w:tcBorders>
          </w:tcPr>
          <w:p>
            <w:pPr>
              <w:pStyle w:val="20"/>
              <w:rPr>
                <w:rFonts w:ascii="Times New Roman"/>
                <w:sz w:val="14"/>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jc w:val="left"/>
            </w:pPr>
            <w:r>
              <w:rPr>
                <w:rFonts w:hint="eastAsia" w:ascii="Times New Roman"/>
                <w:sz w:val="14"/>
              </w:rPr>
              <w:t>区城市管理局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82" w:hRule="atLeast"/>
          <w:jc w:val="center"/>
        </w:trPr>
        <w:tc>
          <w:tcPr>
            <w:tcW w:w="350" w:type="dxa"/>
            <w:vMerge w:val="continue"/>
            <w:tcBorders>
              <w:top w:val="nil"/>
              <w:bottom w:val="nil"/>
            </w:tcBorders>
          </w:tcPr>
          <w:p>
            <w:pPr>
              <w:rPr>
                <w:sz w:val="2"/>
                <w:szCs w:val="2"/>
                <w:lang w:eastAsia="zh-CN"/>
              </w:rPr>
            </w:pPr>
          </w:p>
        </w:tc>
        <w:tc>
          <w:tcPr>
            <w:tcW w:w="830" w:type="dxa"/>
            <w:vMerge w:val="continue"/>
            <w:tcBorders>
              <w:top w:val="nil"/>
              <w:bottom w:val="nil"/>
            </w:tcBorders>
          </w:tcPr>
          <w:p>
            <w:pPr>
              <w:rPr>
                <w:sz w:val="2"/>
                <w:szCs w:val="2"/>
                <w:lang w:eastAsia="zh-CN"/>
              </w:rPr>
            </w:pPr>
          </w:p>
        </w:tc>
        <w:tc>
          <w:tcPr>
            <w:tcW w:w="1166" w:type="dxa"/>
            <w:vMerge w:val="continue"/>
            <w:tcBorders>
              <w:top w:val="nil"/>
            </w:tcBorders>
          </w:tcPr>
          <w:p>
            <w:pPr>
              <w:rPr>
                <w:sz w:val="2"/>
                <w:szCs w:val="2"/>
                <w:lang w:eastAsia="zh-CN"/>
              </w:rPr>
            </w:pPr>
          </w:p>
        </w:tc>
        <w:tc>
          <w:tcPr>
            <w:tcW w:w="1262" w:type="dxa"/>
            <w:tcBorders>
              <w:bottom w:val="nil"/>
            </w:tcBorders>
          </w:tcPr>
          <w:p>
            <w:pPr>
              <w:pStyle w:val="20"/>
              <w:rPr>
                <w:rFonts w:ascii="Times New Roman"/>
                <w:sz w:val="14"/>
              </w:rPr>
            </w:pPr>
          </w:p>
        </w:tc>
        <w:tc>
          <w:tcPr>
            <w:tcW w:w="6532" w:type="dxa"/>
            <w:vMerge w:val="restart"/>
          </w:tcPr>
          <w:p>
            <w:pPr>
              <w:pStyle w:val="20"/>
              <w:spacing w:before="105"/>
              <w:ind w:left="27"/>
              <w:jc w:val="both"/>
              <w:rPr>
                <w:sz w:val="14"/>
              </w:rPr>
            </w:pPr>
            <w:r>
              <w:rPr>
                <w:w w:val="105"/>
                <w:sz w:val="14"/>
              </w:rPr>
              <w:t>【部门规章】《水行政许可实施办法》（水利部令第23号）</w:t>
            </w:r>
          </w:p>
          <w:p>
            <w:pPr>
              <w:pStyle w:val="20"/>
              <w:spacing w:before="8" w:line="247" w:lineRule="auto"/>
              <w:ind w:left="27"/>
              <w:jc w:val="both"/>
              <w:rPr>
                <w:sz w:val="14"/>
              </w:rPr>
            </w:pPr>
            <w:r>
              <w:rPr>
                <w:w w:val="105"/>
                <w:sz w:val="14"/>
              </w:rPr>
              <w:t>第二十九条 法律、法规、规章规定实施水行政许可应当听证的事项 ，或者水行政许可实施机关认为需要听证的其他涉及公共利益的重大水行政许可事项，水行政许可实施机关应当向社会公告，并举行听证。</w:t>
            </w:r>
          </w:p>
          <w:p>
            <w:pPr>
              <w:pStyle w:val="20"/>
              <w:spacing w:before="2" w:line="249" w:lineRule="auto"/>
              <w:ind w:left="27" w:right="24" w:firstLine="312"/>
              <w:jc w:val="both"/>
              <w:rPr>
                <w:sz w:val="14"/>
              </w:rPr>
            </w:pPr>
            <w:r>
              <w:rPr>
                <w:w w:val="105"/>
                <w:sz w:val="14"/>
              </w:rPr>
              <w:t>水行政许可直接涉及申请人与他人之间重大利益关系的 ，水行政许可实施机关在作出水行政许可决定前，应当制作《水行政许可听证告知书》，告知申请人、利害关系人享有要求听证的权利。</w:t>
            </w:r>
          </w:p>
          <w:p>
            <w:pPr>
              <w:pStyle w:val="20"/>
              <w:spacing w:before="3"/>
              <w:ind w:left="329"/>
              <w:jc w:val="both"/>
              <w:rPr>
                <w:sz w:val="14"/>
              </w:rPr>
            </w:pPr>
            <w:r>
              <w:rPr>
                <w:w w:val="105"/>
                <w:sz w:val="14"/>
              </w:rPr>
              <w:t>水行政许可听证的具体规定由国务院水行政主管部门另行制定。</w:t>
            </w:r>
          </w:p>
          <w:p>
            <w:pPr>
              <w:pStyle w:val="20"/>
              <w:spacing w:before="7"/>
              <w:ind w:left="27"/>
              <w:jc w:val="both"/>
              <w:rPr>
                <w:sz w:val="14"/>
              </w:rPr>
            </w:pPr>
            <w:r>
              <w:rPr>
                <w:w w:val="105"/>
                <w:sz w:val="14"/>
              </w:rPr>
              <w:t>【部门规章】《水行政许可听证规定》（水利部令第27号）</w:t>
            </w:r>
          </w:p>
          <w:p>
            <w:pPr>
              <w:pStyle w:val="20"/>
              <w:spacing w:before="8" w:line="249" w:lineRule="auto"/>
              <w:ind w:left="27" w:right="5"/>
              <w:jc w:val="both"/>
              <w:rPr>
                <w:w w:val="105"/>
                <w:sz w:val="14"/>
              </w:rPr>
            </w:pPr>
            <w:r>
              <w:rPr>
                <w:w w:val="105"/>
                <w:sz w:val="14"/>
              </w:rPr>
              <w:t>第五条 水行政许可事项直接涉及申请人与他人之间重大利益关系的，水行政许可实施机关在作出水行政许可决定前，应当制作听证告知书，告知申请人、利害关系人享有要求听证的权利；申请人或者利害关系人在被告知听证权利之日起五日内要求听证的，应当提交听证申请书；逾期不申请的，视为放弃听证。</w:t>
            </w:r>
          </w:p>
          <w:p>
            <w:pPr>
              <w:pStyle w:val="20"/>
              <w:spacing w:before="8" w:line="249" w:lineRule="auto"/>
              <w:ind w:left="27" w:right="5"/>
              <w:jc w:val="both"/>
              <w:rPr>
                <w:sz w:val="14"/>
              </w:rPr>
            </w:pPr>
            <w:r>
              <w:rPr>
                <w:w w:val="105"/>
                <w:sz w:val="14"/>
              </w:rPr>
              <w:t>第六条 水行政许可实施机关收到听证申请后，应当在五日内对申请材料进行审查。申请材料不齐备的，应当一次告知申请人、利害关系人需要补正的全部内容；申请材料符合形式和内容要求的，应当自收到申请材料之日起二十日内组织听证。</w:t>
            </w:r>
          </w:p>
        </w:tc>
        <w:tc>
          <w:tcPr>
            <w:tcW w:w="1790" w:type="dxa"/>
            <w:tcBorders>
              <w:bottom w:val="nil"/>
            </w:tcBorders>
          </w:tcPr>
          <w:p>
            <w:pPr>
              <w:pStyle w:val="20"/>
              <w:rPr>
                <w:rFonts w:ascii="Times New Roman"/>
                <w:sz w:val="14"/>
              </w:rPr>
            </w:pPr>
          </w:p>
        </w:tc>
        <w:tc>
          <w:tcPr>
            <w:tcW w:w="1203" w:type="dxa"/>
            <w:tcBorders>
              <w:bottom w:val="nil"/>
            </w:tcBorders>
          </w:tcPr>
          <w:p>
            <w:pPr>
              <w:pStyle w:val="20"/>
              <w:rPr>
                <w:rFonts w:ascii="Times New Roman"/>
                <w:sz w:val="14"/>
              </w:rPr>
            </w:pPr>
          </w:p>
        </w:tc>
        <w:tc>
          <w:tcPr>
            <w:tcW w:w="911" w:type="dxa"/>
            <w:vMerge w:val="continue"/>
            <w:tcBorders>
              <w:top w:val="nil"/>
              <w:bottom w:val="nil"/>
            </w:tcBorders>
          </w:tcPr>
          <w:p>
            <w:pPr>
              <w:rPr>
                <w:sz w:val="2"/>
                <w:szCs w:val="2"/>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93" w:hRule="atLeast"/>
          <w:jc w:val="center"/>
        </w:trPr>
        <w:tc>
          <w:tcPr>
            <w:tcW w:w="350" w:type="dxa"/>
            <w:tcBorders>
              <w:top w:val="nil"/>
              <w:bottom w:val="nil"/>
            </w:tcBorders>
          </w:tcPr>
          <w:p>
            <w:pPr>
              <w:pStyle w:val="20"/>
              <w:jc w:val="both"/>
              <w:rPr>
                <w:rFonts w:hint="default" w:ascii="Times New Roman" w:eastAsia="宋体"/>
                <w:sz w:val="14"/>
                <w:lang w:val="en-US" w:eastAsia="zh-CN"/>
              </w:rPr>
            </w:pPr>
          </w:p>
        </w:tc>
        <w:tc>
          <w:tcPr>
            <w:tcW w:w="830" w:type="dxa"/>
            <w:tcBorders>
              <w:top w:val="nil"/>
              <w:bottom w:val="nil"/>
            </w:tcBorders>
          </w:tcPr>
          <w:p>
            <w:pPr>
              <w:pStyle w:val="20"/>
              <w:rPr>
                <w:rFonts w:ascii="Times New Roman"/>
                <w:sz w:val="14"/>
              </w:rPr>
            </w:pPr>
          </w:p>
        </w:tc>
        <w:tc>
          <w:tcPr>
            <w:tcW w:w="1166" w:type="dxa"/>
            <w:vMerge w:val="continue"/>
            <w:tcBorders>
              <w:top w:val="nil"/>
            </w:tcBorders>
          </w:tcPr>
          <w:p>
            <w:pPr>
              <w:rPr>
                <w:sz w:val="2"/>
                <w:szCs w:val="2"/>
                <w:lang w:eastAsia="zh-CN"/>
              </w:rPr>
            </w:pPr>
          </w:p>
        </w:tc>
        <w:tc>
          <w:tcPr>
            <w:tcW w:w="1262" w:type="dxa"/>
            <w:tcBorders>
              <w:top w:val="nil"/>
              <w:bottom w:val="nil"/>
            </w:tcBorders>
          </w:tcPr>
          <w:p>
            <w:pPr>
              <w:pStyle w:val="20"/>
              <w:rPr>
                <w:rFonts w:ascii="Times New Roman"/>
                <w:sz w:val="14"/>
              </w:rPr>
            </w:pPr>
          </w:p>
        </w:tc>
        <w:tc>
          <w:tcPr>
            <w:tcW w:w="6532" w:type="dxa"/>
            <w:vMerge w:val="continue"/>
            <w:tcBorders>
              <w:top w:val="nil"/>
            </w:tcBorders>
          </w:tcPr>
          <w:p>
            <w:pPr>
              <w:rPr>
                <w:sz w:val="2"/>
                <w:szCs w:val="2"/>
                <w:lang w:eastAsia="zh-CN"/>
              </w:rPr>
            </w:pPr>
          </w:p>
        </w:tc>
        <w:tc>
          <w:tcPr>
            <w:tcW w:w="1790" w:type="dxa"/>
            <w:tcBorders>
              <w:top w:val="nil"/>
              <w:bottom w:val="nil"/>
            </w:tcBorders>
          </w:tcPr>
          <w:p>
            <w:pPr>
              <w:pStyle w:val="20"/>
              <w:rPr>
                <w:rFonts w:ascii="Times New Roman"/>
                <w:sz w:val="14"/>
              </w:rPr>
            </w:pPr>
          </w:p>
        </w:tc>
        <w:tc>
          <w:tcPr>
            <w:tcW w:w="1203" w:type="dxa"/>
            <w:tcBorders>
              <w:top w:val="nil"/>
              <w:bottom w:val="nil"/>
            </w:tcBorders>
          </w:tcPr>
          <w:p>
            <w:pPr>
              <w:pStyle w:val="20"/>
              <w:rPr>
                <w:color w:val="000000" w:themeColor="text1"/>
                <w:w w:val="105"/>
                <w:sz w:val="14"/>
              </w:rPr>
            </w:pPr>
          </w:p>
          <w:p>
            <w:pPr>
              <w:pStyle w:val="20"/>
              <w:rPr>
                <w:color w:val="000000" w:themeColor="text1"/>
                <w:w w:val="105"/>
                <w:sz w:val="14"/>
              </w:rPr>
            </w:pPr>
          </w:p>
          <w:p>
            <w:pPr>
              <w:pStyle w:val="20"/>
              <w:rPr>
                <w:color w:val="000000" w:themeColor="text1"/>
                <w:w w:val="105"/>
                <w:sz w:val="14"/>
              </w:rPr>
            </w:pPr>
          </w:p>
          <w:p>
            <w:pPr>
              <w:pStyle w:val="20"/>
              <w:spacing w:line="151" w:lineRule="exact"/>
              <w:ind w:right="294"/>
              <w:jc w:val="right"/>
              <w:rPr>
                <w:color w:val="000000" w:themeColor="text1"/>
                <w:w w:val="105"/>
                <w:sz w:val="14"/>
              </w:rPr>
            </w:pPr>
            <w:r>
              <w:rPr>
                <w:color w:val="000000" w:themeColor="text1"/>
                <w:w w:val="105"/>
                <w:sz w:val="14"/>
              </w:rPr>
              <w:t>法定时限：25</w:t>
            </w:r>
          </w:p>
        </w:tc>
        <w:tc>
          <w:tcPr>
            <w:tcW w:w="911" w:type="dxa"/>
            <w:tcBorders>
              <w:top w:val="nil"/>
              <w:bottom w:val="nil"/>
            </w:tcBorders>
          </w:tcPr>
          <w:p>
            <w:pPr>
              <w:pStyle w:val="2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9" w:hRule="atLeast"/>
          <w:jc w:val="center"/>
        </w:trPr>
        <w:tc>
          <w:tcPr>
            <w:tcW w:w="350" w:type="dxa"/>
            <w:tcBorders>
              <w:top w:val="nil"/>
              <w:bottom w:val="nil"/>
            </w:tcBorders>
          </w:tcPr>
          <w:p>
            <w:pPr>
              <w:pStyle w:val="20"/>
              <w:rPr>
                <w:rFonts w:ascii="Times New Roman"/>
                <w:sz w:val="10"/>
              </w:rPr>
            </w:pPr>
          </w:p>
        </w:tc>
        <w:tc>
          <w:tcPr>
            <w:tcW w:w="830" w:type="dxa"/>
            <w:tcBorders>
              <w:top w:val="nil"/>
              <w:bottom w:val="nil"/>
            </w:tcBorders>
          </w:tcPr>
          <w:p>
            <w:pPr>
              <w:pStyle w:val="20"/>
              <w:rPr>
                <w:rFonts w:ascii="Times New Roman"/>
                <w:sz w:val="10"/>
              </w:rPr>
            </w:pPr>
          </w:p>
        </w:tc>
        <w:tc>
          <w:tcPr>
            <w:tcW w:w="1166" w:type="dxa"/>
            <w:vMerge w:val="continue"/>
            <w:tcBorders>
              <w:top w:val="nil"/>
            </w:tcBorders>
          </w:tcPr>
          <w:p>
            <w:pPr>
              <w:rPr>
                <w:sz w:val="2"/>
                <w:szCs w:val="2"/>
              </w:rPr>
            </w:pPr>
          </w:p>
        </w:tc>
        <w:tc>
          <w:tcPr>
            <w:tcW w:w="1262" w:type="dxa"/>
            <w:tcBorders>
              <w:top w:val="nil"/>
              <w:bottom w:val="nil"/>
            </w:tcBorders>
          </w:tcPr>
          <w:p>
            <w:pPr>
              <w:pStyle w:val="20"/>
              <w:spacing w:line="150" w:lineRule="exact"/>
              <w:ind w:left="32" w:right="7"/>
              <w:jc w:val="center"/>
              <w:rPr>
                <w:sz w:val="14"/>
              </w:rPr>
            </w:pPr>
            <w:r>
              <w:rPr>
                <w:w w:val="105"/>
                <w:sz w:val="14"/>
              </w:rPr>
              <w:t>听证</w:t>
            </w:r>
          </w:p>
        </w:tc>
        <w:tc>
          <w:tcPr>
            <w:tcW w:w="6532" w:type="dxa"/>
            <w:vMerge w:val="continue"/>
            <w:tcBorders>
              <w:top w:val="nil"/>
            </w:tcBorders>
          </w:tcPr>
          <w:p>
            <w:pPr>
              <w:rPr>
                <w:sz w:val="2"/>
                <w:szCs w:val="2"/>
              </w:rPr>
            </w:pPr>
          </w:p>
        </w:tc>
        <w:tc>
          <w:tcPr>
            <w:tcW w:w="1790" w:type="dxa"/>
            <w:tcBorders>
              <w:top w:val="nil"/>
              <w:bottom w:val="nil"/>
            </w:tcBorders>
          </w:tcPr>
          <w:p>
            <w:pPr>
              <w:pStyle w:val="20"/>
              <w:spacing w:line="150" w:lineRule="exact"/>
              <w:ind w:left="28"/>
              <w:rPr>
                <w:sz w:val="14"/>
              </w:rPr>
            </w:pPr>
            <w:r>
              <w:rPr>
                <w:w w:val="105"/>
                <w:sz w:val="14"/>
              </w:rPr>
              <w:t>需要听证的项目。</w:t>
            </w:r>
          </w:p>
        </w:tc>
        <w:tc>
          <w:tcPr>
            <w:tcW w:w="1203" w:type="dxa"/>
            <w:tcBorders>
              <w:top w:val="nil"/>
              <w:bottom w:val="nil"/>
            </w:tcBorders>
          </w:tcPr>
          <w:p>
            <w:pPr>
              <w:pStyle w:val="20"/>
              <w:spacing w:line="150" w:lineRule="exact"/>
              <w:ind w:right="294"/>
              <w:jc w:val="right"/>
              <w:rPr>
                <w:color w:val="000000" w:themeColor="text1"/>
                <w:w w:val="105"/>
                <w:sz w:val="14"/>
              </w:rPr>
            </w:pPr>
            <w:r>
              <w:rPr>
                <w:rFonts w:hint="eastAsia"/>
                <w:color w:val="000000" w:themeColor="text1"/>
                <w:w w:val="105"/>
                <w:sz w:val="14"/>
              </w:rPr>
              <w:t>承诺时限：</w:t>
            </w:r>
            <w:r>
              <w:rPr>
                <w:color w:val="000000" w:themeColor="text1"/>
                <w:w w:val="105"/>
                <w:sz w:val="14"/>
              </w:rPr>
              <w:t>10</w:t>
            </w:r>
          </w:p>
        </w:tc>
        <w:tc>
          <w:tcPr>
            <w:tcW w:w="911" w:type="dxa"/>
            <w:tcBorders>
              <w:top w:val="nil"/>
              <w:bottom w:val="nil"/>
            </w:tcBorders>
          </w:tcPr>
          <w:p>
            <w:pPr>
              <w:pStyle w:val="20"/>
              <w:rPr>
                <w:rFonts w:ascii="Times New Roman"/>
                <w:sz w:val="1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472" w:hRule="atLeast"/>
          <w:jc w:val="center"/>
        </w:trPr>
        <w:tc>
          <w:tcPr>
            <w:tcW w:w="350" w:type="dxa"/>
            <w:tcBorders>
              <w:top w:val="nil"/>
            </w:tcBorders>
          </w:tcPr>
          <w:p>
            <w:pPr>
              <w:pStyle w:val="20"/>
              <w:rPr>
                <w:rFonts w:ascii="Times New Roman"/>
                <w:sz w:val="14"/>
              </w:rPr>
            </w:pPr>
          </w:p>
        </w:tc>
        <w:tc>
          <w:tcPr>
            <w:tcW w:w="830" w:type="dxa"/>
            <w:tcBorders>
              <w:top w:val="nil"/>
            </w:tcBorders>
          </w:tcPr>
          <w:p>
            <w:pPr>
              <w:pStyle w:val="20"/>
              <w:rPr>
                <w:rFonts w:ascii="Times New Roman"/>
                <w:sz w:val="14"/>
              </w:rPr>
            </w:pPr>
          </w:p>
        </w:tc>
        <w:tc>
          <w:tcPr>
            <w:tcW w:w="1166" w:type="dxa"/>
            <w:vMerge w:val="continue"/>
            <w:tcBorders>
              <w:top w:val="nil"/>
            </w:tcBorders>
          </w:tcPr>
          <w:p>
            <w:pPr>
              <w:rPr>
                <w:sz w:val="2"/>
                <w:szCs w:val="2"/>
              </w:rPr>
            </w:pPr>
          </w:p>
        </w:tc>
        <w:tc>
          <w:tcPr>
            <w:tcW w:w="1262" w:type="dxa"/>
            <w:tcBorders>
              <w:top w:val="nil"/>
            </w:tcBorders>
          </w:tcPr>
          <w:p>
            <w:pPr>
              <w:pStyle w:val="20"/>
              <w:rPr>
                <w:rFonts w:ascii="Times New Roman"/>
                <w:sz w:val="14"/>
              </w:rPr>
            </w:pPr>
          </w:p>
        </w:tc>
        <w:tc>
          <w:tcPr>
            <w:tcW w:w="6532" w:type="dxa"/>
            <w:vMerge w:val="continue"/>
            <w:tcBorders>
              <w:top w:val="nil"/>
            </w:tcBorders>
          </w:tcPr>
          <w:p>
            <w:pPr>
              <w:rPr>
                <w:sz w:val="2"/>
                <w:szCs w:val="2"/>
              </w:rPr>
            </w:pPr>
          </w:p>
        </w:tc>
        <w:tc>
          <w:tcPr>
            <w:tcW w:w="1790" w:type="dxa"/>
            <w:tcBorders>
              <w:top w:val="nil"/>
            </w:tcBorders>
          </w:tcPr>
          <w:p>
            <w:pPr>
              <w:pStyle w:val="20"/>
              <w:rPr>
                <w:rFonts w:ascii="Times New Roman"/>
                <w:sz w:val="14"/>
              </w:rPr>
            </w:pPr>
          </w:p>
        </w:tc>
        <w:tc>
          <w:tcPr>
            <w:tcW w:w="1203" w:type="dxa"/>
            <w:tcBorders>
              <w:top w:val="nil"/>
            </w:tcBorders>
          </w:tcPr>
          <w:p>
            <w:pPr>
              <w:pStyle w:val="20"/>
              <w:spacing w:line="178" w:lineRule="exact"/>
              <w:ind w:left="41" w:right="15"/>
              <w:jc w:val="center"/>
              <w:rPr>
                <w:color w:val="000000" w:themeColor="text1"/>
                <w:w w:val="105"/>
                <w:sz w:val="14"/>
              </w:rPr>
            </w:pPr>
          </w:p>
        </w:tc>
        <w:tc>
          <w:tcPr>
            <w:tcW w:w="911" w:type="dxa"/>
            <w:tcBorders>
              <w:top w:val="nil"/>
            </w:tcBorders>
          </w:tcPr>
          <w:p>
            <w:pPr>
              <w:pStyle w:val="20"/>
              <w:rPr>
                <w:rFonts w:ascii="Times New Roman"/>
                <w:sz w:val="1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44" w:hRule="atLeast"/>
          <w:jc w:val="center"/>
        </w:trPr>
        <w:tc>
          <w:tcPr>
            <w:tcW w:w="350" w:type="dxa"/>
          </w:tcPr>
          <w:p>
            <w:pPr>
              <w:pStyle w:val="20"/>
              <w:rPr>
                <w:sz w:val="14"/>
              </w:rPr>
            </w:pPr>
          </w:p>
          <w:p>
            <w:pPr>
              <w:pStyle w:val="20"/>
              <w:spacing w:before="4"/>
              <w:rPr>
                <w:sz w:val="13"/>
              </w:rPr>
            </w:pPr>
          </w:p>
          <w:p>
            <w:pPr>
              <w:pStyle w:val="20"/>
              <w:ind w:left="28"/>
              <w:jc w:val="center"/>
              <w:rPr>
                <w:rFonts w:hint="default" w:eastAsia="宋体"/>
                <w:sz w:val="14"/>
                <w:lang w:val="en-US" w:eastAsia="zh-CN"/>
              </w:rPr>
            </w:pPr>
            <w:r>
              <w:rPr>
                <w:rFonts w:hint="eastAsia"/>
                <w:w w:val="105"/>
                <w:sz w:val="14"/>
                <w:lang w:val="en-US" w:eastAsia="zh-CN"/>
              </w:rPr>
              <w:t>26</w:t>
            </w:r>
          </w:p>
        </w:tc>
        <w:tc>
          <w:tcPr>
            <w:tcW w:w="830" w:type="dxa"/>
          </w:tcPr>
          <w:p>
            <w:pPr>
              <w:pStyle w:val="20"/>
              <w:spacing w:before="9"/>
              <w:rPr>
                <w:color w:val="000000" w:themeColor="text1"/>
                <w:sz w:val="12"/>
              </w:rPr>
            </w:pPr>
          </w:p>
          <w:p>
            <w:pPr>
              <w:pStyle w:val="20"/>
              <w:spacing w:line="249" w:lineRule="auto"/>
              <w:ind w:left="40" w:right="28"/>
              <w:jc w:val="center"/>
              <w:rPr>
                <w:color w:val="000000" w:themeColor="text1"/>
                <w:sz w:val="14"/>
              </w:rPr>
            </w:pPr>
            <w:r>
              <w:rPr>
                <w:color w:val="000000" w:themeColor="text1"/>
                <w:w w:val="105"/>
                <w:sz w:val="14"/>
              </w:rPr>
              <w:t>航道通航条件影响评价审核</w:t>
            </w:r>
          </w:p>
        </w:tc>
        <w:tc>
          <w:tcPr>
            <w:tcW w:w="1166" w:type="dxa"/>
          </w:tcPr>
          <w:p>
            <w:pPr>
              <w:pStyle w:val="20"/>
              <w:spacing w:before="9"/>
              <w:rPr>
                <w:color w:val="000000" w:themeColor="text1"/>
                <w:sz w:val="12"/>
              </w:rPr>
            </w:pPr>
          </w:p>
          <w:p>
            <w:pPr>
              <w:pStyle w:val="20"/>
              <w:spacing w:line="249" w:lineRule="auto"/>
              <w:ind w:left="27" w:right="79"/>
              <w:rPr>
                <w:color w:val="000000" w:themeColor="text1"/>
                <w:sz w:val="14"/>
              </w:rPr>
            </w:pPr>
            <w:r>
              <w:rPr>
                <w:color w:val="000000" w:themeColor="text1"/>
                <w:w w:val="105"/>
                <w:sz w:val="14"/>
              </w:rPr>
              <w:t>航道通航条件影响评价审核（</w:t>
            </w:r>
            <w:r>
              <w:rPr>
                <w:rFonts w:hint="eastAsia"/>
                <w:color w:val="000000" w:themeColor="text1"/>
                <w:w w:val="105"/>
                <w:sz w:val="14"/>
                <w:lang w:val="en-US"/>
              </w:rPr>
              <w:t>2</w:t>
            </w:r>
            <w:r>
              <w:rPr>
                <w:color w:val="000000" w:themeColor="text1"/>
                <w:w w:val="105"/>
                <w:sz w:val="14"/>
              </w:rPr>
              <w:t>日）</w:t>
            </w:r>
          </w:p>
        </w:tc>
        <w:tc>
          <w:tcPr>
            <w:tcW w:w="1262" w:type="dxa"/>
          </w:tcPr>
          <w:p>
            <w:pPr>
              <w:pStyle w:val="20"/>
              <w:rPr>
                <w:color w:val="000000" w:themeColor="text1"/>
                <w:sz w:val="14"/>
              </w:rPr>
            </w:pPr>
          </w:p>
          <w:p>
            <w:pPr>
              <w:pStyle w:val="20"/>
              <w:spacing w:before="4"/>
              <w:rPr>
                <w:color w:val="000000" w:themeColor="text1"/>
                <w:sz w:val="13"/>
              </w:rPr>
            </w:pPr>
          </w:p>
          <w:p>
            <w:pPr>
              <w:pStyle w:val="20"/>
              <w:ind w:left="32" w:right="20"/>
              <w:jc w:val="center"/>
              <w:rPr>
                <w:color w:val="000000" w:themeColor="text1"/>
                <w:sz w:val="14"/>
              </w:rPr>
            </w:pPr>
            <w:r>
              <w:rPr>
                <w:color w:val="000000" w:themeColor="text1"/>
                <w:w w:val="105"/>
                <w:sz w:val="14"/>
              </w:rPr>
              <w:t>第三方技术咨询</w:t>
            </w:r>
          </w:p>
        </w:tc>
        <w:tc>
          <w:tcPr>
            <w:tcW w:w="6532" w:type="dxa"/>
          </w:tcPr>
          <w:p>
            <w:pPr>
              <w:pStyle w:val="20"/>
              <w:spacing w:before="9"/>
              <w:rPr>
                <w:color w:val="000000" w:themeColor="text1"/>
                <w:sz w:val="12"/>
              </w:rPr>
            </w:pPr>
          </w:p>
          <w:p>
            <w:pPr>
              <w:pStyle w:val="20"/>
              <w:spacing w:line="249" w:lineRule="auto"/>
              <w:ind w:left="27" w:right="164"/>
              <w:rPr>
                <w:color w:val="000000" w:themeColor="text1"/>
                <w:w w:val="105"/>
                <w:sz w:val="14"/>
              </w:rPr>
            </w:pPr>
            <w:r>
              <w:rPr>
                <w:color w:val="000000" w:themeColor="text1"/>
                <w:w w:val="105"/>
                <w:sz w:val="14"/>
              </w:rPr>
              <w:t xml:space="preserve">【部门规章】《航道通航条件影响评价审核管理办法》第十五条   </w:t>
            </w:r>
          </w:p>
          <w:p>
            <w:pPr>
              <w:pStyle w:val="20"/>
              <w:spacing w:line="249" w:lineRule="auto"/>
              <w:ind w:left="27" w:right="164"/>
              <w:rPr>
                <w:color w:val="000000" w:themeColor="text1"/>
                <w:sz w:val="14"/>
              </w:rPr>
            </w:pPr>
            <w:r>
              <w:rPr>
                <w:color w:val="000000" w:themeColor="text1"/>
                <w:w w:val="105"/>
                <w:sz w:val="14"/>
              </w:rPr>
              <w:t>审核部门在审核中认为必要的，可以采取专家咨询、委托第三方技术咨询机构开展技术咨询等方式。咨询费用由审核部门按照国家有关规定纳入部门预算管理。</w:t>
            </w:r>
          </w:p>
        </w:tc>
        <w:tc>
          <w:tcPr>
            <w:tcW w:w="1790" w:type="dxa"/>
          </w:tcPr>
          <w:p>
            <w:pPr>
              <w:pStyle w:val="20"/>
              <w:spacing w:before="10"/>
              <w:rPr>
                <w:color w:val="000000" w:themeColor="text1"/>
                <w:sz w:val="19"/>
              </w:rPr>
            </w:pPr>
          </w:p>
          <w:p>
            <w:pPr>
              <w:pStyle w:val="20"/>
              <w:spacing w:line="252" w:lineRule="auto"/>
              <w:ind w:left="28" w:right="21"/>
              <w:rPr>
                <w:color w:val="000000" w:themeColor="text1"/>
                <w:sz w:val="14"/>
              </w:rPr>
            </w:pPr>
            <w:r>
              <w:rPr>
                <w:color w:val="000000" w:themeColor="text1"/>
                <w:w w:val="105"/>
                <w:sz w:val="14"/>
              </w:rPr>
              <w:t>审核部门在审核中认为必要的。</w:t>
            </w:r>
          </w:p>
        </w:tc>
        <w:tc>
          <w:tcPr>
            <w:tcW w:w="1203" w:type="dxa"/>
            <w:vAlign w:val="center"/>
          </w:tcPr>
          <w:p>
            <w:pPr>
              <w:pStyle w:val="20"/>
              <w:spacing w:line="252" w:lineRule="auto"/>
              <w:jc w:val="both"/>
              <w:rPr>
                <w:color w:val="000000" w:themeColor="text1"/>
                <w:sz w:val="14"/>
              </w:rPr>
            </w:pPr>
            <w:r>
              <w:rPr>
                <w:color w:val="000000" w:themeColor="text1"/>
                <w:w w:val="105"/>
                <w:sz w:val="14"/>
              </w:rPr>
              <w:t>承诺时限：</w:t>
            </w:r>
            <w:r>
              <w:rPr>
                <w:rFonts w:hint="eastAsia"/>
                <w:color w:val="000000" w:themeColor="text1"/>
                <w:w w:val="105"/>
                <w:sz w:val="14"/>
                <w:lang w:val="en-US"/>
              </w:rPr>
              <w:t>18（不含西海岸新区）</w:t>
            </w:r>
          </w:p>
        </w:tc>
        <w:tc>
          <w:tcPr>
            <w:tcW w:w="911" w:type="dxa"/>
          </w:tcPr>
          <w:p>
            <w:pPr>
              <w:pStyle w:val="20"/>
              <w:spacing w:before="10"/>
              <w:rPr>
                <w:color w:val="000000" w:themeColor="text1"/>
                <w:sz w:val="19"/>
              </w:rPr>
            </w:pPr>
          </w:p>
          <w:p>
            <w:pPr>
              <w:pStyle w:val="20"/>
              <w:spacing w:line="252" w:lineRule="auto"/>
              <w:rPr>
                <w:color w:val="000000" w:themeColor="text1"/>
                <w:sz w:val="14"/>
              </w:rPr>
            </w:pPr>
            <w:r>
              <w:rPr>
                <w:rFonts w:hint="eastAsia"/>
                <w:color w:val="000000" w:themeColor="text1"/>
                <w:w w:val="105"/>
                <w:sz w:val="14"/>
              </w:rPr>
              <w:t>区</w:t>
            </w:r>
            <w:r>
              <w:rPr>
                <w:color w:val="000000" w:themeColor="text1"/>
                <w:w w:val="105"/>
                <w:sz w:val="14"/>
              </w:rPr>
              <w:t>交通</w:t>
            </w:r>
            <w:r>
              <w:rPr>
                <w:color w:val="000000" w:themeColor="text1"/>
                <w:sz w:val="14"/>
              </w:rPr>
              <w:t>运输</w:t>
            </w:r>
            <w:r>
              <w:rPr>
                <w:color w:val="000000" w:themeColor="text1"/>
                <w:w w:val="105"/>
                <w:sz w:val="14"/>
              </w:rPr>
              <w:t>局</w:t>
            </w:r>
          </w:p>
        </w:tc>
      </w:tr>
    </w:tbl>
    <w:p>
      <w:pPr>
        <w:spacing w:line="252" w:lineRule="auto"/>
        <w:rPr>
          <w:sz w:val="14"/>
          <w:lang w:eastAsia="zh-CN"/>
        </w:rPr>
        <w:sectPr>
          <w:pgSz w:w="16840" w:h="11910" w:orient="landscape"/>
          <w:pgMar w:top="1000" w:right="980" w:bottom="1140" w:left="980" w:header="0" w:footer="72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166"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62"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3"/>
              <w:rPr>
                <w:sz w:val="20"/>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vAlign w:val="center"/>
          </w:tcPr>
          <w:p>
            <w:pPr>
              <w:pStyle w:val="20"/>
              <w:spacing w:before="3"/>
              <w:jc w:val="center"/>
              <w:rPr>
                <w:sz w:val="20"/>
              </w:rPr>
            </w:pPr>
          </w:p>
          <w:p>
            <w:pPr>
              <w:pStyle w:val="20"/>
              <w:spacing w:line="242" w:lineRule="auto"/>
              <w:ind w:left="391" w:right="61" w:hanging="303"/>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4"/>
              <w:rPr>
                <w:sz w:val="13"/>
              </w:rPr>
            </w:pPr>
          </w:p>
          <w:p>
            <w:pPr>
              <w:pStyle w:val="20"/>
              <w:ind w:left="28"/>
              <w:jc w:val="center"/>
              <w:rPr>
                <w:rFonts w:hint="eastAsia" w:eastAsia="宋体"/>
                <w:sz w:val="14"/>
                <w:lang w:eastAsia="zh-CN"/>
              </w:rPr>
            </w:pPr>
            <w:r>
              <w:rPr>
                <w:rFonts w:hint="eastAsia"/>
                <w:w w:val="105"/>
                <w:sz w:val="14"/>
                <w:lang w:val="en-US" w:eastAsia="zh-CN"/>
              </w:rPr>
              <w:t>27</w:t>
            </w:r>
          </w:p>
        </w:tc>
        <w:tc>
          <w:tcPr>
            <w:tcW w:w="830" w:type="dxa"/>
          </w:tcPr>
          <w:p>
            <w:pPr>
              <w:pStyle w:val="20"/>
              <w:spacing w:before="9"/>
              <w:rPr>
                <w:color w:val="000000" w:themeColor="text1"/>
                <w:sz w:val="12"/>
              </w:rPr>
            </w:pPr>
          </w:p>
          <w:p>
            <w:pPr>
              <w:pStyle w:val="20"/>
              <w:spacing w:line="249" w:lineRule="auto"/>
              <w:ind w:left="40" w:right="28"/>
              <w:jc w:val="center"/>
              <w:rPr>
                <w:color w:val="000000" w:themeColor="text1"/>
                <w:sz w:val="14"/>
              </w:rPr>
            </w:pPr>
            <w:r>
              <w:rPr>
                <w:color w:val="000000" w:themeColor="text1"/>
                <w:w w:val="105"/>
                <w:sz w:val="14"/>
              </w:rPr>
              <w:t>公路建设项目设计文件审批</w:t>
            </w:r>
          </w:p>
        </w:tc>
        <w:tc>
          <w:tcPr>
            <w:tcW w:w="1166" w:type="dxa"/>
          </w:tcPr>
          <w:p>
            <w:pPr>
              <w:pStyle w:val="20"/>
              <w:spacing w:before="9"/>
              <w:rPr>
                <w:color w:val="000000" w:themeColor="text1"/>
                <w:sz w:val="12"/>
              </w:rPr>
            </w:pPr>
          </w:p>
          <w:p>
            <w:pPr>
              <w:pStyle w:val="20"/>
              <w:spacing w:line="249" w:lineRule="auto"/>
              <w:ind w:left="27" w:right="79"/>
              <w:rPr>
                <w:color w:val="000000" w:themeColor="text1"/>
                <w:sz w:val="14"/>
              </w:rPr>
            </w:pPr>
            <w:r>
              <w:rPr>
                <w:color w:val="000000" w:themeColor="text1"/>
                <w:w w:val="105"/>
                <w:sz w:val="14"/>
              </w:rPr>
              <w:t>公路建设项目设计文件审批（</w:t>
            </w:r>
            <w:r>
              <w:rPr>
                <w:color w:val="000000" w:themeColor="text1"/>
                <w:w w:val="105"/>
                <w:sz w:val="14"/>
                <w:lang w:val="en"/>
              </w:rPr>
              <w:t>2</w:t>
            </w:r>
            <w:r>
              <w:rPr>
                <w:color w:val="000000" w:themeColor="text1"/>
                <w:w w:val="105"/>
                <w:sz w:val="14"/>
              </w:rPr>
              <w:t>日）</w:t>
            </w:r>
          </w:p>
        </w:tc>
        <w:tc>
          <w:tcPr>
            <w:tcW w:w="1262" w:type="dxa"/>
          </w:tcPr>
          <w:p>
            <w:pPr>
              <w:pStyle w:val="20"/>
              <w:rPr>
                <w:color w:val="000000" w:themeColor="text1"/>
                <w:sz w:val="14"/>
              </w:rPr>
            </w:pPr>
          </w:p>
          <w:p>
            <w:pPr>
              <w:pStyle w:val="20"/>
              <w:spacing w:before="4"/>
              <w:rPr>
                <w:color w:val="000000" w:themeColor="text1"/>
                <w:sz w:val="13"/>
              </w:rPr>
            </w:pPr>
          </w:p>
          <w:p>
            <w:pPr>
              <w:pStyle w:val="20"/>
              <w:ind w:left="20"/>
              <w:jc w:val="center"/>
              <w:rPr>
                <w:color w:val="000000" w:themeColor="text1"/>
                <w:sz w:val="14"/>
              </w:rPr>
            </w:pPr>
            <w:r>
              <w:rPr>
                <w:rFonts w:hint="eastAsia"/>
                <w:color w:val="000000" w:themeColor="text1"/>
                <w:w w:val="104"/>
                <w:sz w:val="14"/>
              </w:rPr>
              <w:t>技术审查</w:t>
            </w:r>
          </w:p>
        </w:tc>
        <w:tc>
          <w:tcPr>
            <w:tcW w:w="6532" w:type="dxa"/>
          </w:tcPr>
          <w:p>
            <w:pPr>
              <w:pStyle w:val="20"/>
              <w:rPr>
                <w:color w:val="000000" w:themeColor="text1"/>
                <w:sz w:val="14"/>
              </w:rPr>
            </w:pPr>
          </w:p>
          <w:p>
            <w:pPr>
              <w:pStyle w:val="20"/>
              <w:ind w:left="24"/>
              <w:rPr>
                <w:color w:val="000000" w:themeColor="text1"/>
                <w:sz w:val="14"/>
                <w:lang w:val="en"/>
              </w:rPr>
            </w:pPr>
            <w:r>
              <w:rPr>
                <w:color w:val="000000" w:themeColor="text1"/>
                <w:w w:val="105"/>
                <w:sz w:val="14"/>
              </w:rPr>
              <w:t>【部门规章】</w:t>
            </w:r>
            <w:r>
              <w:rPr>
                <w:rFonts w:hint="eastAsia"/>
                <w:color w:val="000000" w:themeColor="text1"/>
                <w:sz w:val="14"/>
                <w:lang w:val="en"/>
              </w:rPr>
              <w:t>《山东省公路水运工程设计审查办法》</w:t>
            </w:r>
          </w:p>
          <w:p>
            <w:pPr>
              <w:pStyle w:val="20"/>
              <w:ind w:left="24"/>
              <w:rPr>
                <w:color w:val="000000" w:themeColor="text1"/>
                <w:sz w:val="14"/>
                <w:lang w:val="en-US"/>
              </w:rPr>
            </w:pPr>
            <w:r>
              <w:rPr>
                <w:rFonts w:hint="eastAsia"/>
                <w:color w:val="000000" w:themeColor="text1"/>
                <w:sz w:val="14"/>
                <w:lang w:val="en"/>
              </w:rPr>
              <w:t>第四章第二十九条</w:t>
            </w:r>
            <w:r>
              <w:rPr>
                <w:rFonts w:hint="eastAsia"/>
                <w:color w:val="000000" w:themeColor="text1"/>
                <w:sz w:val="14"/>
                <w:lang w:val="en-US"/>
              </w:rPr>
              <w:t xml:space="preserve"> 公路工程施工图设计审批部门受理施工图设计批复申请文件后，应及时安排组织项目相关单位召开设计文件审查会议，审查设计文件及相关资料。</w:t>
            </w:r>
          </w:p>
        </w:tc>
        <w:tc>
          <w:tcPr>
            <w:tcW w:w="1866" w:type="dxa"/>
          </w:tcPr>
          <w:p>
            <w:pPr>
              <w:pStyle w:val="20"/>
              <w:rPr>
                <w:color w:val="000000" w:themeColor="text1"/>
                <w:sz w:val="14"/>
              </w:rPr>
            </w:pPr>
          </w:p>
          <w:p>
            <w:pPr>
              <w:pStyle w:val="20"/>
              <w:spacing w:before="4"/>
              <w:rPr>
                <w:color w:val="000000" w:themeColor="text1"/>
                <w:sz w:val="13"/>
              </w:rPr>
            </w:pPr>
          </w:p>
          <w:p>
            <w:pPr>
              <w:pStyle w:val="20"/>
              <w:ind w:left="26"/>
              <w:jc w:val="center"/>
              <w:rPr>
                <w:color w:val="000000" w:themeColor="text1"/>
                <w:sz w:val="14"/>
              </w:rPr>
            </w:pPr>
            <w:r>
              <w:rPr>
                <w:color w:val="000000" w:themeColor="text1"/>
                <w:w w:val="104"/>
                <w:sz w:val="14"/>
              </w:rPr>
              <w:t>/</w:t>
            </w:r>
          </w:p>
        </w:tc>
        <w:tc>
          <w:tcPr>
            <w:tcW w:w="1127" w:type="dxa"/>
          </w:tcPr>
          <w:p>
            <w:pPr>
              <w:pStyle w:val="20"/>
              <w:rPr>
                <w:color w:val="000000" w:themeColor="text1"/>
                <w:sz w:val="14"/>
              </w:rPr>
            </w:pPr>
          </w:p>
          <w:p>
            <w:pPr>
              <w:pStyle w:val="20"/>
              <w:spacing w:before="4"/>
              <w:rPr>
                <w:color w:val="000000" w:themeColor="text1"/>
                <w:sz w:val="13"/>
              </w:rPr>
            </w:pPr>
          </w:p>
          <w:p>
            <w:pPr>
              <w:pStyle w:val="20"/>
              <w:rPr>
                <w:color w:val="000000" w:themeColor="text1"/>
                <w:sz w:val="14"/>
                <w:lang w:val="en"/>
              </w:rPr>
            </w:pPr>
            <w:r>
              <w:rPr>
                <w:color w:val="000000" w:themeColor="text1"/>
                <w:spacing w:val="-1"/>
                <w:w w:val="105"/>
                <w:sz w:val="14"/>
              </w:rPr>
              <w:t>承诺时限：</w:t>
            </w:r>
            <w:r>
              <w:rPr>
                <w:color w:val="000000" w:themeColor="text1"/>
                <w:w w:val="105"/>
                <w:sz w:val="14"/>
                <w:lang w:val="en"/>
              </w:rPr>
              <w:t>7</w:t>
            </w:r>
          </w:p>
        </w:tc>
        <w:tc>
          <w:tcPr>
            <w:tcW w:w="911" w:type="dxa"/>
            <w:vAlign w:val="center"/>
          </w:tcPr>
          <w:p>
            <w:pPr>
              <w:pStyle w:val="20"/>
              <w:spacing w:line="252" w:lineRule="auto"/>
              <w:jc w:val="both"/>
              <w:rPr>
                <w:color w:val="000000" w:themeColor="text1"/>
                <w:sz w:val="14"/>
              </w:rPr>
            </w:pPr>
            <w:r>
              <w:rPr>
                <w:rFonts w:hint="eastAsia"/>
                <w:color w:val="000000" w:themeColor="text1"/>
                <w:sz w:val="14"/>
              </w:rPr>
              <w:t>区</w:t>
            </w:r>
            <w:r>
              <w:rPr>
                <w:color w:val="000000" w:themeColor="text1"/>
                <w:sz w:val="14"/>
              </w:rPr>
              <w:t>交通运输局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801" w:hRule="atLeast"/>
          <w:jc w:val="center"/>
        </w:trPr>
        <w:tc>
          <w:tcPr>
            <w:tcW w:w="350" w:type="dxa"/>
          </w:tcPr>
          <w:p>
            <w:pPr>
              <w:pStyle w:val="20"/>
              <w:rPr>
                <w:sz w:val="14"/>
              </w:rPr>
            </w:pPr>
          </w:p>
          <w:p>
            <w:pPr>
              <w:pStyle w:val="20"/>
              <w:rPr>
                <w:sz w:val="14"/>
              </w:rPr>
            </w:pPr>
          </w:p>
          <w:p>
            <w:pPr>
              <w:pStyle w:val="20"/>
              <w:spacing w:before="3"/>
              <w:rPr>
                <w:sz w:val="20"/>
              </w:rPr>
            </w:pPr>
          </w:p>
          <w:p>
            <w:pPr>
              <w:pStyle w:val="20"/>
              <w:ind w:left="28"/>
              <w:jc w:val="center"/>
              <w:rPr>
                <w:rFonts w:hint="default" w:eastAsia="宋体"/>
                <w:color w:val="000000" w:themeColor="text1"/>
                <w:sz w:val="14"/>
                <w:lang w:val="en-US" w:eastAsia="zh-CN"/>
              </w:rPr>
            </w:pPr>
            <w:r>
              <w:rPr>
                <w:rFonts w:hint="eastAsia"/>
                <w:w w:val="105"/>
                <w:sz w:val="14"/>
                <w:lang w:val="en-US" w:eastAsia="zh-CN"/>
              </w:rPr>
              <w:t>28</w:t>
            </w:r>
          </w:p>
        </w:tc>
        <w:tc>
          <w:tcPr>
            <w:tcW w:w="830" w:type="dxa"/>
          </w:tcPr>
          <w:p>
            <w:pPr>
              <w:pStyle w:val="20"/>
              <w:rPr>
                <w:color w:val="000000" w:themeColor="text1"/>
                <w:sz w:val="14"/>
              </w:rPr>
            </w:pPr>
          </w:p>
          <w:p>
            <w:pPr>
              <w:pStyle w:val="20"/>
              <w:rPr>
                <w:color w:val="000000" w:themeColor="text1"/>
                <w:sz w:val="14"/>
              </w:rPr>
            </w:pPr>
          </w:p>
          <w:p>
            <w:pPr>
              <w:pStyle w:val="20"/>
              <w:spacing w:before="2"/>
              <w:rPr>
                <w:color w:val="000000" w:themeColor="text1"/>
                <w:sz w:val="13"/>
              </w:rPr>
            </w:pPr>
          </w:p>
          <w:p>
            <w:pPr>
              <w:pStyle w:val="20"/>
              <w:spacing w:line="252" w:lineRule="auto"/>
              <w:ind w:left="40" w:right="28"/>
              <w:rPr>
                <w:color w:val="000000" w:themeColor="text1"/>
                <w:sz w:val="14"/>
              </w:rPr>
            </w:pPr>
            <w:r>
              <w:rPr>
                <w:color w:val="000000" w:themeColor="text1"/>
                <w:w w:val="105"/>
                <w:sz w:val="14"/>
              </w:rPr>
              <w:t>公路建设项目竣工验收</w:t>
            </w:r>
          </w:p>
        </w:tc>
        <w:tc>
          <w:tcPr>
            <w:tcW w:w="1166" w:type="dxa"/>
          </w:tcPr>
          <w:p>
            <w:pPr>
              <w:pStyle w:val="20"/>
              <w:rPr>
                <w:color w:val="000000" w:themeColor="text1"/>
                <w:sz w:val="14"/>
              </w:rPr>
            </w:pPr>
          </w:p>
          <w:p>
            <w:pPr>
              <w:pStyle w:val="20"/>
              <w:spacing w:before="1"/>
              <w:rPr>
                <w:color w:val="000000" w:themeColor="text1"/>
                <w:sz w:val="20"/>
              </w:rPr>
            </w:pPr>
          </w:p>
          <w:p>
            <w:pPr>
              <w:pStyle w:val="20"/>
              <w:spacing w:line="242" w:lineRule="auto"/>
              <w:ind w:left="27" w:right="79"/>
              <w:rPr>
                <w:color w:val="000000" w:themeColor="text1"/>
                <w:sz w:val="14"/>
              </w:rPr>
            </w:pPr>
            <w:r>
              <w:rPr>
                <w:color w:val="000000" w:themeColor="text1"/>
                <w:w w:val="105"/>
                <w:sz w:val="14"/>
              </w:rPr>
              <w:t>公路建设项目竣工验收(</w:t>
            </w:r>
            <w:r>
              <w:rPr>
                <w:rFonts w:hint="eastAsia"/>
                <w:color w:val="000000" w:themeColor="text1"/>
                <w:w w:val="105"/>
                <w:sz w:val="14"/>
                <w:lang w:val="en-US"/>
              </w:rPr>
              <w:t>6</w:t>
            </w:r>
            <w:r>
              <w:rPr>
                <w:color w:val="000000" w:themeColor="text1"/>
                <w:w w:val="105"/>
                <w:sz w:val="14"/>
              </w:rPr>
              <w:t>日）</w:t>
            </w:r>
          </w:p>
        </w:tc>
        <w:tc>
          <w:tcPr>
            <w:tcW w:w="1262" w:type="dxa"/>
          </w:tcPr>
          <w:p>
            <w:pPr>
              <w:pStyle w:val="20"/>
              <w:rPr>
                <w:color w:val="000000" w:themeColor="text1"/>
                <w:sz w:val="14"/>
              </w:rPr>
            </w:pPr>
          </w:p>
          <w:p>
            <w:pPr>
              <w:pStyle w:val="20"/>
              <w:rPr>
                <w:color w:val="000000" w:themeColor="text1"/>
                <w:sz w:val="14"/>
              </w:rPr>
            </w:pPr>
          </w:p>
          <w:p>
            <w:pPr>
              <w:pStyle w:val="20"/>
              <w:spacing w:before="3"/>
              <w:rPr>
                <w:color w:val="000000" w:themeColor="text1"/>
                <w:sz w:val="20"/>
              </w:rPr>
            </w:pPr>
          </w:p>
          <w:p>
            <w:pPr>
              <w:pStyle w:val="20"/>
              <w:ind w:left="32" w:right="16"/>
              <w:jc w:val="center"/>
              <w:rPr>
                <w:color w:val="000000" w:themeColor="text1"/>
                <w:sz w:val="14"/>
              </w:rPr>
            </w:pPr>
            <w:r>
              <w:rPr>
                <w:color w:val="000000" w:themeColor="text1"/>
                <w:w w:val="105"/>
                <w:sz w:val="14"/>
              </w:rPr>
              <w:t>现场检查</w:t>
            </w:r>
          </w:p>
        </w:tc>
        <w:tc>
          <w:tcPr>
            <w:tcW w:w="6532" w:type="dxa"/>
          </w:tcPr>
          <w:p>
            <w:pPr>
              <w:pStyle w:val="20"/>
              <w:spacing w:before="12"/>
              <w:rPr>
                <w:color w:val="000000" w:themeColor="text1"/>
                <w:sz w:val="11"/>
              </w:rPr>
            </w:pPr>
          </w:p>
          <w:p>
            <w:pPr>
              <w:pStyle w:val="20"/>
              <w:ind w:left="27"/>
              <w:jc w:val="both"/>
              <w:rPr>
                <w:color w:val="000000" w:themeColor="text1"/>
                <w:sz w:val="14"/>
              </w:rPr>
            </w:pPr>
            <w:r>
              <w:rPr>
                <w:color w:val="000000" w:themeColor="text1"/>
                <w:w w:val="105"/>
                <w:sz w:val="14"/>
              </w:rPr>
              <w:t>【部门规章】《公路工程竣(交)工验收办法》(中华人民共和国交通部令 2004年第3号)</w:t>
            </w:r>
          </w:p>
          <w:p>
            <w:pPr>
              <w:pStyle w:val="20"/>
              <w:spacing w:before="8"/>
              <w:ind w:left="27"/>
              <w:jc w:val="both"/>
              <w:rPr>
                <w:color w:val="000000" w:themeColor="text1"/>
                <w:sz w:val="14"/>
              </w:rPr>
            </w:pPr>
            <w:r>
              <w:rPr>
                <w:color w:val="000000" w:themeColor="text1"/>
                <w:w w:val="105"/>
                <w:sz w:val="14"/>
              </w:rPr>
              <w:t>第十八条 竣工验收的主要工作内容是:(一)成立竣工验收委员会；(二)听取项目法人、设计单位、施工单位、监理单位的工作报告；( 三)听取质量监督机构的工作报告及工程质量鉴定报告；(四)检查工程实体质量、审查有关资料；(五)按交通部规定的办法对工程质量进行评分，并确定工程质量等级；(六)按交通部规定的办法对参建单位进行综合评价；(七)对建设项目进行综合评价；(八)形成并通过竣工验收鉴定书。</w:t>
            </w:r>
          </w:p>
        </w:tc>
        <w:tc>
          <w:tcPr>
            <w:tcW w:w="1866" w:type="dxa"/>
          </w:tcPr>
          <w:p>
            <w:pPr>
              <w:pStyle w:val="20"/>
              <w:rPr>
                <w:color w:val="000000" w:themeColor="text1"/>
                <w:sz w:val="14"/>
              </w:rPr>
            </w:pPr>
          </w:p>
          <w:p>
            <w:pPr>
              <w:pStyle w:val="20"/>
              <w:rPr>
                <w:color w:val="000000" w:themeColor="text1"/>
                <w:sz w:val="14"/>
              </w:rPr>
            </w:pPr>
          </w:p>
          <w:p>
            <w:pPr>
              <w:pStyle w:val="20"/>
              <w:spacing w:before="3"/>
              <w:rPr>
                <w:color w:val="000000" w:themeColor="text1"/>
                <w:sz w:val="20"/>
              </w:rPr>
            </w:pPr>
          </w:p>
          <w:p>
            <w:pPr>
              <w:pStyle w:val="20"/>
              <w:ind w:left="28"/>
              <w:rPr>
                <w:color w:val="000000" w:themeColor="text1"/>
                <w:sz w:val="14"/>
              </w:rPr>
            </w:pPr>
            <w:r>
              <w:rPr>
                <w:color w:val="000000" w:themeColor="text1"/>
                <w:w w:val="105"/>
                <w:sz w:val="14"/>
              </w:rPr>
              <w:t>公路工程。</w:t>
            </w:r>
          </w:p>
        </w:tc>
        <w:tc>
          <w:tcPr>
            <w:tcW w:w="1127" w:type="dxa"/>
          </w:tcPr>
          <w:p>
            <w:pPr>
              <w:pStyle w:val="20"/>
              <w:rPr>
                <w:color w:val="000000" w:themeColor="text1"/>
                <w:sz w:val="14"/>
              </w:rPr>
            </w:pPr>
          </w:p>
          <w:p>
            <w:pPr>
              <w:pStyle w:val="20"/>
              <w:spacing w:before="1"/>
              <w:rPr>
                <w:color w:val="000000" w:themeColor="text1"/>
                <w:sz w:val="20"/>
              </w:rPr>
            </w:pPr>
          </w:p>
          <w:p>
            <w:pPr>
              <w:pStyle w:val="20"/>
              <w:spacing w:line="247" w:lineRule="auto"/>
              <w:ind w:left="44" w:right="11"/>
              <w:rPr>
                <w:color w:val="000000" w:themeColor="text1"/>
                <w:sz w:val="14"/>
              </w:rPr>
            </w:pPr>
            <w:r>
              <w:rPr>
                <w:color w:val="000000" w:themeColor="text1"/>
                <w:spacing w:val="-1"/>
                <w:w w:val="105"/>
                <w:sz w:val="14"/>
              </w:rPr>
              <w:t>承诺时限：</w:t>
            </w:r>
            <w:r>
              <w:rPr>
                <w:color w:val="000000" w:themeColor="text1"/>
                <w:w w:val="105"/>
                <w:sz w:val="14"/>
                <w:lang w:val="en-US"/>
              </w:rPr>
              <w:t>5</w:t>
            </w:r>
          </w:p>
        </w:tc>
        <w:tc>
          <w:tcPr>
            <w:tcW w:w="911" w:type="dxa"/>
            <w:vAlign w:val="center"/>
          </w:tcPr>
          <w:p>
            <w:pPr>
              <w:pStyle w:val="20"/>
              <w:spacing w:line="252" w:lineRule="auto"/>
              <w:jc w:val="both"/>
              <w:rPr>
                <w:color w:val="000000" w:themeColor="text1"/>
                <w:sz w:val="14"/>
              </w:rPr>
            </w:pPr>
            <w:r>
              <w:rPr>
                <w:rFonts w:hint="eastAsia"/>
                <w:color w:val="000000" w:themeColor="text1"/>
                <w:sz w:val="14"/>
              </w:rPr>
              <w:t>区</w:t>
            </w:r>
            <w:r>
              <w:rPr>
                <w:color w:val="000000" w:themeColor="text1"/>
                <w:sz w:val="14"/>
              </w:rPr>
              <w:t>交通运输局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67" w:hRule="atLeast"/>
          <w:jc w:val="center"/>
        </w:trPr>
        <w:tc>
          <w:tcPr>
            <w:tcW w:w="35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1"/>
              <w:rPr>
                <w:sz w:val="13"/>
              </w:rPr>
            </w:pPr>
          </w:p>
          <w:p>
            <w:pPr>
              <w:pStyle w:val="20"/>
              <w:ind w:left="28"/>
              <w:jc w:val="center"/>
              <w:rPr>
                <w:rFonts w:hint="default" w:eastAsia="宋体"/>
                <w:sz w:val="14"/>
                <w:lang w:val="en-US" w:eastAsia="zh-CN"/>
              </w:rPr>
            </w:pPr>
            <w:r>
              <w:rPr>
                <w:rFonts w:hint="eastAsia"/>
                <w:w w:val="105"/>
                <w:sz w:val="14"/>
                <w:lang w:val="en-US" w:eastAsia="zh-CN"/>
              </w:rPr>
              <w:t>29</w:t>
            </w:r>
          </w:p>
        </w:tc>
        <w:tc>
          <w:tcPr>
            <w:tcW w:w="83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3"/>
              <w:rPr>
                <w:sz w:val="13"/>
              </w:rPr>
            </w:pPr>
          </w:p>
          <w:p>
            <w:pPr>
              <w:pStyle w:val="20"/>
              <w:spacing w:line="247" w:lineRule="auto"/>
              <w:ind w:left="40" w:right="28"/>
              <w:jc w:val="both"/>
              <w:rPr>
                <w:sz w:val="14"/>
              </w:rPr>
            </w:pPr>
            <w:r>
              <w:rPr>
                <w:w w:val="105"/>
                <w:sz w:val="14"/>
              </w:rPr>
              <w:t>水利基建项目初步设计文件审批</w:t>
            </w:r>
          </w:p>
        </w:tc>
        <w:tc>
          <w:tcPr>
            <w:tcW w:w="116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3"/>
              <w:rPr>
                <w:sz w:val="13"/>
              </w:rPr>
            </w:pPr>
          </w:p>
          <w:p>
            <w:pPr>
              <w:pStyle w:val="20"/>
              <w:spacing w:line="252" w:lineRule="auto"/>
              <w:ind w:left="27" w:right="79"/>
              <w:rPr>
                <w:sz w:val="14"/>
              </w:rPr>
            </w:pPr>
            <w:r>
              <w:rPr>
                <w:w w:val="105"/>
                <w:sz w:val="14"/>
              </w:rPr>
              <w:t>水利基建项目初步设计文件审批（20日）</w:t>
            </w:r>
          </w:p>
        </w:tc>
        <w:tc>
          <w:tcPr>
            <w:tcW w:w="1262"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1"/>
              <w:rPr>
                <w:sz w:val="13"/>
              </w:rPr>
            </w:pPr>
          </w:p>
          <w:p>
            <w:pPr>
              <w:pStyle w:val="20"/>
              <w:ind w:left="32" w:right="16"/>
              <w:jc w:val="center"/>
              <w:rPr>
                <w:sz w:val="14"/>
              </w:rPr>
            </w:pPr>
            <w:r>
              <w:rPr>
                <w:w w:val="105"/>
                <w:sz w:val="14"/>
              </w:rPr>
              <w:t>技术审查</w:t>
            </w:r>
          </w:p>
        </w:tc>
        <w:tc>
          <w:tcPr>
            <w:tcW w:w="6532" w:type="dxa"/>
          </w:tcPr>
          <w:p>
            <w:pPr>
              <w:pStyle w:val="20"/>
              <w:spacing w:before="23"/>
              <w:ind w:left="27"/>
              <w:rPr>
                <w:sz w:val="14"/>
              </w:rPr>
            </w:pPr>
            <w:r>
              <w:rPr>
                <w:w w:val="105"/>
                <w:sz w:val="14"/>
              </w:rPr>
              <w:t xml:space="preserve">【部门规章】《水行政许可实施办法》（水利部第23号令） </w:t>
            </w:r>
          </w:p>
          <w:p>
            <w:pPr>
              <w:pStyle w:val="20"/>
              <w:spacing w:before="8" w:line="252" w:lineRule="auto"/>
              <w:ind w:left="27" w:right="4"/>
              <w:rPr>
                <w:sz w:val="14"/>
              </w:rPr>
            </w:pPr>
            <w:r>
              <w:rPr>
                <w:w w:val="105"/>
                <w:sz w:val="14"/>
              </w:rPr>
              <w:t>第三十一条 水行政许可实施机关可以根据法律、法规、规章的规定和水行政许可的需要，对水行政许可事项进行专家评审或者技术评估，并将评审或者评估意见作为水行政许可决定的参考依据。水行政许可实施机关可以根据法律、法规、规章的规定和水行政许可的需要，征求有关水行政主管部门或者其他行政机关的意见。</w:t>
            </w:r>
          </w:p>
          <w:p>
            <w:pPr>
              <w:pStyle w:val="20"/>
              <w:spacing w:line="177" w:lineRule="exact"/>
              <w:ind w:left="27"/>
              <w:rPr>
                <w:sz w:val="14"/>
              </w:rPr>
            </w:pPr>
            <w:r>
              <w:rPr>
                <w:w w:val="105"/>
                <w:sz w:val="14"/>
              </w:rPr>
              <w:t>【规范性文件】《水利工程建设程序管理暂行规定》（水建〔1998〕16号）</w:t>
            </w:r>
          </w:p>
          <w:p>
            <w:pPr>
              <w:pStyle w:val="20"/>
              <w:spacing w:before="1" w:line="249" w:lineRule="auto"/>
              <w:ind w:left="27"/>
              <w:rPr>
                <w:sz w:val="14"/>
              </w:rPr>
            </w:pPr>
            <w:r>
              <w:rPr>
                <w:w w:val="105"/>
                <w:sz w:val="14"/>
              </w:rPr>
              <w:t>第七条 初步设计文件报批前，一般须由项目法人委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p>
          <w:p>
            <w:pPr>
              <w:pStyle w:val="20"/>
              <w:spacing w:before="3"/>
              <w:ind w:left="27"/>
              <w:rPr>
                <w:sz w:val="14"/>
              </w:rPr>
            </w:pPr>
            <w:r>
              <w:rPr>
                <w:w w:val="105"/>
                <w:sz w:val="14"/>
              </w:rPr>
              <w:t>【政策文件】《山东省水利厅行政许可专家评审工作管理办法》</w:t>
            </w:r>
            <w:r>
              <w:rPr>
                <w:spacing w:val="6"/>
                <w:w w:val="105"/>
                <w:sz w:val="14"/>
              </w:rPr>
              <w:t>（</w:t>
            </w:r>
            <w:r>
              <w:rPr>
                <w:spacing w:val="1"/>
                <w:w w:val="105"/>
                <w:sz w:val="14"/>
              </w:rPr>
              <w:t>鲁水规字〔</w:t>
            </w:r>
            <w:r>
              <w:rPr>
                <w:w w:val="105"/>
                <w:sz w:val="14"/>
              </w:rPr>
              <w:t>2021</w:t>
            </w:r>
            <w:r>
              <w:rPr>
                <w:spacing w:val="6"/>
                <w:w w:val="105"/>
                <w:sz w:val="14"/>
              </w:rPr>
              <w:t>〕</w:t>
            </w:r>
            <w:r>
              <w:rPr>
                <w:w w:val="105"/>
                <w:sz w:val="14"/>
              </w:rPr>
              <w:t>3</w:t>
            </w:r>
            <w:r>
              <w:rPr>
                <w:spacing w:val="6"/>
                <w:w w:val="105"/>
                <w:sz w:val="14"/>
              </w:rPr>
              <w:t>号</w:t>
            </w:r>
            <w:r>
              <w:rPr>
                <w:w w:val="105"/>
                <w:sz w:val="14"/>
              </w:rPr>
              <w:t>）</w:t>
            </w:r>
          </w:p>
          <w:p>
            <w:pPr>
              <w:pStyle w:val="20"/>
              <w:spacing w:before="8" w:line="249" w:lineRule="auto"/>
              <w:ind w:left="27" w:right="1"/>
              <w:jc w:val="both"/>
              <w:rPr>
                <w:sz w:val="14"/>
              </w:rPr>
            </w:pPr>
            <w:r>
              <w:rPr>
                <w:spacing w:val="1"/>
                <w:w w:val="105"/>
                <w:sz w:val="14"/>
              </w:rPr>
              <w:t>第十三条 为提高行政审批效率，省水利厅行政许可专家评审和技术审查期限为</w:t>
            </w:r>
            <w:r>
              <w:rPr>
                <w:spacing w:val="3"/>
                <w:w w:val="105"/>
                <w:sz w:val="14"/>
              </w:rPr>
              <w:t>20</w:t>
            </w:r>
            <w:r>
              <w:rPr>
                <w:spacing w:val="5"/>
                <w:w w:val="105"/>
                <w:sz w:val="14"/>
              </w:rPr>
              <w:t>个工作日</w:t>
            </w:r>
            <w:r>
              <w:rPr>
                <w:spacing w:val="6"/>
                <w:w w:val="105"/>
                <w:sz w:val="14"/>
              </w:rPr>
              <w:t>（</w:t>
            </w:r>
            <w:r>
              <w:rPr>
                <w:spacing w:val="2"/>
                <w:w w:val="105"/>
                <w:sz w:val="14"/>
              </w:rPr>
              <w:t>不含</w:t>
            </w:r>
            <w:r>
              <w:rPr>
                <w:spacing w:val="7"/>
                <w:w w:val="105"/>
                <w:sz w:val="14"/>
              </w:rPr>
              <w:t>报告或方案修改时间</w:t>
            </w:r>
            <w:r>
              <w:rPr>
                <w:spacing w:val="6"/>
                <w:w w:val="105"/>
                <w:sz w:val="14"/>
              </w:rPr>
              <w:t>）</w:t>
            </w:r>
            <w:r>
              <w:rPr>
                <w:spacing w:val="5"/>
                <w:w w:val="105"/>
                <w:sz w:val="14"/>
              </w:rPr>
              <w:t>，包括现场核查、专家评审会</w:t>
            </w:r>
            <w:r>
              <w:rPr>
                <w:spacing w:val="6"/>
                <w:w w:val="105"/>
                <w:sz w:val="14"/>
              </w:rPr>
              <w:t>（</w:t>
            </w:r>
            <w:r>
              <w:rPr>
                <w:spacing w:val="7"/>
                <w:w w:val="105"/>
                <w:sz w:val="14"/>
              </w:rPr>
              <w:t>或书面函审）、报告</w:t>
            </w:r>
            <w:r>
              <w:rPr>
                <w:spacing w:val="6"/>
                <w:w w:val="105"/>
                <w:sz w:val="14"/>
              </w:rPr>
              <w:t>（</w:t>
            </w:r>
            <w:r>
              <w:rPr>
                <w:spacing w:val="8"/>
                <w:w w:val="105"/>
                <w:sz w:val="14"/>
              </w:rPr>
              <w:t>方案</w:t>
            </w:r>
            <w:r>
              <w:rPr>
                <w:spacing w:val="7"/>
                <w:w w:val="105"/>
                <w:sz w:val="14"/>
              </w:rPr>
              <w:t>）</w:t>
            </w:r>
            <w:r>
              <w:rPr>
                <w:spacing w:val="4"/>
                <w:w w:val="105"/>
                <w:sz w:val="14"/>
              </w:rPr>
              <w:t>复审、省流</w:t>
            </w:r>
            <w:r>
              <w:rPr>
                <w:spacing w:val="3"/>
                <w:w w:val="105"/>
                <w:sz w:val="14"/>
              </w:rPr>
              <w:t>域中心出具技术审查意见等环节。其中，现场核查和专家评审在受理行政许可申请之日起12个工作日内组织完成；需要复审的，报告</w:t>
            </w:r>
            <w:r>
              <w:rPr>
                <w:spacing w:val="6"/>
                <w:w w:val="105"/>
                <w:sz w:val="14"/>
              </w:rPr>
              <w:t>（</w:t>
            </w:r>
            <w:r>
              <w:rPr>
                <w:spacing w:val="7"/>
                <w:w w:val="105"/>
                <w:sz w:val="14"/>
              </w:rPr>
              <w:t>方案</w:t>
            </w:r>
            <w:r>
              <w:rPr>
                <w:w w:val="105"/>
                <w:sz w:val="14"/>
              </w:rPr>
              <w:t>）</w:t>
            </w:r>
            <w:r>
              <w:rPr>
                <w:spacing w:val="5"/>
                <w:w w:val="105"/>
                <w:sz w:val="14"/>
              </w:rPr>
              <w:t>修改完成并提交后，</w:t>
            </w:r>
            <w:r>
              <w:rPr>
                <w:spacing w:val="4"/>
                <w:w w:val="105"/>
                <w:sz w:val="14"/>
              </w:rPr>
              <w:t>5</w:t>
            </w:r>
            <w:r>
              <w:rPr>
                <w:spacing w:val="3"/>
                <w:w w:val="105"/>
                <w:sz w:val="14"/>
              </w:rPr>
              <w:t>个工作日内完成复审，并出具</w:t>
            </w:r>
            <w:r>
              <w:rPr>
                <w:spacing w:val="1"/>
                <w:w w:val="105"/>
                <w:sz w:val="14"/>
              </w:rPr>
              <w:t>专家评审意见；专家组出具评审意见之日起</w:t>
            </w:r>
            <w:r>
              <w:rPr>
                <w:spacing w:val="3"/>
                <w:w w:val="105"/>
                <w:sz w:val="14"/>
              </w:rPr>
              <w:t>3</w:t>
            </w:r>
            <w:r>
              <w:rPr>
                <w:w w:val="105"/>
                <w:sz w:val="14"/>
              </w:rPr>
              <w:t>个工作日内，省流域中心出具技术审查意见。</w:t>
            </w:r>
          </w:p>
          <w:p>
            <w:pPr>
              <w:pStyle w:val="20"/>
              <w:spacing w:line="178" w:lineRule="exact"/>
              <w:ind w:left="27"/>
              <w:jc w:val="both"/>
              <w:rPr>
                <w:sz w:val="14"/>
              </w:rPr>
            </w:pPr>
            <w:r>
              <w:rPr>
                <w:w w:val="105"/>
                <w:sz w:val="14"/>
              </w:rPr>
              <w:t>第二十三条：项目申请人在10个工作日内未完成报告（方案）修改完善的，由专家组视情况出具评审意见，省流域中心出具技术审查意见，省水利厅出具许可决定。</w:t>
            </w:r>
          </w:p>
        </w:tc>
        <w:tc>
          <w:tcPr>
            <w:tcW w:w="186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1"/>
              <w:rPr>
                <w:sz w:val="13"/>
              </w:rPr>
            </w:pPr>
          </w:p>
          <w:p>
            <w:pPr>
              <w:pStyle w:val="20"/>
              <w:ind w:left="28"/>
              <w:rPr>
                <w:sz w:val="14"/>
              </w:rPr>
            </w:pPr>
            <w:r>
              <w:rPr>
                <w:w w:val="105"/>
                <w:sz w:val="14"/>
              </w:rPr>
              <w:t>应当进行技术审查的项目。</w:t>
            </w:r>
          </w:p>
        </w:tc>
        <w:tc>
          <w:tcPr>
            <w:tcW w:w="1127"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3"/>
              <w:rPr>
                <w:sz w:val="13"/>
              </w:rPr>
            </w:pPr>
          </w:p>
          <w:p>
            <w:pPr>
              <w:pStyle w:val="20"/>
              <w:spacing w:line="247" w:lineRule="auto"/>
              <w:ind w:left="44" w:right="11"/>
              <w:rPr>
                <w:w w:val="105"/>
                <w:sz w:val="14"/>
              </w:rPr>
            </w:pPr>
            <w:r>
              <w:rPr>
                <w:spacing w:val="2"/>
                <w:w w:val="105"/>
                <w:sz w:val="14"/>
              </w:rPr>
              <w:t>法定时限</w:t>
            </w:r>
            <w:r>
              <w:rPr>
                <w:w w:val="105"/>
                <w:sz w:val="14"/>
              </w:rPr>
              <w:t xml:space="preserve">：30 </w:t>
            </w:r>
          </w:p>
          <w:p>
            <w:pPr>
              <w:pStyle w:val="20"/>
              <w:spacing w:line="247" w:lineRule="auto"/>
              <w:ind w:left="44" w:right="11"/>
              <w:rPr>
                <w:sz w:val="14"/>
              </w:rPr>
            </w:pPr>
            <w:r>
              <w:rPr>
                <w:spacing w:val="-1"/>
                <w:w w:val="105"/>
                <w:sz w:val="14"/>
              </w:rPr>
              <w:t>承诺时限：</w:t>
            </w:r>
            <w:r>
              <w:rPr>
                <w:w w:val="105"/>
                <w:sz w:val="14"/>
              </w:rPr>
              <w:t>7</w:t>
            </w:r>
          </w:p>
        </w:tc>
        <w:tc>
          <w:tcPr>
            <w:tcW w:w="911" w:type="dxa"/>
            <w:vAlign w:val="center"/>
          </w:tcPr>
          <w:p>
            <w:pPr>
              <w:pStyle w:val="20"/>
              <w:jc w:val="both"/>
              <w:rPr>
                <w:sz w:val="14"/>
              </w:rPr>
            </w:pPr>
            <w:r>
              <w:rPr>
                <w:rFonts w:hint="eastAsia"/>
                <w:sz w:val="14"/>
              </w:rPr>
              <w:t>区城市管理局</w:t>
            </w:r>
          </w:p>
        </w:tc>
      </w:tr>
    </w:tbl>
    <w:p>
      <w:pPr>
        <w:rPr>
          <w:sz w:val="14"/>
        </w:rPr>
        <w:sectPr>
          <w:pgSz w:w="16840" w:h="11910" w:orient="landscape"/>
          <w:pgMar w:top="1000" w:right="980" w:bottom="1140" w:left="980" w:header="0" w:footer="72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1262"/>
        <w:gridCol w:w="6532"/>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166"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62"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6532" w:type="dxa"/>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3"/>
              <w:rPr>
                <w:sz w:val="20"/>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tcPr>
          <w:p>
            <w:pPr>
              <w:pStyle w:val="20"/>
              <w:spacing w:before="3"/>
              <w:rPr>
                <w:sz w:val="20"/>
              </w:rPr>
            </w:pPr>
          </w:p>
          <w:p>
            <w:pPr>
              <w:pStyle w:val="20"/>
              <w:spacing w:line="242" w:lineRule="auto"/>
              <w:ind w:left="391" w:right="61" w:hanging="303"/>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99" w:hRule="atLeast"/>
          <w:jc w:val="center"/>
        </w:trPr>
        <w:tc>
          <w:tcPr>
            <w:tcW w:w="35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3"/>
              <w:rPr>
                <w:sz w:val="13"/>
              </w:rPr>
            </w:pPr>
          </w:p>
          <w:p>
            <w:pPr>
              <w:pStyle w:val="20"/>
              <w:ind w:left="28"/>
              <w:jc w:val="center"/>
              <w:rPr>
                <w:rFonts w:hint="default" w:eastAsia="宋体"/>
                <w:sz w:val="14"/>
                <w:lang w:val="en-US" w:eastAsia="zh-CN"/>
              </w:rPr>
            </w:pPr>
            <w:r>
              <w:rPr>
                <w:rFonts w:hint="eastAsia"/>
                <w:w w:val="105"/>
                <w:sz w:val="14"/>
                <w:lang w:val="en-US" w:eastAsia="zh-CN"/>
              </w:rPr>
              <w:t>29</w:t>
            </w:r>
          </w:p>
        </w:tc>
        <w:tc>
          <w:tcPr>
            <w:tcW w:w="83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8"/>
              <w:rPr>
                <w:sz w:val="12"/>
              </w:rPr>
            </w:pPr>
          </w:p>
          <w:p>
            <w:pPr>
              <w:pStyle w:val="20"/>
              <w:spacing w:line="247" w:lineRule="auto"/>
              <w:ind w:left="40" w:right="28"/>
              <w:jc w:val="both"/>
              <w:rPr>
                <w:sz w:val="14"/>
              </w:rPr>
            </w:pPr>
            <w:r>
              <w:rPr>
                <w:w w:val="105"/>
                <w:sz w:val="14"/>
              </w:rPr>
              <w:t>水利基建项目初步设计文件审批</w:t>
            </w:r>
          </w:p>
        </w:tc>
        <w:tc>
          <w:tcPr>
            <w:tcW w:w="116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8"/>
              <w:rPr>
                <w:sz w:val="12"/>
              </w:rPr>
            </w:pPr>
          </w:p>
          <w:p>
            <w:pPr>
              <w:pStyle w:val="20"/>
              <w:spacing w:line="252" w:lineRule="auto"/>
              <w:ind w:left="27" w:right="79"/>
              <w:rPr>
                <w:sz w:val="14"/>
              </w:rPr>
            </w:pPr>
            <w:r>
              <w:rPr>
                <w:w w:val="105"/>
                <w:sz w:val="14"/>
              </w:rPr>
              <w:t>水利基建项目初步设计文件审批（20日）</w:t>
            </w:r>
          </w:p>
        </w:tc>
        <w:tc>
          <w:tcPr>
            <w:tcW w:w="1262"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3"/>
              <w:rPr>
                <w:sz w:val="13"/>
              </w:rPr>
            </w:pPr>
          </w:p>
          <w:p>
            <w:pPr>
              <w:pStyle w:val="20"/>
              <w:ind w:left="32" w:right="7"/>
              <w:jc w:val="center"/>
              <w:rPr>
                <w:sz w:val="14"/>
              </w:rPr>
            </w:pPr>
            <w:r>
              <w:rPr>
                <w:w w:val="105"/>
                <w:sz w:val="14"/>
              </w:rPr>
              <w:t>听证</w:t>
            </w:r>
          </w:p>
        </w:tc>
        <w:tc>
          <w:tcPr>
            <w:tcW w:w="6532" w:type="dxa"/>
          </w:tcPr>
          <w:p>
            <w:pPr>
              <w:pStyle w:val="20"/>
              <w:spacing w:before="23"/>
              <w:ind w:left="27"/>
              <w:jc w:val="both"/>
              <w:rPr>
                <w:sz w:val="14"/>
              </w:rPr>
            </w:pPr>
            <w:r>
              <w:rPr>
                <w:w w:val="105"/>
                <w:sz w:val="14"/>
              </w:rPr>
              <w:t>【部门规章】《水行政许可实施办法》（水利部令第23号）</w:t>
            </w:r>
          </w:p>
          <w:p>
            <w:pPr>
              <w:pStyle w:val="20"/>
              <w:spacing w:before="9" w:line="249" w:lineRule="auto"/>
              <w:ind w:left="27"/>
              <w:jc w:val="both"/>
              <w:rPr>
                <w:sz w:val="14"/>
              </w:rPr>
            </w:pPr>
            <w:r>
              <w:rPr>
                <w:w w:val="105"/>
                <w:sz w:val="14"/>
              </w:rPr>
              <w:t>第二十九条 法律、法规、规章规定实施水行政许可应当听证的事项，或者水行政许可实施机关认为需要听证的其他涉及公共利益的重大水行政许可事项，水行政许可实施机关应当向社会公告，并举行听证。</w:t>
            </w:r>
          </w:p>
          <w:p>
            <w:pPr>
              <w:pStyle w:val="20"/>
              <w:spacing w:line="249" w:lineRule="auto"/>
              <w:ind w:left="27" w:right="24" w:firstLine="312"/>
              <w:jc w:val="both"/>
              <w:rPr>
                <w:sz w:val="14"/>
              </w:rPr>
            </w:pPr>
            <w:r>
              <w:rPr>
                <w:w w:val="105"/>
                <w:sz w:val="14"/>
              </w:rPr>
              <w:t>水行政许可直接涉及申请人与他人之间重大利益关系的，水行政许可实施机关在作出水行政许可决定前，应当制作《水行政许可听证告知书》，告知申请人、利害关系人享有要求听证的权利。</w:t>
            </w:r>
          </w:p>
          <w:p>
            <w:pPr>
              <w:pStyle w:val="20"/>
              <w:ind w:left="329"/>
              <w:jc w:val="both"/>
              <w:rPr>
                <w:sz w:val="14"/>
              </w:rPr>
            </w:pPr>
            <w:r>
              <w:rPr>
                <w:w w:val="105"/>
                <w:sz w:val="14"/>
              </w:rPr>
              <w:t>水行政许可听证的具体规定由国务院水行政主管部门另行制定。</w:t>
            </w:r>
          </w:p>
          <w:p>
            <w:pPr>
              <w:pStyle w:val="20"/>
              <w:spacing w:before="7"/>
              <w:ind w:left="27"/>
              <w:jc w:val="both"/>
              <w:rPr>
                <w:sz w:val="14"/>
              </w:rPr>
            </w:pPr>
            <w:r>
              <w:rPr>
                <w:w w:val="105"/>
                <w:sz w:val="14"/>
              </w:rPr>
              <w:t>【部门规章】《水行政许可听证规定》（水利部令第27号）</w:t>
            </w:r>
          </w:p>
          <w:p>
            <w:pPr>
              <w:pStyle w:val="20"/>
              <w:spacing w:before="7" w:line="249" w:lineRule="auto"/>
              <w:ind w:left="27" w:right="5"/>
              <w:jc w:val="both"/>
              <w:rPr>
                <w:sz w:val="14"/>
              </w:rPr>
            </w:pPr>
            <w:r>
              <w:rPr>
                <w:w w:val="105"/>
                <w:sz w:val="14"/>
              </w:rPr>
              <w:t>第五条 水行政许可事项直接涉及申请人与他人之间重大利益关系的，水行政许可实施机关在作出水行政许可决定前，应当制作听证告知书，告知申请人、利害关系人享有要求听证的权利；申请人或者利害关系人在被告知听证权利之日起五日内要求听证的，应当提交听证申请书；逾期不申请的，视为放弃听证。</w:t>
            </w:r>
          </w:p>
          <w:p>
            <w:pPr>
              <w:pStyle w:val="20"/>
              <w:spacing w:before="2"/>
              <w:ind w:left="27"/>
              <w:jc w:val="both"/>
              <w:rPr>
                <w:sz w:val="14"/>
              </w:rPr>
            </w:pPr>
            <w:r>
              <w:rPr>
                <w:w w:val="105"/>
                <w:sz w:val="14"/>
              </w:rPr>
              <w:t>第六条 水行政许可实施机关收到听证申请后，应当在五日内对申请材料进行审查。申请材料不齐备的，应当一次告知申请人、利害关系人需要补正的全部内容；申请材料符合形式和内容要求的，应当自收到申请材料之日起二十日内组织听证。</w:t>
            </w:r>
          </w:p>
        </w:tc>
        <w:tc>
          <w:tcPr>
            <w:tcW w:w="186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3"/>
              <w:rPr>
                <w:sz w:val="13"/>
              </w:rPr>
            </w:pPr>
          </w:p>
          <w:p>
            <w:pPr>
              <w:pStyle w:val="20"/>
              <w:ind w:left="28"/>
              <w:rPr>
                <w:sz w:val="14"/>
              </w:rPr>
            </w:pPr>
            <w:r>
              <w:rPr>
                <w:w w:val="105"/>
                <w:sz w:val="14"/>
              </w:rPr>
              <w:t>需要听证的项目。</w:t>
            </w:r>
          </w:p>
        </w:tc>
        <w:tc>
          <w:tcPr>
            <w:tcW w:w="1127"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8"/>
              <w:rPr>
                <w:sz w:val="12"/>
              </w:rPr>
            </w:pPr>
          </w:p>
          <w:p>
            <w:pPr>
              <w:pStyle w:val="20"/>
              <w:spacing w:line="247" w:lineRule="auto"/>
              <w:ind w:left="44" w:right="11"/>
              <w:jc w:val="center"/>
              <w:rPr>
                <w:w w:val="105"/>
                <w:sz w:val="14"/>
              </w:rPr>
            </w:pPr>
            <w:r>
              <w:rPr>
                <w:spacing w:val="2"/>
                <w:w w:val="105"/>
                <w:sz w:val="14"/>
              </w:rPr>
              <w:t>法定时限</w:t>
            </w:r>
            <w:r>
              <w:rPr>
                <w:w w:val="105"/>
                <w:sz w:val="14"/>
              </w:rPr>
              <w:t xml:space="preserve">：25 </w:t>
            </w:r>
          </w:p>
          <w:p>
            <w:pPr>
              <w:pStyle w:val="20"/>
              <w:spacing w:line="247" w:lineRule="auto"/>
              <w:ind w:left="44" w:right="11"/>
              <w:jc w:val="center"/>
              <w:rPr>
                <w:sz w:val="14"/>
              </w:rPr>
            </w:pPr>
            <w:r>
              <w:rPr>
                <w:spacing w:val="-1"/>
                <w:w w:val="105"/>
                <w:sz w:val="14"/>
              </w:rPr>
              <w:t>承诺时限：</w:t>
            </w:r>
            <w:r>
              <w:rPr>
                <w:w w:val="105"/>
                <w:sz w:val="14"/>
              </w:rPr>
              <w:t>10</w:t>
            </w:r>
          </w:p>
        </w:tc>
        <w:tc>
          <w:tcPr>
            <w:tcW w:w="911"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3"/>
              </w:rPr>
            </w:pPr>
          </w:p>
          <w:p>
            <w:pPr>
              <w:pStyle w:val="20"/>
              <w:rPr>
                <w:sz w:val="14"/>
              </w:rPr>
            </w:pPr>
            <w:r>
              <w:rPr>
                <w:rFonts w:hint="eastAsia"/>
                <w:sz w:val="14"/>
              </w:rPr>
              <w:t>区城市管理局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56" w:hRule="atLeast"/>
          <w:jc w:val="center"/>
        </w:trPr>
        <w:tc>
          <w:tcPr>
            <w:tcW w:w="35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2"/>
              <w:rPr>
                <w:sz w:val="19"/>
              </w:rPr>
            </w:pPr>
          </w:p>
          <w:p>
            <w:pPr>
              <w:pStyle w:val="20"/>
              <w:ind w:left="107"/>
              <w:rPr>
                <w:rFonts w:hint="default" w:eastAsia="宋体"/>
                <w:sz w:val="14"/>
                <w:lang w:val="en-US" w:eastAsia="zh-CN"/>
              </w:rPr>
            </w:pPr>
            <w:r>
              <w:rPr>
                <w:rFonts w:hint="eastAsia"/>
                <w:w w:val="105"/>
                <w:sz w:val="14"/>
                <w:lang w:val="en-US" w:eastAsia="zh-CN"/>
              </w:rPr>
              <w:t>30</w:t>
            </w:r>
          </w:p>
        </w:tc>
        <w:tc>
          <w:tcPr>
            <w:tcW w:w="830"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9"/>
              </w:rPr>
            </w:pPr>
          </w:p>
          <w:p>
            <w:pPr>
              <w:pStyle w:val="20"/>
              <w:spacing w:line="247" w:lineRule="auto"/>
              <w:ind w:left="40" w:right="28"/>
              <w:jc w:val="center"/>
              <w:rPr>
                <w:sz w:val="14"/>
              </w:rPr>
            </w:pPr>
            <w:r>
              <w:rPr>
                <w:w w:val="105"/>
                <w:sz w:val="14"/>
              </w:rPr>
              <w:t>水利工程建设项目竣工验收</w:t>
            </w:r>
          </w:p>
        </w:tc>
        <w:tc>
          <w:tcPr>
            <w:tcW w:w="1166" w:type="dxa"/>
            <w:vMerge w:val="restart"/>
            <w:vAlign w:val="center"/>
          </w:tcPr>
          <w:p>
            <w:pPr>
              <w:pStyle w:val="20"/>
              <w:spacing w:line="249" w:lineRule="auto"/>
              <w:ind w:left="27" w:right="66"/>
              <w:jc w:val="both"/>
              <w:rPr>
                <w:sz w:val="14"/>
              </w:rPr>
            </w:pPr>
            <w:r>
              <w:rPr>
                <w:w w:val="105"/>
                <w:sz w:val="14"/>
              </w:rPr>
              <w:t>水利工程建设项目竣工验收-水利基本建设项目验收（20日)</w:t>
            </w:r>
          </w:p>
        </w:tc>
        <w:tc>
          <w:tcPr>
            <w:tcW w:w="1262" w:type="dxa"/>
          </w:tcPr>
          <w:p>
            <w:pPr>
              <w:pStyle w:val="20"/>
              <w:rPr>
                <w:sz w:val="14"/>
              </w:rPr>
            </w:pPr>
          </w:p>
          <w:p>
            <w:pPr>
              <w:pStyle w:val="20"/>
              <w:rPr>
                <w:sz w:val="14"/>
              </w:rPr>
            </w:pPr>
          </w:p>
          <w:p>
            <w:pPr>
              <w:pStyle w:val="20"/>
              <w:spacing w:before="4"/>
              <w:rPr>
                <w:sz w:val="11"/>
              </w:rPr>
            </w:pPr>
          </w:p>
          <w:p>
            <w:pPr>
              <w:pStyle w:val="20"/>
              <w:ind w:left="32" w:right="16"/>
              <w:jc w:val="center"/>
              <w:rPr>
                <w:sz w:val="14"/>
              </w:rPr>
            </w:pPr>
            <w:r>
              <w:rPr>
                <w:w w:val="105"/>
                <w:sz w:val="14"/>
              </w:rPr>
              <w:t>技术鉴定</w:t>
            </w:r>
          </w:p>
        </w:tc>
        <w:tc>
          <w:tcPr>
            <w:tcW w:w="6532" w:type="dxa"/>
          </w:tcPr>
          <w:p>
            <w:pPr>
              <w:pStyle w:val="20"/>
              <w:spacing w:before="2"/>
              <w:rPr>
                <w:sz w:val="17"/>
              </w:rPr>
            </w:pPr>
          </w:p>
          <w:p>
            <w:pPr>
              <w:pStyle w:val="20"/>
              <w:ind w:left="27"/>
              <w:jc w:val="both"/>
              <w:rPr>
                <w:sz w:val="14"/>
              </w:rPr>
            </w:pPr>
            <w:r>
              <w:rPr>
                <w:w w:val="105"/>
                <w:sz w:val="14"/>
              </w:rPr>
              <w:t>【部门规章】《水利工程建设项目验收管理规定》（水利部令第30号发布）</w:t>
            </w:r>
          </w:p>
          <w:p>
            <w:pPr>
              <w:pStyle w:val="20"/>
              <w:spacing w:before="8" w:line="249" w:lineRule="auto"/>
              <w:ind w:left="27" w:right="33"/>
              <w:jc w:val="both"/>
              <w:rPr>
                <w:sz w:val="14"/>
              </w:rPr>
            </w:pPr>
            <w:r>
              <w:rPr>
                <w:w w:val="105"/>
                <w:sz w:val="14"/>
              </w:rPr>
              <w:t>第三十三条 大型水利工程在竣工技术预验收前，项目法人应当按照有关规定对工程建设情况进行竣工验收技术鉴定。中型水利工程在竣工技术预验收前，竣工验收主持单位可以根据需要决定是否进行竣工验收技术鉴定。</w:t>
            </w:r>
          </w:p>
        </w:tc>
        <w:tc>
          <w:tcPr>
            <w:tcW w:w="1866" w:type="dxa"/>
          </w:tcPr>
          <w:p>
            <w:pPr>
              <w:pStyle w:val="20"/>
              <w:rPr>
                <w:sz w:val="14"/>
              </w:rPr>
            </w:pPr>
          </w:p>
          <w:p>
            <w:pPr>
              <w:pStyle w:val="20"/>
              <w:rPr>
                <w:sz w:val="14"/>
              </w:rPr>
            </w:pPr>
          </w:p>
          <w:p>
            <w:pPr>
              <w:pStyle w:val="20"/>
              <w:spacing w:before="4"/>
              <w:rPr>
                <w:sz w:val="11"/>
              </w:rPr>
            </w:pPr>
          </w:p>
          <w:p>
            <w:pPr>
              <w:pStyle w:val="20"/>
              <w:ind w:left="28"/>
              <w:rPr>
                <w:sz w:val="14"/>
              </w:rPr>
            </w:pPr>
            <w:r>
              <w:rPr>
                <w:w w:val="105"/>
                <w:sz w:val="14"/>
              </w:rPr>
              <w:t>中型水利工程。</w:t>
            </w:r>
          </w:p>
        </w:tc>
        <w:tc>
          <w:tcPr>
            <w:tcW w:w="1127" w:type="dxa"/>
          </w:tcPr>
          <w:p>
            <w:pPr>
              <w:pStyle w:val="20"/>
              <w:rPr>
                <w:sz w:val="14"/>
              </w:rPr>
            </w:pPr>
          </w:p>
          <w:p>
            <w:pPr>
              <w:pStyle w:val="20"/>
              <w:spacing w:before="10"/>
              <w:rPr>
                <w:sz w:val="17"/>
              </w:rPr>
            </w:pPr>
          </w:p>
          <w:p>
            <w:pPr>
              <w:pStyle w:val="20"/>
              <w:spacing w:line="249" w:lineRule="auto"/>
              <w:ind w:left="495" w:right="11" w:hanging="451"/>
              <w:rPr>
                <w:sz w:val="14"/>
              </w:rPr>
            </w:pPr>
            <w:r>
              <w:rPr>
                <w:w w:val="105"/>
                <w:sz w:val="14"/>
              </w:rPr>
              <w:t>承诺时限：7</w:t>
            </w:r>
          </w:p>
        </w:tc>
        <w:tc>
          <w:tcPr>
            <w:tcW w:w="911" w:type="dxa"/>
            <w:vMerge w:val="restart"/>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r>
              <w:rPr>
                <w:rFonts w:hint="eastAsia"/>
                <w:sz w:val="14"/>
              </w:rPr>
              <w:t>区城市管理局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56"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166" w:type="dxa"/>
            <w:vMerge w:val="continue"/>
            <w:tcBorders>
              <w:top w:val="nil"/>
            </w:tcBorders>
          </w:tcPr>
          <w:p>
            <w:pPr>
              <w:rPr>
                <w:sz w:val="2"/>
                <w:szCs w:val="2"/>
              </w:rPr>
            </w:pPr>
          </w:p>
        </w:tc>
        <w:tc>
          <w:tcPr>
            <w:tcW w:w="1262" w:type="dxa"/>
          </w:tcPr>
          <w:p>
            <w:pPr>
              <w:pStyle w:val="20"/>
              <w:rPr>
                <w:sz w:val="14"/>
              </w:rPr>
            </w:pPr>
          </w:p>
          <w:p>
            <w:pPr>
              <w:pStyle w:val="20"/>
              <w:rPr>
                <w:sz w:val="14"/>
              </w:rPr>
            </w:pPr>
          </w:p>
          <w:p>
            <w:pPr>
              <w:pStyle w:val="20"/>
              <w:spacing w:before="4"/>
              <w:rPr>
                <w:sz w:val="11"/>
              </w:rPr>
            </w:pPr>
          </w:p>
          <w:p>
            <w:pPr>
              <w:pStyle w:val="20"/>
              <w:ind w:left="32" w:right="16"/>
              <w:jc w:val="center"/>
              <w:rPr>
                <w:sz w:val="14"/>
              </w:rPr>
            </w:pPr>
            <w:r>
              <w:rPr>
                <w:w w:val="105"/>
                <w:sz w:val="14"/>
              </w:rPr>
              <w:t>委托验收</w:t>
            </w:r>
          </w:p>
        </w:tc>
        <w:tc>
          <w:tcPr>
            <w:tcW w:w="6532" w:type="dxa"/>
          </w:tcPr>
          <w:p>
            <w:pPr>
              <w:pStyle w:val="20"/>
              <w:rPr>
                <w:sz w:val="14"/>
              </w:rPr>
            </w:pPr>
          </w:p>
          <w:p>
            <w:pPr>
              <w:pStyle w:val="20"/>
              <w:spacing w:before="8"/>
              <w:rPr>
                <w:sz w:val="10"/>
              </w:rPr>
            </w:pPr>
          </w:p>
          <w:p>
            <w:pPr>
              <w:pStyle w:val="20"/>
              <w:spacing w:before="1"/>
              <w:ind w:left="27"/>
              <w:rPr>
                <w:sz w:val="14"/>
              </w:rPr>
            </w:pPr>
            <w:r>
              <w:rPr>
                <w:w w:val="105"/>
                <w:sz w:val="14"/>
              </w:rPr>
              <w:t>《水利部关于加强水土保持工程验收管理的指导意见》</w:t>
            </w:r>
          </w:p>
          <w:p>
            <w:pPr>
              <w:pStyle w:val="20"/>
              <w:spacing w:before="8" w:line="242" w:lineRule="auto"/>
              <w:ind w:left="27" w:right="10"/>
              <w:rPr>
                <w:sz w:val="14"/>
              </w:rPr>
            </w:pPr>
            <w:r>
              <w:rPr>
                <w:w w:val="105"/>
                <w:sz w:val="14"/>
              </w:rPr>
              <w:t>第七条 法人验收由项目法人主持。验收工作组由项目法人、设计、施工、监理、材料及苗木供应等单位的代表组成。项目法人可以委托监理单位主持非关键和非重大部位的分部工程验收。</w:t>
            </w:r>
          </w:p>
        </w:tc>
        <w:tc>
          <w:tcPr>
            <w:tcW w:w="1866" w:type="dxa"/>
          </w:tcPr>
          <w:p>
            <w:pPr>
              <w:pStyle w:val="20"/>
              <w:rPr>
                <w:sz w:val="14"/>
              </w:rPr>
            </w:pPr>
          </w:p>
          <w:p>
            <w:pPr>
              <w:pStyle w:val="20"/>
              <w:rPr>
                <w:sz w:val="14"/>
              </w:rPr>
            </w:pPr>
          </w:p>
          <w:p>
            <w:pPr>
              <w:pStyle w:val="20"/>
              <w:spacing w:before="4"/>
              <w:rPr>
                <w:sz w:val="11"/>
              </w:rPr>
            </w:pPr>
          </w:p>
          <w:p>
            <w:pPr>
              <w:pStyle w:val="20"/>
              <w:ind w:left="28"/>
              <w:rPr>
                <w:sz w:val="14"/>
              </w:rPr>
            </w:pPr>
            <w:r>
              <w:rPr>
                <w:w w:val="105"/>
                <w:sz w:val="14"/>
              </w:rPr>
              <w:t>有委托验收的项目。</w:t>
            </w:r>
          </w:p>
        </w:tc>
        <w:tc>
          <w:tcPr>
            <w:tcW w:w="1127" w:type="dxa"/>
          </w:tcPr>
          <w:p>
            <w:pPr>
              <w:pStyle w:val="20"/>
              <w:rPr>
                <w:sz w:val="14"/>
              </w:rPr>
            </w:pPr>
          </w:p>
          <w:p>
            <w:pPr>
              <w:pStyle w:val="20"/>
              <w:spacing w:before="10"/>
              <w:rPr>
                <w:sz w:val="17"/>
              </w:rPr>
            </w:pPr>
          </w:p>
          <w:p>
            <w:pPr>
              <w:pStyle w:val="20"/>
              <w:spacing w:line="252" w:lineRule="auto"/>
              <w:ind w:left="495" w:right="11" w:hanging="451"/>
              <w:rPr>
                <w:sz w:val="14"/>
              </w:rPr>
            </w:pPr>
            <w:r>
              <w:rPr>
                <w:w w:val="105"/>
                <w:sz w:val="14"/>
              </w:rPr>
              <w:t>承诺时限：7</w:t>
            </w:r>
          </w:p>
        </w:tc>
        <w:tc>
          <w:tcPr>
            <w:tcW w:w="911"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240"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166" w:type="dxa"/>
            <w:vMerge w:val="continue"/>
            <w:tcBorders>
              <w:top w:val="nil"/>
            </w:tcBorders>
          </w:tcPr>
          <w:p>
            <w:pPr>
              <w:rPr>
                <w:sz w:val="2"/>
                <w:szCs w:val="2"/>
              </w:rPr>
            </w:pPr>
          </w:p>
        </w:tc>
        <w:tc>
          <w:tcPr>
            <w:tcW w:w="1262" w:type="dxa"/>
          </w:tcPr>
          <w:p>
            <w:pPr>
              <w:pStyle w:val="20"/>
              <w:rPr>
                <w:sz w:val="14"/>
              </w:rPr>
            </w:pPr>
          </w:p>
          <w:p>
            <w:pPr>
              <w:pStyle w:val="20"/>
              <w:spacing w:before="10"/>
              <w:rPr>
                <w:sz w:val="11"/>
              </w:rPr>
            </w:pPr>
          </w:p>
          <w:p>
            <w:pPr>
              <w:pStyle w:val="20"/>
              <w:spacing w:before="1"/>
              <w:ind w:left="32" w:right="16"/>
              <w:jc w:val="center"/>
              <w:rPr>
                <w:sz w:val="14"/>
              </w:rPr>
            </w:pPr>
            <w:r>
              <w:rPr>
                <w:w w:val="105"/>
                <w:sz w:val="14"/>
              </w:rPr>
              <w:t>委托检测</w:t>
            </w:r>
          </w:p>
        </w:tc>
        <w:tc>
          <w:tcPr>
            <w:tcW w:w="6532" w:type="dxa"/>
          </w:tcPr>
          <w:p>
            <w:pPr>
              <w:pStyle w:val="20"/>
              <w:spacing w:before="7"/>
              <w:rPr>
                <w:sz w:val="11"/>
              </w:rPr>
            </w:pPr>
          </w:p>
          <w:p>
            <w:pPr>
              <w:pStyle w:val="20"/>
              <w:ind w:left="27"/>
              <w:rPr>
                <w:sz w:val="14"/>
              </w:rPr>
            </w:pPr>
            <w:r>
              <w:rPr>
                <w:w w:val="105"/>
                <w:sz w:val="14"/>
              </w:rPr>
              <w:t>【部门规章】《水利工程建设项目验收管理规定》（水利部令第30号发布）</w:t>
            </w:r>
          </w:p>
          <w:p>
            <w:pPr>
              <w:pStyle w:val="20"/>
              <w:spacing w:before="4" w:line="249" w:lineRule="auto"/>
              <w:ind w:left="27" w:right="32"/>
              <w:rPr>
                <w:sz w:val="14"/>
              </w:rPr>
            </w:pPr>
            <w:r>
              <w:rPr>
                <w:w w:val="105"/>
                <w:sz w:val="14"/>
              </w:rPr>
              <w:t>第三十六条 竣工验收主持单位可以根据竣工验收的需要，委托具有相应资质的工程质量检测机构对工程质量进行检测。</w:t>
            </w:r>
          </w:p>
        </w:tc>
        <w:tc>
          <w:tcPr>
            <w:tcW w:w="1866" w:type="dxa"/>
          </w:tcPr>
          <w:p>
            <w:pPr>
              <w:pStyle w:val="20"/>
              <w:rPr>
                <w:sz w:val="14"/>
              </w:rPr>
            </w:pPr>
          </w:p>
          <w:p>
            <w:pPr>
              <w:pStyle w:val="20"/>
              <w:spacing w:before="10"/>
              <w:rPr>
                <w:sz w:val="11"/>
              </w:rPr>
            </w:pPr>
          </w:p>
          <w:p>
            <w:pPr>
              <w:pStyle w:val="20"/>
              <w:spacing w:before="1"/>
              <w:ind w:left="28"/>
              <w:rPr>
                <w:sz w:val="14"/>
              </w:rPr>
            </w:pPr>
            <w:r>
              <w:rPr>
                <w:w w:val="105"/>
                <w:sz w:val="14"/>
              </w:rPr>
              <w:t>根据竣工验收的需要。</w:t>
            </w:r>
          </w:p>
        </w:tc>
        <w:tc>
          <w:tcPr>
            <w:tcW w:w="1127" w:type="dxa"/>
          </w:tcPr>
          <w:p>
            <w:pPr>
              <w:pStyle w:val="20"/>
              <w:spacing w:before="9"/>
              <w:rPr>
                <w:sz w:val="18"/>
              </w:rPr>
            </w:pPr>
          </w:p>
          <w:p>
            <w:pPr>
              <w:pStyle w:val="20"/>
              <w:spacing w:line="249" w:lineRule="auto"/>
              <w:ind w:left="495" w:right="11" w:hanging="451"/>
              <w:rPr>
                <w:sz w:val="14"/>
              </w:rPr>
            </w:pPr>
            <w:r>
              <w:rPr>
                <w:w w:val="105"/>
                <w:sz w:val="14"/>
              </w:rPr>
              <w:t>承诺时限：7</w:t>
            </w:r>
          </w:p>
        </w:tc>
        <w:tc>
          <w:tcPr>
            <w:tcW w:w="911" w:type="dxa"/>
            <w:vMerge w:val="continue"/>
            <w:tcBorders>
              <w:top w:val="nil"/>
            </w:tcBorders>
          </w:tcPr>
          <w:p>
            <w:pPr>
              <w:rPr>
                <w:sz w:val="2"/>
                <w:szCs w:val="2"/>
              </w:rPr>
            </w:pPr>
          </w:p>
        </w:tc>
      </w:tr>
    </w:tbl>
    <w:p>
      <w:pPr>
        <w:rPr>
          <w:sz w:val="2"/>
          <w:szCs w:val="2"/>
        </w:rPr>
        <w:sectPr>
          <w:pgSz w:w="16840" w:h="11910" w:orient="landscape"/>
          <w:pgMar w:top="1000" w:right="980" w:bottom="1140" w:left="980" w:header="0" w:footer="72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937"/>
        <w:gridCol w:w="7088"/>
        <w:gridCol w:w="1635"/>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166"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937"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7088" w:type="dxa"/>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635" w:type="dxa"/>
          </w:tcPr>
          <w:p>
            <w:pPr>
              <w:pStyle w:val="20"/>
              <w:spacing w:before="3"/>
              <w:rPr>
                <w:sz w:val="20"/>
              </w:rPr>
            </w:pPr>
          </w:p>
          <w:p>
            <w:pPr>
              <w:pStyle w:val="20"/>
              <w:spacing w:line="242" w:lineRule="auto"/>
              <w:jc w:val="center"/>
              <w:rPr>
                <w:rFonts w:ascii="黑体" w:eastAsia="黑体"/>
                <w:w w:val="105"/>
                <w:sz w:val="14"/>
              </w:rPr>
            </w:pPr>
            <w:r>
              <w:rPr>
                <w:rFonts w:hint="eastAsia" w:ascii="黑体" w:eastAsia="黑体"/>
                <w:w w:val="105"/>
                <w:sz w:val="14"/>
              </w:rPr>
              <w:t>特殊程序</w:t>
            </w:r>
          </w:p>
          <w:p>
            <w:pPr>
              <w:pStyle w:val="20"/>
              <w:spacing w:line="242" w:lineRule="auto"/>
              <w:jc w:val="center"/>
              <w:rPr>
                <w:rFonts w:ascii="黑体" w:eastAsia="黑体"/>
                <w:sz w:val="14"/>
              </w:rPr>
            </w:pPr>
            <w:r>
              <w:rPr>
                <w:rFonts w:hint="eastAsia" w:ascii="黑体" w:eastAsia="黑体"/>
                <w:w w:val="105"/>
                <w:sz w:val="14"/>
              </w:rPr>
              <w:t>适用条件</w:t>
            </w:r>
          </w:p>
        </w:tc>
        <w:tc>
          <w:tcPr>
            <w:tcW w:w="1127"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vAlign w:val="center"/>
          </w:tcPr>
          <w:p>
            <w:pPr>
              <w:pStyle w:val="20"/>
              <w:spacing w:line="242" w:lineRule="auto"/>
              <w:ind w:left="391" w:right="61" w:hanging="303"/>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683" w:hRule="atLeast"/>
          <w:jc w:val="center"/>
        </w:trPr>
        <w:tc>
          <w:tcPr>
            <w:tcW w:w="35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
              <w:rPr>
                <w:sz w:val="12"/>
              </w:rPr>
            </w:pPr>
          </w:p>
          <w:p>
            <w:pPr>
              <w:pStyle w:val="20"/>
              <w:ind w:left="28"/>
              <w:jc w:val="center"/>
              <w:rPr>
                <w:rFonts w:hint="default" w:eastAsia="宋体"/>
                <w:sz w:val="14"/>
                <w:lang w:val="en-US" w:eastAsia="zh-CN"/>
              </w:rPr>
            </w:pPr>
            <w:r>
              <w:rPr>
                <w:rFonts w:hint="eastAsia"/>
                <w:sz w:val="14"/>
                <w:lang w:val="en-US" w:eastAsia="zh-CN"/>
              </w:rPr>
              <w:t>31</w:t>
            </w:r>
          </w:p>
        </w:tc>
        <w:tc>
          <w:tcPr>
            <w:tcW w:w="830"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6"/>
              <w:rPr>
                <w:color w:val="000000" w:themeColor="text1"/>
                <w:sz w:val="11"/>
              </w:rPr>
            </w:pPr>
          </w:p>
          <w:p>
            <w:pPr>
              <w:pStyle w:val="20"/>
              <w:spacing w:line="249" w:lineRule="auto"/>
              <w:ind w:left="40" w:right="28"/>
              <w:jc w:val="center"/>
              <w:rPr>
                <w:color w:val="000000" w:themeColor="text1"/>
                <w:sz w:val="14"/>
              </w:rPr>
            </w:pPr>
            <w:r>
              <w:rPr>
                <w:color w:val="000000" w:themeColor="text1"/>
                <w:w w:val="105"/>
                <w:sz w:val="14"/>
              </w:rPr>
              <w:t>水运建设项目设计文件审批</w:t>
            </w:r>
          </w:p>
        </w:tc>
        <w:tc>
          <w:tcPr>
            <w:tcW w:w="1166"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6"/>
              <w:rPr>
                <w:color w:val="000000" w:themeColor="text1"/>
                <w:sz w:val="11"/>
              </w:rPr>
            </w:pPr>
          </w:p>
          <w:p>
            <w:pPr>
              <w:pStyle w:val="20"/>
              <w:spacing w:line="249" w:lineRule="auto"/>
              <w:ind w:left="27" w:right="79"/>
              <w:rPr>
                <w:color w:val="000000" w:themeColor="text1"/>
                <w:sz w:val="14"/>
              </w:rPr>
            </w:pPr>
            <w:r>
              <w:rPr>
                <w:color w:val="000000" w:themeColor="text1"/>
                <w:w w:val="105"/>
                <w:sz w:val="14"/>
              </w:rPr>
              <w:t>水运建设项目设计文件审批(</w:t>
            </w:r>
            <w:r>
              <w:rPr>
                <w:rFonts w:hint="eastAsia"/>
                <w:color w:val="000000" w:themeColor="text1"/>
                <w:w w:val="105"/>
                <w:sz w:val="14"/>
                <w:lang w:val="en-US"/>
              </w:rPr>
              <w:t>2</w:t>
            </w:r>
            <w:r>
              <w:rPr>
                <w:color w:val="000000" w:themeColor="text1"/>
                <w:w w:val="105"/>
                <w:sz w:val="14"/>
              </w:rPr>
              <w:t>日）</w:t>
            </w:r>
          </w:p>
        </w:tc>
        <w:tc>
          <w:tcPr>
            <w:tcW w:w="937"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1"/>
              <w:rPr>
                <w:color w:val="000000" w:themeColor="text1"/>
                <w:sz w:val="12"/>
              </w:rPr>
            </w:pPr>
          </w:p>
          <w:p>
            <w:pPr>
              <w:pStyle w:val="20"/>
              <w:ind w:left="32" w:right="16"/>
              <w:jc w:val="center"/>
              <w:rPr>
                <w:color w:val="000000" w:themeColor="text1"/>
                <w:sz w:val="14"/>
              </w:rPr>
            </w:pPr>
            <w:r>
              <w:rPr>
                <w:color w:val="000000" w:themeColor="text1"/>
                <w:w w:val="105"/>
                <w:sz w:val="14"/>
              </w:rPr>
              <w:t>委托</w:t>
            </w:r>
            <w:r>
              <w:rPr>
                <w:rFonts w:hint="eastAsia"/>
                <w:color w:val="000000" w:themeColor="text1"/>
                <w:w w:val="105"/>
                <w:sz w:val="14"/>
              </w:rPr>
              <w:t>技术</w:t>
            </w:r>
            <w:r>
              <w:rPr>
                <w:color w:val="000000" w:themeColor="text1"/>
                <w:w w:val="105"/>
                <w:sz w:val="14"/>
              </w:rPr>
              <w:t>审查</w:t>
            </w:r>
            <w:r>
              <w:rPr>
                <w:rFonts w:hint="eastAsia"/>
                <w:color w:val="000000" w:themeColor="text1"/>
                <w:w w:val="105"/>
                <w:sz w:val="14"/>
              </w:rPr>
              <w:t>咨询</w:t>
            </w:r>
          </w:p>
        </w:tc>
        <w:tc>
          <w:tcPr>
            <w:tcW w:w="7088" w:type="dxa"/>
          </w:tcPr>
          <w:p>
            <w:pPr>
              <w:pStyle w:val="20"/>
              <w:spacing w:before="113"/>
              <w:ind w:left="27"/>
              <w:jc w:val="both"/>
              <w:rPr>
                <w:color w:val="000000" w:themeColor="text1"/>
                <w:sz w:val="14"/>
              </w:rPr>
            </w:pPr>
            <w:r>
              <w:rPr>
                <w:color w:val="000000" w:themeColor="text1"/>
                <w:w w:val="105"/>
                <w:sz w:val="14"/>
              </w:rPr>
              <w:t>【部门规章】《航道工程建设管理规定》（中华人民共和国交通部令 2019年第44号）</w:t>
            </w:r>
          </w:p>
          <w:p>
            <w:pPr>
              <w:pStyle w:val="20"/>
              <w:spacing w:before="113"/>
              <w:ind w:left="27"/>
              <w:jc w:val="both"/>
              <w:rPr>
                <w:color w:val="000000" w:themeColor="text1"/>
                <w:w w:val="105"/>
                <w:sz w:val="14"/>
              </w:rPr>
            </w:pPr>
            <w:r>
              <w:rPr>
                <w:color w:val="000000" w:themeColor="text1"/>
                <w:w w:val="105"/>
                <w:sz w:val="14"/>
              </w:rPr>
              <w:t>第十七条 对于技术复杂、难度较大、风险较大的航道工程建设项目，负责初步设计审批的部门在审批初步设计前应当委托初步设计编制单位以外的其他设计单位进行技术审查咨询。受委托的设计单位资质等级应当不低于原初步设计文件编制单位资质等级。</w:t>
            </w:r>
          </w:p>
          <w:p>
            <w:pPr>
              <w:pStyle w:val="20"/>
              <w:spacing w:before="113"/>
              <w:ind w:left="27"/>
              <w:jc w:val="both"/>
              <w:rPr>
                <w:color w:val="000000" w:themeColor="text1"/>
                <w:w w:val="105"/>
                <w:sz w:val="14"/>
              </w:rPr>
            </w:pPr>
            <w:r>
              <w:rPr>
                <w:color w:val="000000" w:themeColor="text1"/>
                <w:w w:val="105"/>
                <w:sz w:val="14"/>
              </w:rPr>
              <w:t>对于航运枢纽、通航建筑物等技术复杂、难度较大、风险较大的航道工程建设项目，负责施工图设计审批的部门在审批施工图设计前应当委托施工图设计单位以外的其他设计单位进行技术审查咨询。受委托的设计单位资质等级应当不低于原施工图设计文件编制单位资质等级。</w:t>
            </w:r>
          </w:p>
          <w:p>
            <w:pPr>
              <w:pStyle w:val="20"/>
              <w:spacing w:before="113"/>
              <w:ind w:left="27"/>
              <w:jc w:val="both"/>
              <w:rPr>
                <w:color w:val="000000" w:themeColor="text1"/>
                <w:w w:val="105"/>
                <w:sz w:val="14"/>
              </w:rPr>
            </w:pPr>
            <w:r>
              <w:rPr>
                <w:color w:val="000000" w:themeColor="text1"/>
                <w:w w:val="105"/>
                <w:sz w:val="14"/>
              </w:rPr>
              <w:t>【部门规章】《港口工程建设管理规定》（中华人民共和国交通部令 2019年第32号）</w:t>
            </w:r>
          </w:p>
          <w:p>
            <w:pPr>
              <w:pStyle w:val="20"/>
              <w:spacing w:before="113"/>
              <w:ind w:left="27"/>
              <w:jc w:val="both"/>
              <w:rPr>
                <w:color w:val="000000" w:themeColor="text1"/>
                <w:w w:val="105"/>
                <w:sz w:val="14"/>
              </w:rPr>
            </w:pPr>
            <w:r>
              <w:rPr>
                <w:color w:val="000000" w:themeColor="text1"/>
                <w:w w:val="105"/>
                <w:sz w:val="14"/>
              </w:rPr>
              <w:t>第十九条 对于技术复杂、难度较大、风险较大的港口工程建设项目，交通运输主管部门或者所在地港口行政管理部门在审批初步设计前应当委托另一设计单位进行技术审查咨询。受委托的设计单位资质等级应当不低于原初步设计文件编制单位资质等级。</w:t>
            </w:r>
          </w:p>
          <w:p>
            <w:pPr>
              <w:pStyle w:val="20"/>
              <w:spacing w:before="113"/>
              <w:ind w:left="27"/>
              <w:jc w:val="both"/>
              <w:rPr>
                <w:color w:val="000000" w:themeColor="text1"/>
                <w:sz w:val="14"/>
              </w:rPr>
            </w:pPr>
            <w:r>
              <w:rPr>
                <w:color w:val="000000" w:themeColor="text1"/>
                <w:w w:val="105"/>
                <w:sz w:val="14"/>
              </w:rPr>
              <w:t>所在地港口行政管理部门在审批施工图设计前应当委托另一设计单位进行技术审查咨询。受委托的设计单位资质等级应当不低于原施工图设计文件编制单位资质等级。</w:t>
            </w:r>
          </w:p>
        </w:tc>
        <w:tc>
          <w:tcPr>
            <w:tcW w:w="1635" w:type="dxa"/>
          </w:tcPr>
          <w:p>
            <w:pPr>
              <w:pStyle w:val="20"/>
              <w:rPr>
                <w:color w:val="000000" w:themeColor="text1"/>
                <w:sz w:val="14"/>
              </w:rPr>
            </w:pPr>
          </w:p>
          <w:p>
            <w:pPr>
              <w:pStyle w:val="20"/>
              <w:rPr>
                <w:color w:val="000000" w:themeColor="text1"/>
                <w:sz w:val="14"/>
              </w:rPr>
            </w:pPr>
          </w:p>
          <w:p>
            <w:pPr>
              <w:pStyle w:val="20"/>
              <w:spacing w:before="12"/>
              <w:rPr>
                <w:color w:val="000000" w:themeColor="text1"/>
                <w:sz w:val="18"/>
              </w:rPr>
            </w:pPr>
          </w:p>
          <w:p>
            <w:pPr>
              <w:pStyle w:val="20"/>
              <w:spacing w:line="244" w:lineRule="auto"/>
              <w:ind w:left="28" w:right="1"/>
              <w:rPr>
                <w:color w:val="000000" w:themeColor="text1"/>
                <w:w w:val="105"/>
                <w:sz w:val="14"/>
              </w:rPr>
            </w:pPr>
            <w:r>
              <w:rPr>
                <w:color w:val="000000" w:themeColor="text1"/>
                <w:w w:val="105"/>
                <w:sz w:val="14"/>
              </w:rPr>
              <w:t>技术复杂、难度较大、风险较大的航道工程建设项目。</w:t>
            </w:r>
          </w:p>
          <w:p>
            <w:pPr>
              <w:pStyle w:val="20"/>
              <w:spacing w:line="244" w:lineRule="auto"/>
              <w:ind w:left="28" w:right="1"/>
              <w:rPr>
                <w:color w:val="000000" w:themeColor="text1"/>
                <w:w w:val="105"/>
                <w:sz w:val="14"/>
              </w:rPr>
            </w:pPr>
            <w:r>
              <w:rPr>
                <w:rFonts w:hint="eastAsia"/>
                <w:color w:val="000000" w:themeColor="text1"/>
                <w:w w:val="105"/>
                <w:sz w:val="14"/>
              </w:rPr>
              <w:t>初步设计：</w:t>
            </w:r>
            <w:r>
              <w:rPr>
                <w:color w:val="000000" w:themeColor="text1"/>
                <w:w w:val="105"/>
                <w:sz w:val="14"/>
              </w:rPr>
              <w:t>技术复杂、难度较大、风险较大的港口工程建设项目</w:t>
            </w:r>
          </w:p>
          <w:p>
            <w:pPr>
              <w:pStyle w:val="20"/>
              <w:spacing w:line="244" w:lineRule="auto"/>
              <w:ind w:left="28" w:right="1"/>
              <w:rPr>
                <w:color w:val="000000" w:themeColor="text1"/>
                <w:w w:val="105"/>
                <w:sz w:val="14"/>
              </w:rPr>
            </w:pPr>
            <w:r>
              <w:rPr>
                <w:rFonts w:hint="eastAsia"/>
                <w:color w:val="000000" w:themeColor="text1"/>
                <w:w w:val="105"/>
                <w:sz w:val="14"/>
              </w:rPr>
              <w:t>施工图设计：</w:t>
            </w:r>
            <w:r>
              <w:rPr>
                <w:color w:val="000000" w:themeColor="text1"/>
                <w:w w:val="105"/>
                <w:sz w:val="14"/>
              </w:rPr>
              <w:t>港口工程建设项目</w:t>
            </w:r>
          </w:p>
          <w:p>
            <w:pPr>
              <w:pStyle w:val="20"/>
              <w:spacing w:line="244" w:lineRule="auto"/>
              <w:ind w:left="28" w:right="1"/>
              <w:rPr>
                <w:color w:val="000000" w:themeColor="text1"/>
                <w:w w:val="105"/>
                <w:sz w:val="14"/>
              </w:rPr>
            </w:pPr>
          </w:p>
          <w:p>
            <w:pPr>
              <w:pStyle w:val="20"/>
              <w:spacing w:line="244" w:lineRule="auto"/>
              <w:ind w:left="28" w:right="1"/>
              <w:rPr>
                <w:color w:val="000000" w:themeColor="text1"/>
                <w:w w:val="105"/>
                <w:sz w:val="14"/>
              </w:rPr>
            </w:pPr>
          </w:p>
        </w:tc>
        <w:tc>
          <w:tcPr>
            <w:tcW w:w="1127"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6"/>
              <w:rPr>
                <w:color w:val="000000" w:themeColor="text1"/>
                <w:sz w:val="11"/>
              </w:rPr>
            </w:pPr>
          </w:p>
          <w:p>
            <w:pPr>
              <w:pStyle w:val="20"/>
              <w:spacing w:line="249" w:lineRule="auto"/>
              <w:ind w:left="44" w:right="11"/>
              <w:rPr>
                <w:color w:val="000000" w:themeColor="text1"/>
                <w:sz w:val="14"/>
              </w:rPr>
            </w:pPr>
            <w:r>
              <w:rPr>
                <w:color w:val="000000" w:themeColor="text1"/>
                <w:spacing w:val="-1"/>
                <w:w w:val="105"/>
                <w:sz w:val="14"/>
              </w:rPr>
              <w:t>承诺时限：</w:t>
            </w:r>
            <w:r>
              <w:rPr>
                <w:color w:val="000000" w:themeColor="text1"/>
                <w:w w:val="105"/>
                <w:sz w:val="14"/>
                <w:lang w:val="en-US"/>
              </w:rPr>
              <w:t>7</w:t>
            </w:r>
          </w:p>
        </w:tc>
        <w:tc>
          <w:tcPr>
            <w:tcW w:w="911" w:type="dxa"/>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8"/>
              </w:rPr>
            </w:pPr>
          </w:p>
          <w:p>
            <w:pPr>
              <w:pStyle w:val="20"/>
              <w:spacing w:line="244" w:lineRule="auto"/>
              <w:rPr>
                <w:color w:val="000000" w:themeColor="text1"/>
                <w:sz w:val="14"/>
              </w:rPr>
            </w:pPr>
            <w:r>
              <w:rPr>
                <w:rFonts w:hint="eastAsia"/>
                <w:color w:val="000000" w:themeColor="text1"/>
                <w:sz w:val="14"/>
              </w:rPr>
              <w:t>区</w:t>
            </w:r>
            <w:r>
              <w:rPr>
                <w:color w:val="000000" w:themeColor="text1"/>
                <w:sz w:val="14"/>
              </w:rPr>
              <w:t>交通运输局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908" w:hRule="atLeast"/>
          <w:jc w:val="center"/>
        </w:trPr>
        <w:tc>
          <w:tcPr>
            <w:tcW w:w="350" w:type="dxa"/>
          </w:tcPr>
          <w:p>
            <w:pPr>
              <w:pStyle w:val="20"/>
              <w:rPr>
                <w:sz w:val="14"/>
              </w:rPr>
            </w:pPr>
          </w:p>
          <w:p>
            <w:pPr>
              <w:pStyle w:val="20"/>
              <w:rPr>
                <w:sz w:val="14"/>
              </w:rPr>
            </w:pPr>
          </w:p>
          <w:p>
            <w:pPr>
              <w:pStyle w:val="20"/>
              <w:spacing w:before="8"/>
              <w:rPr>
                <w:sz w:val="17"/>
              </w:rPr>
            </w:pPr>
          </w:p>
          <w:p>
            <w:pPr>
              <w:pStyle w:val="20"/>
              <w:spacing w:before="8"/>
              <w:rPr>
                <w:sz w:val="17"/>
              </w:rPr>
            </w:pPr>
          </w:p>
          <w:p>
            <w:pPr>
              <w:pStyle w:val="20"/>
              <w:ind w:left="28"/>
              <w:jc w:val="center"/>
              <w:rPr>
                <w:rFonts w:hint="default" w:eastAsia="宋体"/>
                <w:sz w:val="14"/>
                <w:lang w:val="en-US" w:eastAsia="zh-CN"/>
              </w:rPr>
            </w:pPr>
            <w:r>
              <w:rPr>
                <w:rFonts w:hint="eastAsia"/>
                <w:w w:val="105"/>
                <w:sz w:val="14"/>
                <w:lang w:val="en-US" w:eastAsia="zh-CN"/>
              </w:rPr>
              <w:t>32</w:t>
            </w:r>
          </w:p>
        </w:tc>
        <w:tc>
          <w:tcPr>
            <w:tcW w:w="830" w:type="dxa"/>
          </w:tcPr>
          <w:p>
            <w:pPr>
              <w:pStyle w:val="20"/>
              <w:rPr>
                <w:sz w:val="14"/>
              </w:rPr>
            </w:pPr>
          </w:p>
          <w:p>
            <w:pPr>
              <w:pStyle w:val="20"/>
              <w:rPr>
                <w:sz w:val="14"/>
              </w:rPr>
            </w:pPr>
          </w:p>
          <w:p>
            <w:pPr>
              <w:pStyle w:val="20"/>
              <w:spacing w:before="1"/>
              <w:rPr>
                <w:sz w:val="10"/>
              </w:rPr>
            </w:pPr>
          </w:p>
          <w:p>
            <w:pPr>
              <w:pStyle w:val="20"/>
              <w:spacing w:before="1"/>
              <w:rPr>
                <w:sz w:val="10"/>
              </w:rPr>
            </w:pPr>
          </w:p>
          <w:p>
            <w:pPr>
              <w:pStyle w:val="20"/>
              <w:spacing w:before="1"/>
              <w:rPr>
                <w:sz w:val="10"/>
              </w:rPr>
            </w:pPr>
          </w:p>
          <w:p>
            <w:pPr>
              <w:pStyle w:val="20"/>
              <w:spacing w:line="252" w:lineRule="auto"/>
              <w:ind w:left="194" w:right="28" w:hanging="154"/>
              <w:rPr>
                <w:sz w:val="14"/>
              </w:rPr>
            </w:pPr>
            <w:r>
              <w:rPr>
                <w:w w:val="105"/>
                <w:sz w:val="14"/>
              </w:rPr>
              <w:t>港口岸线使用审批</w:t>
            </w:r>
          </w:p>
        </w:tc>
        <w:tc>
          <w:tcPr>
            <w:tcW w:w="1166" w:type="dxa"/>
          </w:tcPr>
          <w:p>
            <w:pPr>
              <w:pStyle w:val="20"/>
              <w:rPr>
                <w:sz w:val="14"/>
              </w:rPr>
            </w:pPr>
          </w:p>
          <w:p>
            <w:pPr>
              <w:pStyle w:val="20"/>
              <w:rPr>
                <w:sz w:val="14"/>
              </w:rPr>
            </w:pPr>
          </w:p>
          <w:p>
            <w:pPr>
              <w:pStyle w:val="20"/>
              <w:rPr>
                <w:sz w:val="14"/>
              </w:rPr>
            </w:pPr>
          </w:p>
          <w:p>
            <w:pPr>
              <w:pStyle w:val="20"/>
              <w:spacing w:before="1"/>
              <w:rPr>
                <w:sz w:val="10"/>
              </w:rPr>
            </w:pPr>
          </w:p>
          <w:p>
            <w:pPr>
              <w:pStyle w:val="20"/>
              <w:spacing w:line="252" w:lineRule="auto"/>
              <w:ind w:left="27" w:right="79"/>
              <w:rPr>
                <w:sz w:val="14"/>
              </w:rPr>
            </w:pPr>
            <w:r>
              <w:rPr>
                <w:w w:val="105"/>
                <w:sz w:val="14"/>
              </w:rPr>
              <w:t>港口岸线使用审批（10日）</w:t>
            </w:r>
          </w:p>
        </w:tc>
        <w:tc>
          <w:tcPr>
            <w:tcW w:w="937" w:type="dxa"/>
          </w:tcPr>
          <w:p>
            <w:pPr>
              <w:pStyle w:val="20"/>
              <w:rPr>
                <w:sz w:val="14"/>
              </w:rPr>
            </w:pPr>
          </w:p>
          <w:p>
            <w:pPr>
              <w:pStyle w:val="20"/>
              <w:rPr>
                <w:sz w:val="14"/>
              </w:rPr>
            </w:pPr>
          </w:p>
          <w:p>
            <w:pPr>
              <w:pStyle w:val="20"/>
              <w:spacing w:before="8"/>
              <w:rPr>
                <w:sz w:val="17"/>
              </w:rPr>
            </w:pPr>
          </w:p>
          <w:p>
            <w:pPr>
              <w:pStyle w:val="20"/>
              <w:ind w:left="20" w:right="11"/>
              <w:jc w:val="center"/>
              <w:rPr>
                <w:sz w:val="14"/>
              </w:rPr>
            </w:pPr>
            <w:r>
              <w:rPr>
                <w:w w:val="105"/>
                <w:sz w:val="14"/>
              </w:rPr>
              <w:t>征求有关部门意见</w:t>
            </w:r>
          </w:p>
        </w:tc>
        <w:tc>
          <w:tcPr>
            <w:tcW w:w="7088" w:type="dxa"/>
          </w:tcPr>
          <w:p>
            <w:pPr>
              <w:pStyle w:val="20"/>
              <w:spacing w:before="95" w:line="252" w:lineRule="auto"/>
              <w:ind w:left="27"/>
              <w:rPr>
                <w:sz w:val="14"/>
              </w:rPr>
            </w:pPr>
            <w:r>
              <w:rPr>
                <w:w w:val="105"/>
                <w:sz w:val="14"/>
              </w:rPr>
              <w:t>【政策文件】《交通部关于发布港口深水岸线标准的公告 》（中华人民共和国交通部公告 2004年第5号）</w:t>
            </w:r>
          </w:p>
          <w:p>
            <w:pPr>
              <w:pStyle w:val="20"/>
              <w:spacing w:line="247" w:lineRule="auto"/>
              <w:ind w:left="27"/>
              <w:rPr>
                <w:sz w:val="14"/>
              </w:rPr>
            </w:pPr>
            <w:r>
              <w:rPr>
                <w:w w:val="105"/>
                <w:sz w:val="14"/>
              </w:rPr>
              <w:t>建设港口设施使用非深水岸线的，由各城市港口管理机构征求同级人民政府有关部门和海事部门意见后，向省、自治区、直辖市交通厅、交通委员会或港口管理局提出申请，各省、自治区、直辖市交通厅、交通委员会或港口管理局应对使用港口非深水岸线的合理性进行评估，并征求同级发展和改革委员会（计委）的意见后审批，审批结果报我部备案。</w:t>
            </w:r>
          </w:p>
          <w:p>
            <w:pPr>
              <w:pStyle w:val="20"/>
              <w:spacing w:before="3" w:line="249" w:lineRule="auto"/>
              <w:ind w:left="27" w:right="37"/>
              <w:rPr>
                <w:sz w:val="14"/>
              </w:rPr>
            </w:pPr>
            <w:r>
              <w:rPr>
                <w:w w:val="105"/>
                <w:sz w:val="14"/>
              </w:rPr>
              <w:t>【行政法规】《山东省港口条例》（2009年11月18日山东省第十一届人民代表大会常务委员会第十四次会议通过）</w:t>
            </w:r>
          </w:p>
          <w:p>
            <w:pPr>
              <w:pStyle w:val="20"/>
              <w:spacing w:before="1" w:line="249" w:lineRule="auto"/>
              <w:ind w:left="27"/>
              <w:jc w:val="both"/>
              <w:rPr>
                <w:sz w:val="14"/>
              </w:rPr>
            </w:pPr>
            <w:r>
              <w:rPr>
                <w:w w:val="105"/>
                <w:sz w:val="14"/>
              </w:rPr>
              <w:t>第十五条 对申请使用港口非深水岸线的，设区的市人民政府交通港口管理部门应当自受理之日起二十日内征求本级人民政府有关部门和海事管理机构意见后，报省人民政府交通港口管理部门征求发展改革部门意见后审批，省人民政府交通港口管理部门应当自受理申请之日起二十日内，作出批准或者不予批准的决定。</w:t>
            </w:r>
          </w:p>
        </w:tc>
        <w:tc>
          <w:tcPr>
            <w:tcW w:w="1635" w:type="dxa"/>
          </w:tcPr>
          <w:p>
            <w:pPr>
              <w:pStyle w:val="20"/>
              <w:rPr>
                <w:sz w:val="14"/>
              </w:rPr>
            </w:pPr>
          </w:p>
          <w:p>
            <w:pPr>
              <w:pStyle w:val="20"/>
              <w:rPr>
                <w:sz w:val="14"/>
              </w:rPr>
            </w:pPr>
          </w:p>
          <w:p>
            <w:pPr>
              <w:pStyle w:val="20"/>
              <w:rPr>
                <w:sz w:val="14"/>
              </w:rPr>
            </w:pPr>
          </w:p>
          <w:p>
            <w:pPr>
              <w:pStyle w:val="20"/>
              <w:rPr>
                <w:sz w:val="14"/>
              </w:rPr>
            </w:pPr>
          </w:p>
          <w:p>
            <w:pPr>
              <w:pStyle w:val="20"/>
              <w:spacing w:before="1"/>
              <w:rPr>
                <w:sz w:val="10"/>
              </w:rPr>
            </w:pPr>
          </w:p>
          <w:p>
            <w:pPr>
              <w:pStyle w:val="20"/>
              <w:spacing w:line="252" w:lineRule="auto"/>
              <w:ind w:left="28" w:right="21"/>
              <w:rPr>
                <w:sz w:val="14"/>
              </w:rPr>
            </w:pPr>
            <w:r>
              <w:rPr>
                <w:w w:val="105"/>
                <w:sz w:val="14"/>
              </w:rPr>
              <w:t>建设港口设施使用非深水岸线的。</w:t>
            </w:r>
          </w:p>
        </w:tc>
        <w:tc>
          <w:tcPr>
            <w:tcW w:w="1127" w:type="dxa"/>
          </w:tcPr>
          <w:p>
            <w:pPr>
              <w:pStyle w:val="20"/>
              <w:rPr>
                <w:sz w:val="14"/>
              </w:rPr>
            </w:pPr>
          </w:p>
          <w:p>
            <w:pPr>
              <w:pStyle w:val="20"/>
              <w:rPr>
                <w:sz w:val="14"/>
              </w:rPr>
            </w:pPr>
          </w:p>
          <w:p>
            <w:pPr>
              <w:pStyle w:val="20"/>
              <w:rPr>
                <w:sz w:val="14"/>
              </w:rPr>
            </w:pPr>
          </w:p>
          <w:p>
            <w:pPr>
              <w:pStyle w:val="20"/>
              <w:rPr>
                <w:sz w:val="14"/>
              </w:rPr>
            </w:pPr>
          </w:p>
          <w:p>
            <w:pPr>
              <w:pStyle w:val="20"/>
              <w:spacing w:before="1"/>
              <w:rPr>
                <w:sz w:val="10"/>
              </w:rPr>
            </w:pPr>
          </w:p>
          <w:p>
            <w:pPr>
              <w:pStyle w:val="20"/>
              <w:spacing w:line="252" w:lineRule="auto"/>
              <w:ind w:left="495" w:right="11" w:hanging="451"/>
              <w:rPr>
                <w:sz w:val="14"/>
              </w:rPr>
            </w:pPr>
            <w:r>
              <w:rPr>
                <w:w w:val="105"/>
                <w:sz w:val="14"/>
              </w:rPr>
              <w:t>承诺时限：7</w:t>
            </w:r>
          </w:p>
        </w:tc>
        <w:tc>
          <w:tcPr>
            <w:tcW w:w="911" w:type="dxa"/>
          </w:tcPr>
          <w:p>
            <w:pPr>
              <w:pStyle w:val="20"/>
              <w:rPr>
                <w:sz w:val="14"/>
              </w:rPr>
            </w:pPr>
          </w:p>
          <w:p>
            <w:pPr>
              <w:pStyle w:val="20"/>
              <w:rPr>
                <w:sz w:val="14"/>
              </w:rPr>
            </w:pPr>
          </w:p>
          <w:p>
            <w:pPr>
              <w:pStyle w:val="20"/>
              <w:rPr>
                <w:sz w:val="14"/>
              </w:rPr>
            </w:pPr>
          </w:p>
          <w:p>
            <w:pPr>
              <w:pStyle w:val="20"/>
              <w:rPr>
                <w:sz w:val="14"/>
              </w:rPr>
            </w:pPr>
          </w:p>
          <w:p>
            <w:pPr>
              <w:pStyle w:val="20"/>
              <w:rPr>
                <w:sz w:val="10"/>
              </w:rPr>
            </w:pPr>
          </w:p>
          <w:p>
            <w:pPr>
              <w:pStyle w:val="20"/>
              <w:spacing w:line="252" w:lineRule="auto"/>
              <w:rPr>
                <w:sz w:val="14"/>
              </w:rPr>
            </w:pPr>
            <w:r>
              <w:rPr>
                <w:rFonts w:hint="eastAsia"/>
                <w:sz w:val="14"/>
              </w:rPr>
              <w:t>区海洋发展局</w:t>
            </w:r>
          </w:p>
        </w:tc>
      </w:tr>
    </w:tbl>
    <w:p>
      <w:r>
        <w:br w:type="page"/>
      </w: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166"/>
        <w:gridCol w:w="937"/>
        <w:gridCol w:w="7088"/>
        <w:gridCol w:w="1635"/>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94" w:hRule="atLeast"/>
          <w:jc w:val="center"/>
        </w:trPr>
        <w:tc>
          <w:tcPr>
            <w:tcW w:w="350" w:type="dxa"/>
            <w:tcBorders>
              <w:top w:val="single" w:color="auto" w:sz="4" w:space="0"/>
              <w:left w:val="single" w:color="auto" w:sz="4" w:space="0"/>
              <w:bottom w:val="single" w:color="auto" w:sz="4" w:space="0"/>
              <w:right w:val="single" w:color="auto" w:sz="4" w:space="0"/>
            </w:tcBorders>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Borders>
              <w:top w:val="single" w:color="auto" w:sz="4" w:space="0"/>
              <w:left w:val="single" w:color="auto" w:sz="4" w:space="0"/>
              <w:bottom w:val="single" w:color="auto" w:sz="4" w:space="0"/>
              <w:right w:val="single" w:color="auto" w:sz="4" w:space="0"/>
            </w:tcBorders>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166" w:type="dxa"/>
            <w:tcBorders>
              <w:top w:val="single" w:color="auto" w:sz="4" w:space="0"/>
              <w:left w:val="single" w:color="auto" w:sz="4" w:space="0"/>
              <w:bottom w:val="single" w:color="auto" w:sz="4" w:space="0"/>
              <w:right w:val="single" w:color="auto" w:sz="4" w:space="0"/>
            </w:tcBorders>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937" w:type="dxa"/>
            <w:tcBorders>
              <w:top w:val="single" w:color="auto" w:sz="4" w:space="0"/>
              <w:left w:val="single" w:color="auto" w:sz="4" w:space="0"/>
              <w:bottom w:val="single" w:color="auto" w:sz="4" w:space="0"/>
              <w:right w:val="single" w:color="auto" w:sz="4" w:space="0"/>
            </w:tcBorders>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7088" w:type="dxa"/>
            <w:tcBorders>
              <w:top w:val="single" w:color="auto" w:sz="4" w:space="0"/>
              <w:left w:val="single" w:color="auto" w:sz="4" w:space="0"/>
              <w:bottom w:val="single" w:color="auto" w:sz="4" w:space="0"/>
              <w:right w:val="single" w:color="auto" w:sz="4" w:space="0"/>
            </w:tcBorders>
          </w:tcPr>
          <w:p>
            <w:pPr>
              <w:pStyle w:val="20"/>
              <w:rPr>
                <w:sz w:val="14"/>
              </w:rPr>
            </w:pPr>
          </w:p>
          <w:p>
            <w:pPr>
              <w:pStyle w:val="20"/>
              <w:spacing w:before="3"/>
              <w:rPr>
                <w:sz w:val="13"/>
              </w:rPr>
            </w:pPr>
          </w:p>
          <w:p>
            <w:pPr>
              <w:pStyle w:val="20"/>
              <w:spacing w:before="1"/>
              <w:ind w:left="2655" w:right="2645"/>
              <w:jc w:val="center"/>
              <w:rPr>
                <w:rFonts w:ascii="黑体" w:eastAsia="黑体"/>
                <w:sz w:val="14"/>
              </w:rPr>
            </w:pPr>
            <w:r>
              <w:rPr>
                <w:rFonts w:hint="eastAsia" w:ascii="黑体" w:eastAsia="黑体"/>
                <w:w w:val="105"/>
                <w:sz w:val="14"/>
              </w:rPr>
              <w:t>特殊程序主要依据</w:t>
            </w:r>
          </w:p>
        </w:tc>
        <w:tc>
          <w:tcPr>
            <w:tcW w:w="1635" w:type="dxa"/>
            <w:tcBorders>
              <w:top w:val="single" w:color="auto" w:sz="4" w:space="0"/>
              <w:left w:val="single" w:color="auto" w:sz="4" w:space="0"/>
              <w:bottom w:val="single" w:color="auto" w:sz="4" w:space="0"/>
              <w:right w:val="single" w:color="auto" w:sz="4" w:space="0"/>
            </w:tcBorders>
          </w:tcPr>
          <w:p>
            <w:pPr>
              <w:pStyle w:val="20"/>
              <w:spacing w:before="3"/>
              <w:rPr>
                <w:sz w:val="20"/>
              </w:rPr>
            </w:pPr>
          </w:p>
          <w:p>
            <w:pPr>
              <w:pStyle w:val="20"/>
              <w:spacing w:line="242" w:lineRule="auto"/>
              <w:jc w:val="center"/>
              <w:rPr>
                <w:rFonts w:ascii="黑体" w:eastAsia="黑体"/>
                <w:w w:val="105"/>
                <w:sz w:val="14"/>
              </w:rPr>
            </w:pPr>
            <w:r>
              <w:rPr>
                <w:rFonts w:hint="eastAsia" w:ascii="黑体" w:eastAsia="黑体"/>
                <w:w w:val="105"/>
                <w:sz w:val="14"/>
              </w:rPr>
              <w:t>特殊程序</w:t>
            </w:r>
          </w:p>
          <w:p>
            <w:pPr>
              <w:pStyle w:val="20"/>
              <w:spacing w:line="242" w:lineRule="auto"/>
              <w:jc w:val="center"/>
              <w:rPr>
                <w:rFonts w:ascii="黑体" w:eastAsia="黑体"/>
                <w:sz w:val="14"/>
              </w:rPr>
            </w:pPr>
            <w:r>
              <w:rPr>
                <w:rFonts w:hint="eastAsia" w:ascii="黑体" w:eastAsia="黑体"/>
                <w:w w:val="105"/>
                <w:sz w:val="14"/>
              </w:rPr>
              <w:t>适用条件</w:t>
            </w:r>
          </w:p>
        </w:tc>
        <w:tc>
          <w:tcPr>
            <w:tcW w:w="1127" w:type="dxa"/>
            <w:tcBorders>
              <w:top w:val="single" w:color="auto" w:sz="4" w:space="0"/>
              <w:left w:val="single" w:color="auto" w:sz="4" w:space="0"/>
              <w:bottom w:val="single" w:color="auto" w:sz="4" w:space="0"/>
              <w:right w:val="single" w:color="auto" w:sz="4" w:space="0"/>
            </w:tcBorders>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tcBorders>
              <w:top w:val="single" w:color="auto" w:sz="4" w:space="0"/>
              <w:left w:val="single" w:color="auto" w:sz="4" w:space="0"/>
              <w:bottom w:val="single" w:color="auto" w:sz="4" w:space="0"/>
              <w:right w:val="single" w:color="auto" w:sz="4" w:space="0"/>
            </w:tcBorders>
            <w:vAlign w:val="center"/>
          </w:tcPr>
          <w:p>
            <w:pPr>
              <w:pStyle w:val="20"/>
              <w:spacing w:line="242" w:lineRule="auto"/>
              <w:ind w:left="391" w:right="61" w:hanging="303"/>
              <w:jc w:val="center"/>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654" w:hRule="atLeast"/>
          <w:jc w:val="center"/>
        </w:trPr>
        <w:tc>
          <w:tcPr>
            <w:tcW w:w="350" w:type="dxa"/>
            <w:tcBorders>
              <w:top w:val="single" w:color="auto" w:sz="4" w:space="0"/>
              <w:left w:val="single" w:color="auto" w:sz="4" w:space="0"/>
              <w:bottom w:val="single" w:color="auto" w:sz="4" w:space="0"/>
              <w:right w:val="single" w:color="auto" w:sz="4" w:space="0"/>
            </w:tcBorders>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0"/>
              <w:rPr>
                <w:sz w:val="18"/>
              </w:rPr>
            </w:pPr>
          </w:p>
          <w:p>
            <w:pPr>
              <w:pStyle w:val="20"/>
              <w:spacing w:before="1"/>
              <w:ind w:left="28"/>
              <w:jc w:val="center"/>
              <w:rPr>
                <w:rFonts w:hint="default" w:eastAsia="宋体"/>
                <w:sz w:val="14"/>
                <w:lang w:val="en-US" w:eastAsia="zh-CN"/>
              </w:rPr>
            </w:pPr>
            <w:r>
              <w:rPr>
                <w:rFonts w:hint="eastAsia"/>
                <w:w w:val="105"/>
                <w:sz w:val="14"/>
                <w:lang w:val="en-US" w:eastAsia="zh-CN"/>
              </w:rPr>
              <w:t>33</w:t>
            </w:r>
          </w:p>
        </w:tc>
        <w:tc>
          <w:tcPr>
            <w:tcW w:w="830" w:type="dxa"/>
            <w:tcBorders>
              <w:top w:val="single" w:color="auto" w:sz="4" w:space="0"/>
              <w:left w:val="single" w:color="auto" w:sz="4" w:space="0"/>
              <w:bottom w:val="single" w:color="auto" w:sz="4" w:space="0"/>
              <w:right w:val="single" w:color="auto" w:sz="4" w:space="0"/>
            </w:tcBorders>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8"/>
              <w:rPr>
                <w:color w:val="000000" w:themeColor="text1"/>
                <w:sz w:val="18"/>
              </w:rPr>
            </w:pPr>
          </w:p>
          <w:p>
            <w:pPr>
              <w:pStyle w:val="20"/>
              <w:spacing w:line="247" w:lineRule="auto"/>
              <w:ind w:left="40" w:right="28"/>
              <w:jc w:val="center"/>
              <w:rPr>
                <w:color w:val="000000" w:themeColor="text1"/>
                <w:sz w:val="14"/>
              </w:rPr>
            </w:pPr>
            <w:r>
              <w:rPr>
                <w:color w:val="000000" w:themeColor="text1"/>
                <w:w w:val="105"/>
                <w:sz w:val="14"/>
              </w:rPr>
              <w:t>水运工程建设项目竣工验收</w:t>
            </w:r>
          </w:p>
        </w:tc>
        <w:tc>
          <w:tcPr>
            <w:tcW w:w="1166" w:type="dxa"/>
            <w:tcBorders>
              <w:top w:val="single" w:color="auto" w:sz="4" w:space="0"/>
              <w:left w:val="single" w:color="auto" w:sz="4" w:space="0"/>
              <w:bottom w:val="single" w:color="auto" w:sz="4" w:space="0"/>
              <w:right w:val="single" w:color="auto" w:sz="4" w:space="0"/>
            </w:tcBorders>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8"/>
              <w:rPr>
                <w:color w:val="000000" w:themeColor="text1"/>
                <w:sz w:val="18"/>
              </w:rPr>
            </w:pPr>
          </w:p>
          <w:p>
            <w:pPr>
              <w:pStyle w:val="20"/>
              <w:spacing w:line="247" w:lineRule="auto"/>
              <w:ind w:left="27" w:right="66"/>
              <w:jc w:val="both"/>
              <w:rPr>
                <w:color w:val="000000" w:themeColor="text1"/>
                <w:sz w:val="14"/>
              </w:rPr>
            </w:pPr>
            <w:r>
              <w:rPr>
                <w:color w:val="000000" w:themeColor="text1"/>
                <w:w w:val="105"/>
                <w:sz w:val="14"/>
              </w:rPr>
              <w:t>水运工程建设项目竣工验收（</w:t>
            </w:r>
            <w:r>
              <w:rPr>
                <w:rFonts w:hint="eastAsia"/>
                <w:color w:val="000000" w:themeColor="text1"/>
                <w:w w:val="105"/>
                <w:sz w:val="14"/>
                <w:lang w:val="en-US"/>
              </w:rPr>
              <w:t>6</w:t>
            </w:r>
            <w:r>
              <w:rPr>
                <w:color w:val="000000" w:themeColor="text1"/>
                <w:w w:val="105"/>
                <w:sz w:val="14"/>
              </w:rPr>
              <w:t>日）</w:t>
            </w:r>
          </w:p>
        </w:tc>
        <w:tc>
          <w:tcPr>
            <w:tcW w:w="937" w:type="dxa"/>
            <w:tcBorders>
              <w:top w:val="single" w:color="auto" w:sz="4" w:space="0"/>
              <w:left w:val="single" w:color="auto" w:sz="4" w:space="0"/>
              <w:bottom w:val="single" w:color="auto" w:sz="4" w:space="0"/>
              <w:right w:val="single" w:color="auto" w:sz="4" w:space="0"/>
            </w:tcBorders>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10"/>
              <w:rPr>
                <w:color w:val="000000" w:themeColor="text1"/>
                <w:sz w:val="18"/>
              </w:rPr>
            </w:pPr>
          </w:p>
          <w:p>
            <w:pPr>
              <w:pStyle w:val="20"/>
              <w:spacing w:before="1"/>
              <w:ind w:left="32" w:right="16"/>
              <w:jc w:val="center"/>
              <w:rPr>
                <w:color w:val="000000" w:themeColor="text1"/>
                <w:sz w:val="14"/>
              </w:rPr>
            </w:pPr>
            <w:r>
              <w:rPr>
                <w:color w:val="000000" w:themeColor="text1"/>
                <w:w w:val="105"/>
                <w:sz w:val="14"/>
              </w:rPr>
              <w:t>现场检查</w:t>
            </w:r>
          </w:p>
        </w:tc>
        <w:tc>
          <w:tcPr>
            <w:tcW w:w="7088" w:type="dxa"/>
            <w:tcBorders>
              <w:top w:val="single" w:color="auto" w:sz="4" w:space="0"/>
              <w:left w:val="single" w:color="auto" w:sz="4" w:space="0"/>
              <w:bottom w:val="single" w:color="auto" w:sz="4" w:space="0"/>
              <w:right w:val="single" w:color="auto" w:sz="4" w:space="0"/>
            </w:tcBorders>
          </w:tcPr>
          <w:p>
            <w:pPr>
              <w:pStyle w:val="20"/>
              <w:ind w:left="27"/>
              <w:jc w:val="both"/>
              <w:rPr>
                <w:color w:val="000000" w:themeColor="text1"/>
                <w:sz w:val="14"/>
              </w:rPr>
            </w:pPr>
            <w:r>
              <w:rPr>
                <w:color w:val="000000" w:themeColor="text1"/>
                <w:w w:val="105"/>
                <w:sz w:val="14"/>
              </w:rPr>
              <w:t>【部门规章】《航道工程建设管理规定》（中华人民共和国交通部令 2019年第44号）</w:t>
            </w:r>
          </w:p>
          <w:p>
            <w:pPr>
              <w:pStyle w:val="20"/>
              <w:spacing w:before="8" w:line="249" w:lineRule="auto"/>
              <w:ind w:left="27" w:right="10"/>
              <w:jc w:val="both"/>
              <w:rPr>
                <w:color w:val="000000" w:themeColor="text1"/>
                <w:sz w:val="14"/>
              </w:rPr>
            </w:pPr>
            <w:r>
              <w:rPr>
                <w:color w:val="000000" w:themeColor="text1"/>
                <w:w w:val="105"/>
                <w:sz w:val="14"/>
              </w:rPr>
              <w:t>第三十六条 航道工程建设项目应当按照法规和国家有关规定及时组织竣工验收，经竣工验收合格后方可正式交付使用。</w:t>
            </w:r>
          </w:p>
          <w:p>
            <w:pPr>
              <w:pStyle w:val="20"/>
              <w:spacing w:before="1" w:line="249" w:lineRule="auto"/>
              <w:ind w:left="27" w:right="5"/>
              <w:jc w:val="both"/>
              <w:rPr>
                <w:color w:val="000000" w:themeColor="text1"/>
                <w:sz w:val="14"/>
              </w:rPr>
            </w:pPr>
            <w:r>
              <w:rPr>
                <w:color w:val="000000" w:themeColor="text1"/>
                <w:w w:val="105"/>
                <w:sz w:val="14"/>
              </w:rPr>
              <w:t>本规定所称竣工验收，是指航道工程建设项目完工后、正式投入使用前，对工程交工验收、航运枢纽工程阶段验收、工程质量、强制性标准执行、资金使用等情况进行全面检查验收，以及对工程建设、设计、施工、监理等工作进行综合评价。</w:t>
            </w:r>
          </w:p>
          <w:p>
            <w:pPr>
              <w:pStyle w:val="20"/>
              <w:spacing w:before="3" w:line="249" w:lineRule="auto"/>
              <w:ind w:left="27" w:right="11"/>
              <w:jc w:val="both"/>
              <w:rPr>
                <w:color w:val="000000" w:themeColor="text1"/>
                <w:sz w:val="14"/>
              </w:rPr>
            </w:pPr>
            <w:r>
              <w:rPr>
                <w:color w:val="000000" w:themeColor="text1"/>
                <w:w w:val="105"/>
                <w:sz w:val="14"/>
              </w:rPr>
              <w:t>第三十九条 交工验收的主要工作内容：（一）检查合同执行情况，核验工程建设内容与批复的设计内容是否一致；（二）检查施工自检报告、施工总结报告及施工资料；（三）检查监理单位独立抽检资料、监理总结报告及质量评定资料；（四）检查设计单位对工程设计符合性评价意见和设计总结报告；（五）检查工程实体质量；（六）对合同是否全面执行、工程质量是否合格作出结论，出具交工验收意见。</w:t>
            </w:r>
          </w:p>
          <w:p>
            <w:pPr>
              <w:pStyle w:val="20"/>
              <w:spacing w:line="249" w:lineRule="auto"/>
              <w:ind w:left="27" w:right="7"/>
              <w:jc w:val="both"/>
              <w:rPr>
                <w:color w:val="000000" w:themeColor="text1"/>
                <w:w w:val="105"/>
                <w:sz w:val="14"/>
              </w:rPr>
            </w:pPr>
            <w:r>
              <w:rPr>
                <w:color w:val="000000" w:themeColor="text1"/>
                <w:w w:val="105"/>
                <w:sz w:val="14"/>
              </w:rPr>
              <w:t>第四十一条 阶段验收的主要工作内容：（一）检查已完工程交工验收情况，工程质量、形象进度是否达到阶段验收要求；（二）检查在建工程是否正常、有序；（三）检查下阶段工作方案和待建工程施工计划安排；（四）检查拟投入运行的工程是否具备运行条件 ；（五）检查工程资料是否按规定整理齐全；（六）对阶段验收是否合格做出结论，出具阶段验收意见。</w:t>
            </w:r>
          </w:p>
          <w:p>
            <w:pPr>
              <w:pStyle w:val="20"/>
              <w:spacing w:before="2"/>
              <w:ind w:left="27"/>
              <w:rPr>
                <w:color w:val="000000" w:themeColor="text1"/>
                <w:sz w:val="14"/>
              </w:rPr>
            </w:pPr>
            <w:r>
              <w:rPr>
                <w:color w:val="000000" w:themeColor="text1"/>
                <w:w w:val="105"/>
                <w:sz w:val="14"/>
              </w:rPr>
              <w:t>【部门规章】《港口工程建设管理规定》（中华人民共和国交通部令 2019年第32号）</w:t>
            </w:r>
          </w:p>
          <w:p>
            <w:pPr>
              <w:pStyle w:val="20"/>
              <w:spacing w:before="2"/>
              <w:ind w:left="27"/>
              <w:rPr>
                <w:color w:val="000000" w:themeColor="text1"/>
                <w:w w:val="105"/>
                <w:sz w:val="14"/>
              </w:rPr>
            </w:pPr>
            <w:r>
              <w:rPr>
                <w:rFonts w:hint="eastAsia"/>
                <w:color w:val="000000" w:themeColor="text1"/>
                <w:w w:val="105"/>
                <w:sz w:val="14"/>
              </w:rPr>
              <w:t>第三十八条 港口工程建设项目应当按照法规和国家有关规定及时组织竣工验收，经竣工验收合格后方可正式投入使用。本规定所称竣工验收，是指港口工程建设项目完工后、正式投入使用前，对工程交工验收、执行强制性标准、投资使用等情况进行全面检查验收，以及对工程建设、设计、施工、监理等工作进行综合评价。</w:t>
            </w:r>
          </w:p>
          <w:p>
            <w:pPr>
              <w:pStyle w:val="20"/>
              <w:spacing w:before="2"/>
              <w:ind w:left="27" w:firstLine="294" w:firstLineChars="200"/>
              <w:rPr>
                <w:color w:val="000000" w:themeColor="text1"/>
                <w:w w:val="105"/>
                <w:sz w:val="14"/>
              </w:rPr>
            </w:pPr>
            <w:r>
              <w:rPr>
                <w:rFonts w:hint="eastAsia"/>
                <w:color w:val="000000" w:themeColor="text1"/>
                <w:w w:val="105"/>
                <w:sz w:val="14"/>
              </w:rPr>
              <w:t>第三十九条 港口工程建设项目合同段完工后，由项目单位组织设计、施工、监理、试验检测等单位进行交工验收，并邀请所在地港口行政管理部门参加。</w:t>
            </w:r>
          </w:p>
          <w:p>
            <w:pPr>
              <w:pStyle w:val="20"/>
              <w:spacing w:before="2"/>
              <w:ind w:left="27" w:firstLine="294" w:firstLineChars="200"/>
              <w:rPr>
                <w:color w:val="000000" w:themeColor="text1"/>
                <w:w w:val="105"/>
                <w:sz w:val="14"/>
              </w:rPr>
            </w:pPr>
            <w:r>
              <w:rPr>
                <w:rFonts w:hint="eastAsia"/>
                <w:color w:val="000000" w:themeColor="text1"/>
                <w:w w:val="105"/>
                <w:sz w:val="14"/>
              </w:rPr>
              <w:t>第四十一条 交工验收的主要工作内容：</w:t>
            </w:r>
          </w:p>
          <w:p>
            <w:pPr>
              <w:pStyle w:val="20"/>
              <w:spacing w:before="2"/>
              <w:ind w:left="27" w:firstLine="294" w:firstLineChars="200"/>
              <w:rPr>
                <w:color w:val="000000" w:themeColor="text1"/>
                <w:w w:val="105"/>
                <w:sz w:val="14"/>
              </w:rPr>
            </w:pPr>
            <w:r>
              <w:rPr>
                <w:rFonts w:hint="eastAsia"/>
                <w:color w:val="000000" w:themeColor="text1"/>
                <w:w w:val="105"/>
                <w:sz w:val="14"/>
              </w:rPr>
              <w:t>（一）检查合同执行情况，核验工程建设内容与批复的设计内容是否一致；</w:t>
            </w:r>
          </w:p>
          <w:p>
            <w:pPr>
              <w:pStyle w:val="20"/>
              <w:spacing w:before="2"/>
              <w:ind w:left="27" w:firstLine="294" w:firstLineChars="200"/>
              <w:rPr>
                <w:color w:val="000000" w:themeColor="text1"/>
                <w:w w:val="105"/>
                <w:sz w:val="14"/>
              </w:rPr>
            </w:pPr>
            <w:r>
              <w:rPr>
                <w:rFonts w:hint="eastAsia"/>
                <w:color w:val="000000" w:themeColor="text1"/>
                <w:w w:val="105"/>
                <w:sz w:val="14"/>
              </w:rPr>
              <w:t>（二）检查施工自检报告、施工总结报告及施工资料；</w:t>
            </w:r>
          </w:p>
          <w:p>
            <w:pPr>
              <w:pStyle w:val="20"/>
              <w:spacing w:before="2"/>
              <w:ind w:left="27" w:firstLine="294" w:firstLineChars="200"/>
              <w:rPr>
                <w:color w:val="000000" w:themeColor="text1"/>
                <w:w w:val="105"/>
                <w:sz w:val="14"/>
              </w:rPr>
            </w:pPr>
            <w:r>
              <w:rPr>
                <w:rFonts w:hint="eastAsia"/>
                <w:color w:val="000000" w:themeColor="text1"/>
                <w:w w:val="105"/>
                <w:sz w:val="14"/>
              </w:rPr>
              <w:t>（三）检查监理单位独立抽检资料、监理总结报告及质量评定资料；</w:t>
            </w:r>
          </w:p>
          <w:p>
            <w:pPr>
              <w:pStyle w:val="20"/>
              <w:spacing w:before="2"/>
              <w:ind w:left="27" w:firstLine="294" w:firstLineChars="200"/>
              <w:rPr>
                <w:color w:val="000000" w:themeColor="text1"/>
                <w:w w:val="105"/>
                <w:sz w:val="14"/>
              </w:rPr>
            </w:pPr>
            <w:r>
              <w:rPr>
                <w:rFonts w:hint="eastAsia"/>
                <w:color w:val="000000" w:themeColor="text1"/>
                <w:w w:val="105"/>
                <w:sz w:val="14"/>
              </w:rPr>
              <w:t>（四）检查设计单位对工程设计符合性评价意见和设计总结报告；</w:t>
            </w:r>
          </w:p>
          <w:p>
            <w:pPr>
              <w:pStyle w:val="20"/>
              <w:spacing w:before="2"/>
              <w:ind w:left="27" w:firstLine="294" w:firstLineChars="200"/>
              <w:rPr>
                <w:color w:val="000000" w:themeColor="text1"/>
                <w:w w:val="105"/>
                <w:sz w:val="14"/>
              </w:rPr>
            </w:pPr>
            <w:r>
              <w:rPr>
                <w:rFonts w:hint="eastAsia"/>
                <w:color w:val="000000" w:themeColor="text1"/>
                <w:w w:val="105"/>
                <w:sz w:val="14"/>
              </w:rPr>
              <w:t>（五）检查工程实体质量；</w:t>
            </w:r>
          </w:p>
          <w:p>
            <w:pPr>
              <w:pStyle w:val="20"/>
              <w:spacing w:before="2"/>
              <w:ind w:left="27" w:firstLine="294" w:firstLineChars="200"/>
              <w:rPr>
                <w:color w:val="000000" w:themeColor="text1"/>
                <w:w w:val="105"/>
                <w:sz w:val="14"/>
              </w:rPr>
            </w:pPr>
            <w:r>
              <w:rPr>
                <w:rFonts w:hint="eastAsia"/>
                <w:color w:val="000000" w:themeColor="text1"/>
                <w:w w:val="105"/>
                <w:sz w:val="14"/>
              </w:rPr>
              <w:t>（六）对合同是否全面执行、工程质量是否合格作出结论，出具交工验收意见。</w:t>
            </w:r>
          </w:p>
          <w:p>
            <w:pPr>
              <w:pStyle w:val="20"/>
              <w:spacing w:before="2"/>
              <w:ind w:left="27"/>
              <w:rPr>
                <w:color w:val="000000" w:themeColor="text1"/>
                <w:w w:val="105"/>
                <w:sz w:val="14"/>
              </w:rPr>
            </w:pPr>
            <w:r>
              <w:rPr>
                <w:rFonts w:hint="eastAsia"/>
                <w:color w:val="000000" w:themeColor="text1"/>
                <w:w w:val="105"/>
                <w:sz w:val="14"/>
              </w:rPr>
              <w:t>第五十条 港口工程建设项目竣工验收应当成立竣工验收现场核查组对工程进行现场核查。竣工验收现场核查组应当由验收组织部门或者单位、所在地港口行政管理部门、质量监督机构、项目单位人员和专家等组成，并应当邀请海事管理机构等其他依法对项目负有监督管理职责的相关部门参加。工程设计、施工、监理、试验检测等单位人员应当参加现场核查。</w:t>
            </w:r>
          </w:p>
          <w:p>
            <w:pPr>
              <w:pStyle w:val="20"/>
              <w:spacing w:before="2"/>
              <w:ind w:left="27"/>
              <w:rPr>
                <w:color w:val="000000" w:themeColor="text1"/>
                <w:w w:val="105"/>
                <w:sz w:val="14"/>
              </w:rPr>
            </w:pPr>
          </w:p>
        </w:tc>
        <w:tc>
          <w:tcPr>
            <w:tcW w:w="1635" w:type="dxa"/>
            <w:tcBorders>
              <w:top w:val="single" w:color="auto" w:sz="4" w:space="0"/>
              <w:left w:val="single" w:color="auto" w:sz="4" w:space="0"/>
              <w:bottom w:val="single" w:color="auto" w:sz="4" w:space="0"/>
              <w:right w:val="single" w:color="auto" w:sz="4" w:space="0"/>
            </w:tcBorders>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10"/>
              <w:rPr>
                <w:color w:val="000000" w:themeColor="text1"/>
                <w:sz w:val="18"/>
              </w:rPr>
            </w:pPr>
          </w:p>
          <w:p>
            <w:pPr>
              <w:pStyle w:val="20"/>
              <w:spacing w:before="1"/>
              <w:ind w:left="28"/>
              <w:rPr>
                <w:color w:val="000000" w:themeColor="text1"/>
                <w:w w:val="105"/>
                <w:sz w:val="14"/>
              </w:rPr>
            </w:pPr>
            <w:r>
              <w:rPr>
                <w:color w:val="000000" w:themeColor="text1"/>
                <w:w w:val="105"/>
                <w:sz w:val="14"/>
              </w:rPr>
              <w:t>航道工程、航运枢纽工程。</w:t>
            </w:r>
          </w:p>
          <w:p>
            <w:pPr>
              <w:pStyle w:val="20"/>
              <w:spacing w:before="1"/>
              <w:ind w:left="28"/>
              <w:rPr>
                <w:color w:val="000000" w:themeColor="text1"/>
                <w:w w:val="105"/>
                <w:sz w:val="14"/>
              </w:rPr>
            </w:pPr>
            <w:r>
              <w:rPr>
                <w:rFonts w:hint="eastAsia"/>
                <w:color w:val="000000" w:themeColor="text1"/>
                <w:w w:val="105"/>
                <w:sz w:val="14"/>
              </w:rPr>
              <w:t>港口工程。</w:t>
            </w:r>
          </w:p>
        </w:tc>
        <w:tc>
          <w:tcPr>
            <w:tcW w:w="1127" w:type="dxa"/>
            <w:tcBorders>
              <w:top w:val="single" w:color="auto" w:sz="4" w:space="0"/>
              <w:left w:val="single" w:color="auto" w:sz="4" w:space="0"/>
              <w:bottom w:val="single" w:color="auto" w:sz="4" w:space="0"/>
              <w:right w:val="single" w:color="auto" w:sz="4" w:space="0"/>
            </w:tcBorders>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8"/>
              <w:rPr>
                <w:color w:val="000000" w:themeColor="text1"/>
                <w:sz w:val="18"/>
              </w:rPr>
            </w:pPr>
          </w:p>
          <w:p>
            <w:pPr>
              <w:pStyle w:val="20"/>
              <w:spacing w:before="8"/>
              <w:rPr>
                <w:color w:val="000000" w:themeColor="text1"/>
                <w:sz w:val="18"/>
              </w:rPr>
            </w:pPr>
          </w:p>
          <w:p>
            <w:pPr>
              <w:pStyle w:val="20"/>
              <w:spacing w:line="247" w:lineRule="auto"/>
              <w:ind w:left="44" w:right="11"/>
              <w:rPr>
                <w:color w:val="000000" w:themeColor="text1"/>
                <w:sz w:val="14"/>
              </w:rPr>
            </w:pPr>
            <w:r>
              <w:rPr>
                <w:color w:val="000000" w:themeColor="text1"/>
                <w:spacing w:val="-1"/>
                <w:w w:val="105"/>
                <w:sz w:val="14"/>
              </w:rPr>
              <w:t>承诺时限：</w:t>
            </w:r>
            <w:r>
              <w:rPr>
                <w:color w:val="000000" w:themeColor="text1"/>
                <w:w w:val="105"/>
                <w:sz w:val="14"/>
                <w:lang w:val="en-US"/>
              </w:rPr>
              <w:t>5</w:t>
            </w:r>
          </w:p>
        </w:tc>
        <w:tc>
          <w:tcPr>
            <w:tcW w:w="911" w:type="dxa"/>
            <w:tcBorders>
              <w:top w:val="single" w:color="auto" w:sz="4" w:space="0"/>
              <w:left w:val="single" w:color="auto" w:sz="4" w:space="0"/>
              <w:bottom w:val="single" w:color="auto" w:sz="4" w:space="0"/>
              <w:right w:val="single" w:color="auto" w:sz="4" w:space="0"/>
            </w:tcBorders>
          </w:tcPr>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rPr>
                <w:color w:val="000000" w:themeColor="text1"/>
                <w:sz w:val="14"/>
              </w:rPr>
            </w:pPr>
          </w:p>
          <w:p>
            <w:pPr>
              <w:pStyle w:val="20"/>
              <w:spacing w:before="9"/>
              <w:rPr>
                <w:color w:val="000000" w:themeColor="text1"/>
                <w:sz w:val="11"/>
              </w:rPr>
            </w:pPr>
          </w:p>
          <w:p>
            <w:pPr>
              <w:pStyle w:val="20"/>
              <w:spacing w:line="252" w:lineRule="auto"/>
              <w:rPr>
                <w:color w:val="000000" w:themeColor="text1"/>
                <w:sz w:val="14"/>
              </w:rPr>
            </w:pPr>
            <w:r>
              <w:rPr>
                <w:rFonts w:hint="eastAsia"/>
                <w:color w:val="000000" w:themeColor="text1"/>
                <w:sz w:val="14"/>
              </w:rPr>
              <w:t>区</w:t>
            </w:r>
            <w:r>
              <w:rPr>
                <w:color w:val="000000" w:themeColor="text1"/>
                <w:sz w:val="14"/>
              </w:rPr>
              <w:t>交通运输局</w:t>
            </w:r>
          </w:p>
        </w:tc>
      </w:tr>
    </w:tbl>
    <w:p>
      <w:pPr>
        <w:spacing w:line="252" w:lineRule="auto"/>
        <w:rPr>
          <w:sz w:val="14"/>
        </w:rPr>
      </w:pPr>
    </w:p>
    <w:p>
      <w:pPr>
        <w:spacing w:line="252" w:lineRule="auto"/>
        <w:rPr>
          <w:sz w:val="14"/>
        </w:rPr>
        <w:sectPr>
          <w:pgSz w:w="16840" w:h="11910" w:orient="landscape"/>
          <w:pgMar w:top="1000" w:right="980" w:bottom="1140" w:left="980" w:header="0" w:footer="721" w:gutter="0"/>
          <w:cols w:space="720" w:num="1"/>
        </w:sectPr>
      </w:pPr>
    </w:p>
    <w:tbl>
      <w:tblPr>
        <w:tblStyle w:val="10"/>
        <w:tblW w:w="140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0"/>
        <w:gridCol w:w="830"/>
        <w:gridCol w:w="1820"/>
        <w:gridCol w:w="1276"/>
        <w:gridCol w:w="5864"/>
        <w:gridCol w:w="1866"/>
        <w:gridCol w:w="1127"/>
        <w:gridCol w:w="9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53" w:hRule="atLeast"/>
          <w:jc w:val="center"/>
        </w:trPr>
        <w:tc>
          <w:tcPr>
            <w:tcW w:w="350" w:type="dxa"/>
          </w:tcPr>
          <w:p>
            <w:pPr>
              <w:pStyle w:val="20"/>
              <w:rPr>
                <w:sz w:val="14"/>
              </w:rPr>
            </w:pPr>
          </w:p>
          <w:p>
            <w:pPr>
              <w:pStyle w:val="20"/>
              <w:spacing w:before="3"/>
              <w:rPr>
                <w:sz w:val="13"/>
              </w:rPr>
            </w:pPr>
          </w:p>
          <w:p>
            <w:pPr>
              <w:pStyle w:val="20"/>
              <w:spacing w:before="1"/>
              <w:ind w:left="23"/>
              <w:jc w:val="center"/>
              <w:rPr>
                <w:rFonts w:ascii="黑体" w:eastAsia="黑体"/>
                <w:sz w:val="14"/>
              </w:rPr>
            </w:pPr>
            <w:r>
              <w:rPr>
                <w:rFonts w:hint="eastAsia" w:ascii="黑体" w:eastAsia="黑体"/>
                <w:w w:val="105"/>
                <w:sz w:val="14"/>
              </w:rPr>
              <w:t>序号</w:t>
            </w:r>
          </w:p>
        </w:tc>
        <w:tc>
          <w:tcPr>
            <w:tcW w:w="830" w:type="dxa"/>
          </w:tcPr>
          <w:p>
            <w:pPr>
              <w:pStyle w:val="20"/>
              <w:rPr>
                <w:sz w:val="14"/>
              </w:rPr>
            </w:pPr>
          </w:p>
          <w:p>
            <w:pPr>
              <w:pStyle w:val="20"/>
              <w:spacing w:before="3"/>
              <w:rPr>
                <w:sz w:val="13"/>
              </w:rPr>
            </w:pPr>
          </w:p>
          <w:p>
            <w:pPr>
              <w:pStyle w:val="20"/>
              <w:spacing w:before="1"/>
              <w:ind w:left="117"/>
              <w:rPr>
                <w:rFonts w:ascii="黑体" w:eastAsia="黑体"/>
                <w:sz w:val="14"/>
              </w:rPr>
            </w:pPr>
            <w:r>
              <w:rPr>
                <w:rFonts w:hint="eastAsia" w:ascii="黑体" w:eastAsia="黑体"/>
                <w:w w:val="105"/>
                <w:sz w:val="14"/>
              </w:rPr>
              <w:t>事项名称</w:t>
            </w:r>
          </w:p>
        </w:tc>
        <w:tc>
          <w:tcPr>
            <w:tcW w:w="1820" w:type="dxa"/>
          </w:tcPr>
          <w:p>
            <w:pPr>
              <w:pStyle w:val="20"/>
              <w:spacing w:before="9"/>
              <w:rPr>
                <w:sz w:val="12"/>
              </w:rPr>
            </w:pPr>
          </w:p>
          <w:p>
            <w:pPr>
              <w:pStyle w:val="20"/>
              <w:spacing w:line="249" w:lineRule="auto"/>
              <w:ind w:left="60" w:right="42" w:hanging="4"/>
              <w:jc w:val="center"/>
              <w:rPr>
                <w:rFonts w:ascii="黑体" w:eastAsia="黑体"/>
                <w:sz w:val="14"/>
              </w:rPr>
            </w:pPr>
            <w:r>
              <w:rPr>
                <w:rFonts w:hint="eastAsia" w:ascii="黑体" w:eastAsia="黑体"/>
                <w:w w:val="105"/>
                <w:sz w:val="14"/>
              </w:rPr>
              <w:t>对应政务服务事项（承诺审批时限）</w:t>
            </w:r>
          </w:p>
        </w:tc>
        <w:tc>
          <w:tcPr>
            <w:tcW w:w="1276" w:type="dxa"/>
          </w:tcPr>
          <w:p>
            <w:pPr>
              <w:pStyle w:val="20"/>
              <w:rPr>
                <w:sz w:val="14"/>
              </w:rPr>
            </w:pPr>
          </w:p>
          <w:p>
            <w:pPr>
              <w:pStyle w:val="20"/>
              <w:spacing w:before="3"/>
              <w:rPr>
                <w:sz w:val="13"/>
              </w:rPr>
            </w:pPr>
          </w:p>
          <w:p>
            <w:pPr>
              <w:pStyle w:val="20"/>
              <w:spacing w:before="1"/>
              <w:ind w:left="32" w:right="15"/>
              <w:jc w:val="center"/>
              <w:rPr>
                <w:rFonts w:ascii="黑体" w:eastAsia="黑体"/>
                <w:sz w:val="14"/>
              </w:rPr>
            </w:pPr>
            <w:r>
              <w:rPr>
                <w:rFonts w:hint="eastAsia" w:ascii="黑体" w:eastAsia="黑体"/>
                <w:w w:val="105"/>
                <w:sz w:val="14"/>
              </w:rPr>
              <w:t>特殊程序名称</w:t>
            </w:r>
          </w:p>
        </w:tc>
        <w:tc>
          <w:tcPr>
            <w:tcW w:w="5864" w:type="dxa"/>
          </w:tcPr>
          <w:p>
            <w:pPr>
              <w:pStyle w:val="20"/>
              <w:spacing w:before="3"/>
              <w:rPr>
                <w:sz w:val="13"/>
              </w:rPr>
            </w:pPr>
          </w:p>
          <w:p>
            <w:pPr>
              <w:pStyle w:val="20"/>
              <w:jc w:val="center"/>
              <w:rPr>
                <w:rFonts w:ascii="黑体" w:eastAsia="黑体"/>
                <w:sz w:val="14"/>
              </w:rPr>
            </w:pPr>
            <w:r>
              <w:rPr>
                <w:rFonts w:hint="eastAsia" w:ascii="黑体" w:eastAsia="黑体"/>
                <w:w w:val="105"/>
                <w:sz w:val="14"/>
              </w:rPr>
              <w:t>特殊程序主要依据</w:t>
            </w:r>
          </w:p>
        </w:tc>
        <w:tc>
          <w:tcPr>
            <w:tcW w:w="1866" w:type="dxa"/>
          </w:tcPr>
          <w:p>
            <w:pPr>
              <w:pStyle w:val="20"/>
              <w:spacing w:before="3"/>
              <w:rPr>
                <w:sz w:val="20"/>
              </w:rPr>
            </w:pPr>
          </w:p>
          <w:p>
            <w:pPr>
              <w:pStyle w:val="20"/>
              <w:spacing w:line="242" w:lineRule="auto"/>
              <w:ind w:left="637" w:right="616"/>
              <w:jc w:val="center"/>
              <w:rPr>
                <w:rFonts w:ascii="黑体" w:eastAsia="黑体"/>
                <w:sz w:val="14"/>
              </w:rPr>
            </w:pPr>
            <w:r>
              <w:rPr>
                <w:rFonts w:hint="eastAsia" w:ascii="黑体" w:eastAsia="黑体"/>
                <w:w w:val="105"/>
                <w:sz w:val="14"/>
              </w:rPr>
              <w:t>特殊程序适用条件</w:t>
            </w:r>
          </w:p>
        </w:tc>
        <w:tc>
          <w:tcPr>
            <w:tcW w:w="1127" w:type="dxa"/>
          </w:tcPr>
          <w:p>
            <w:pPr>
              <w:pStyle w:val="20"/>
              <w:spacing w:before="9"/>
              <w:rPr>
                <w:sz w:val="12"/>
              </w:rPr>
            </w:pPr>
          </w:p>
          <w:p>
            <w:pPr>
              <w:pStyle w:val="20"/>
              <w:ind w:left="36" w:right="15"/>
              <w:jc w:val="center"/>
              <w:rPr>
                <w:rFonts w:ascii="黑体" w:eastAsia="黑体"/>
                <w:sz w:val="14"/>
              </w:rPr>
            </w:pPr>
            <w:r>
              <w:rPr>
                <w:rFonts w:hint="eastAsia" w:ascii="黑体" w:eastAsia="黑体"/>
                <w:w w:val="105"/>
                <w:sz w:val="14"/>
              </w:rPr>
              <w:t>特殊程序</w:t>
            </w:r>
          </w:p>
          <w:p>
            <w:pPr>
              <w:pStyle w:val="20"/>
              <w:spacing w:before="7" w:line="252" w:lineRule="auto"/>
              <w:ind w:left="44" w:right="15"/>
              <w:jc w:val="center"/>
              <w:rPr>
                <w:rFonts w:ascii="黑体" w:eastAsia="黑体"/>
                <w:sz w:val="14"/>
              </w:rPr>
            </w:pPr>
            <w:r>
              <w:rPr>
                <w:rFonts w:hint="eastAsia" w:ascii="黑体" w:eastAsia="黑体"/>
                <w:w w:val="105"/>
                <w:sz w:val="14"/>
              </w:rPr>
              <w:t>办理时限（工作日）</w:t>
            </w:r>
          </w:p>
        </w:tc>
        <w:tc>
          <w:tcPr>
            <w:tcW w:w="911" w:type="dxa"/>
          </w:tcPr>
          <w:p>
            <w:pPr>
              <w:pStyle w:val="20"/>
              <w:spacing w:before="3"/>
              <w:rPr>
                <w:sz w:val="20"/>
              </w:rPr>
            </w:pPr>
          </w:p>
          <w:p>
            <w:pPr>
              <w:pStyle w:val="20"/>
              <w:spacing w:line="242" w:lineRule="auto"/>
              <w:ind w:left="391" w:right="61" w:hanging="303"/>
              <w:rPr>
                <w:rFonts w:ascii="黑体" w:eastAsia="黑体"/>
                <w:sz w:val="14"/>
              </w:rPr>
            </w:pPr>
            <w:r>
              <w:rPr>
                <w:rFonts w:hint="eastAsia" w:ascii="黑体" w:eastAsia="黑体"/>
                <w:w w:val="105"/>
                <w:sz w:val="14"/>
              </w:rPr>
              <w:t>责任部门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70" w:hRule="atLeast"/>
          <w:jc w:val="center"/>
        </w:trPr>
        <w:tc>
          <w:tcPr>
            <w:tcW w:w="350" w:type="dxa"/>
            <w:vMerge w:val="restart"/>
          </w:tcPr>
          <w:p>
            <w:pPr>
              <w:pStyle w:val="20"/>
              <w:rPr>
                <w:sz w:val="14"/>
              </w:rPr>
            </w:pPr>
          </w:p>
          <w:p>
            <w:pPr>
              <w:pStyle w:val="20"/>
              <w:rPr>
                <w:sz w:val="14"/>
              </w:rPr>
            </w:pPr>
          </w:p>
          <w:p>
            <w:pPr>
              <w:pStyle w:val="20"/>
              <w:rPr>
                <w:sz w:val="14"/>
              </w:rPr>
            </w:pPr>
          </w:p>
          <w:p>
            <w:pPr>
              <w:pStyle w:val="20"/>
              <w:spacing w:before="114"/>
              <w:ind w:left="107"/>
              <w:rPr>
                <w:rFonts w:hint="default" w:eastAsia="宋体"/>
                <w:sz w:val="14"/>
                <w:lang w:val="en-US" w:eastAsia="zh-CN"/>
              </w:rPr>
            </w:pPr>
            <w:r>
              <w:rPr>
                <w:rFonts w:hint="eastAsia"/>
                <w:w w:val="105"/>
                <w:sz w:val="14"/>
                <w:lang w:val="en-US" w:eastAsia="zh-CN"/>
              </w:rPr>
              <w:t>34</w:t>
            </w:r>
          </w:p>
        </w:tc>
        <w:tc>
          <w:tcPr>
            <w:tcW w:w="830" w:type="dxa"/>
            <w:vMerge w:val="restart"/>
          </w:tcPr>
          <w:p>
            <w:pPr>
              <w:pStyle w:val="20"/>
              <w:rPr>
                <w:sz w:val="14"/>
              </w:rPr>
            </w:pPr>
          </w:p>
          <w:p>
            <w:pPr>
              <w:pStyle w:val="20"/>
              <w:spacing w:before="10"/>
              <w:rPr>
                <w:sz w:val="14"/>
              </w:rPr>
            </w:pPr>
          </w:p>
          <w:p>
            <w:pPr>
              <w:pStyle w:val="20"/>
              <w:spacing w:line="249" w:lineRule="auto"/>
              <w:ind w:left="40" w:right="28"/>
              <w:jc w:val="center"/>
              <w:rPr>
                <w:sz w:val="14"/>
              </w:rPr>
            </w:pPr>
            <w:r>
              <w:rPr>
                <w:w w:val="105"/>
                <w:sz w:val="14"/>
              </w:rPr>
              <w:t>危险货物港口建设项目安全条件审查</w:t>
            </w:r>
          </w:p>
        </w:tc>
        <w:tc>
          <w:tcPr>
            <w:tcW w:w="1820" w:type="dxa"/>
            <w:vMerge w:val="restart"/>
          </w:tcPr>
          <w:p>
            <w:pPr>
              <w:pStyle w:val="20"/>
              <w:rPr>
                <w:sz w:val="14"/>
              </w:rPr>
            </w:pPr>
          </w:p>
          <w:p>
            <w:pPr>
              <w:pStyle w:val="20"/>
              <w:rPr>
                <w:sz w:val="14"/>
              </w:rPr>
            </w:pPr>
          </w:p>
          <w:p>
            <w:pPr>
              <w:pStyle w:val="20"/>
              <w:spacing w:before="106" w:line="247" w:lineRule="auto"/>
              <w:ind w:left="27" w:right="79"/>
              <w:jc w:val="both"/>
              <w:rPr>
                <w:sz w:val="14"/>
              </w:rPr>
            </w:pPr>
            <w:r>
              <w:rPr>
                <w:w w:val="105"/>
                <w:sz w:val="14"/>
              </w:rPr>
              <w:t>危险货物港口建设项目安全条件审查（45日）</w:t>
            </w:r>
          </w:p>
        </w:tc>
        <w:tc>
          <w:tcPr>
            <w:tcW w:w="1276" w:type="dxa"/>
          </w:tcPr>
          <w:p>
            <w:pPr>
              <w:pStyle w:val="20"/>
              <w:spacing w:before="6"/>
              <w:rPr>
                <w:sz w:val="16"/>
              </w:rPr>
            </w:pPr>
          </w:p>
          <w:p>
            <w:pPr>
              <w:pStyle w:val="20"/>
              <w:ind w:left="32" w:right="16"/>
              <w:jc w:val="center"/>
              <w:rPr>
                <w:sz w:val="14"/>
              </w:rPr>
            </w:pPr>
            <w:r>
              <w:rPr>
                <w:w w:val="105"/>
                <w:sz w:val="14"/>
              </w:rPr>
              <w:t>现场核查</w:t>
            </w:r>
          </w:p>
        </w:tc>
        <w:tc>
          <w:tcPr>
            <w:tcW w:w="5864" w:type="dxa"/>
          </w:tcPr>
          <w:p>
            <w:pPr>
              <w:pStyle w:val="20"/>
              <w:spacing w:before="23"/>
              <w:ind w:left="27"/>
              <w:rPr>
                <w:sz w:val="14"/>
              </w:rPr>
            </w:pPr>
            <w:r>
              <w:rPr>
                <w:w w:val="105"/>
                <w:sz w:val="14"/>
              </w:rPr>
              <w:t>【部门规章】《港口危险货物安全管理规定》（中华人民共和国交通运输部令2019年第34号）</w:t>
            </w:r>
          </w:p>
          <w:p>
            <w:pPr>
              <w:pStyle w:val="20"/>
              <w:spacing w:before="8" w:line="180" w:lineRule="atLeast"/>
              <w:ind w:left="27" w:right="155"/>
              <w:rPr>
                <w:sz w:val="14"/>
              </w:rPr>
            </w:pPr>
            <w:r>
              <w:rPr>
                <w:w w:val="105"/>
                <w:sz w:val="14"/>
              </w:rPr>
              <w:t>第十条：港口行政管理部门在安全条件审查过程中，应当对申请材料进行审查，并对现场进行核查。</w:t>
            </w:r>
          </w:p>
        </w:tc>
        <w:tc>
          <w:tcPr>
            <w:tcW w:w="1866" w:type="dxa"/>
          </w:tcPr>
          <w:p>
            <w:pPr>
              <w:pStyle w:val="20"/>
              <w:spacing w:before="115" w:line="249" w:lineRule="auto"/>
              <w:ind w:left="28" w:right="31"/>
              <w:rPr>
                <w:sz w:val="14"/>
              </w:rPr>
            </w:pPr>
            <w:r>
              <w:rPr>
                <w:w w:val="105"/>
                <w:sz w:val="14"/>
              </w:rPr>
              <w:t>需要办理该审批服务事项的项目。</w:t>
            </w:r>
          </w:p>
        </w:tc>
        <w:tc>
          <w:tcPr>
            <w:tcW w:w="1127" w:type="dxa"/>
            <w:vAlign w:val="center"/>
          </w:tcPr>
          <w:p>
            <w:pPr>
              <w:pStyle w:val="20"/>
              <w:spacing w:before="115" w:line="249" w:lineRule="auto"/>
              <w:ind w:left="534" w:right="11" w:hanging="490"/>
              <w:jc w:val="both"/>
              <w:rPr>
                <w:sz w:val="14"/>
              </w:rPr>
            </w:pPr>
            <w:r>
              <w:rPr>
                <w:w w:val="105"/>
                <w:sz w:val="14"/>
              </w:rPr>
              <w:t>承诺时限：7</w:t>
            </w:r>
          </w:p>
        </w:tc>
        <w:tc>
          <w:tcPr>
            <w:tcW w:w="911" w:type="dxa"/>
            <w:vMerge w:val="restart"/>
            <w:vAlign w:val="center"/>
          </w:tcPr>
          <w:p>
            <w:pPr>
              <w:pStyle w:val="20"/>
              <w:spacing w:line="249" w:lineRule="auto"/>
              <w:jc w:val="both"/>
              <w:rPr>
                <w:sz w:val="14"/>
              </w:rPr>
            </w:pPr>
            <w:r>
              <w:rPr>
                <w:rFonts w:hint="eastAsia"/>
                <w:sz w:val="14"/>
              </w:rPr>
              <w:t>区</w:t>
            </w:r>
            <w:r>
              <w:rPr>
                <w:sz w:val="14"/>
              </w:rPr>
              <w:t>交通运输局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387" w:hRule="atLeast"/>
          <w:jc w:val="center"/>
        </w:trPr>
        <w:tc>
          <w:tcPr>
            <w:tcW w:w="350" w:type="dxa"/>
            <w:vMerge w:val="continue"/>
            <w:tcBorders>
              <w:top w:val="nil"/>
            </w:tcBorders>
          </w:tcPr>
          <w:p>
            <w:pPr>
              <w:rPr>
                <w:sz w:val="2"/>
                <w:szCs w:val="2"/>
              </w:rPr>
            </w:pPr>
          </w:p>
        </w:tc>
        <w:tc>
          <w:tcPr>
            <w:tcW w:w="830" w:type="dxa"/>
            <w:vMerge w:val="continue"/>
            <w:tcBorders>
              <w:top w:val="nil"/>
            </w:tcBorders>
          </w:tcPr>
          <w:p>
            <w:pPr>
              <w:rPr>
                <w:sz w:val="2"/>
                <w:szCs w:val="2"/>
              </w:rPr>
            </w:pPr>
          </w:p>
        </w:tc>
        <w:tc>
          <w:tcPr>
            <w:tcW w:w="1820" w:type="dxa"/>
            <w:vMerge w:val="continue"/>
            <w:tcBorders>
              <w:top w:val="nil"/>
            </w:tcBorders>
          </w:tcPr>
          <w:p>
            <w:pPr>
              <w:rPr>
                <w:sz w:val="2"/>
                <w:szCs w:val="2"/>
              </w:rPr>
            </w:pPr>
          </w:p>
        </w:tc>
        <w:tc>
          <w:tcPr>
            <w:tcW w:w="1276" w:type="dxa"/>
          </w:tcPr>
          <w:p>
            <w:pPr>
              <w:pStyle w:val="20"/>
              <w:rPr>
                <w:sz w:val="14"/>
              </w:rPr>
            </w:pPr>
          </w:p>
          <w:p>
            <w:pPr>
              <w:pStyle w:val="20"/>
              <w:spacing w:before="9"/>
              <w:rPr>
                <w:sz w:val="13"/>
              </w:rPr>
            </w:pPr>
          </w:p>
          <w:p>
            <w:pPr>
              <w:pStyle w:val="20"/>
              <w:ind w:left="32" w:right="15"/>
              <w:jc w:val="center"/>
              <w:rPr>
                <w:sz w:val="14"/>
              </w:rPr>
            </w:pPr>
            <w:r>
              <w:rPr>
                <w:w w:val="105"/>
                <w:sz w:val="14"/>
              </w:rPr>
              <w:t>专家咨询论证</w:t>
            </w:r>
          </w:p>
        </w:tc>
        <w:tc>
          <w:tcPr>
            <w:tcW w:w="5864" w:type="dxa"/>
          </w:tcPr>
          <w:p>
            <w:pPr>
              <w:pStyle w:val="20"/>
              <w:spacing w:before="6"/>
              <w:rPr>
                <w:sz w:val="13"/>
              </w:rPr>
            </w:pPr>
          </w:p>
          <w:p>
            <w:pPr>
              <w:pStyle w:val="20"/>
              <w:spacing w:line="247" w:lineRule="auto"/>
              <w:ind w:left="27" w:right="155"/>
              <w:rPr>
                <w:w w:val="105"/>
                <w:sz w:val="14"/>
              </w:rPr>
            </w:pPr>
            <w:r>
              <w:rPr>
                <w:spacing w:val="1"/>
                <w:w w:val="105"/>
                <w:sz w:val="14"/>
              </w:rPr>
              <w:t>【部门规章】《港口危险货物安全管理规定》</w:t>
            </w:r>
            <w:r>
              <w:rPr>
                <w:w w:val="105"/>
                <w:sz w:val="14"/>
              </w:rPr>
              <w:t>（</w:t>
            </w:r>
            <w:r>
              <w:rPr>
                <w:spacing w:val="2"/>
                <w:w w:val="105"/>
                <w:sz w:val="14"/>
              </w:rPr>
              <w:t>中华人民共和国交通运输部令</w:t>
            </w:r>
            <w:r>
              <w:rPr>
                <w:w w:val="105"/>
                <w:sz w:val="14"/>
              </w:rPr>
              <w:t>2019</w:t>
            </w:r>
            <w:r>
              <w:rPr>
                <w:spacing w:val="3"/>
                <w:w w:val="105"/>
                <w:sz w:val="14"/>
              </w:rPr>
              <w:t>年第34</w:t>
            </w:r>
            <w:r>
              <w:rPr>
                <w:w w:val="105"/>
                <w:sz w:val="14"/>
              </w:rPr>
              <w:t xml:space="preserve">号）  </w:t>
            </w:r>
          </w:p>
          <w:p>
            <w:pPr>
              <w:pStyle w:val="20"/>
              <w:spacing w:line="247" w:lineRule="auto"/>
              <w:ind w:left="27" w:right="155"/>
              <w:rPr>
                <w:sz w:val="14"/>
              </w:rPr>
            </w:pPr>
            <w:r>
              <w:rPr>
                <w:w w:val="105"/>
                <w:sz w:val="14"/>
              </w:rPr>
              <w:t>第十条：港口行政管理部门在安全条件审查过程中，应当对申请材料进行审查，并对现场进行核查。必要时可以组织相关专家进行咨询论证。</w:t>
            </w:r>
          </w:p>
        </w:tc>
        <w:tc>
          <w:tcPr>
            <w:tcW w:w="1866" w:type="dxa"/>
          </w:tcPr>
          <w:p>
            <w:pPr>
              <w:pStyle w:val="20"/>
              <w:spacing w:before="7"/>
              <w:rPr>
                <w:sz w:val="20"/>
              </w:rPr>
            </w:pPr>
          </w:p>
          <w:p>
            <w:pPr>
              <w:pStyle w:val="20"/>
              <w:spacing w:line="249" w:lineRule="auto"/>
              <w:ind w:left="28" w:right="31"/>
              <w:rPr>
                <w:sz w:val="14"/>
              </w:rPr>
            </w:pPr>
            <w:r>
              <w:rPr>
                <w:w w:val="105"/>
                <w:sz w:val="14"/>
              </w:rPr>
              <w:t>需要办理该审批服务事项的项目在必要时。</w:t>
            </w:r>
          </w:p>
        </w:tc>
        <w:tc>
          <w:tcPr>
            <w:tcW w:w="1127" w:type="dxa"/>
            <w:vAlign w:val="center"/>
          </w:tcPr>
          <w:p>
            <w:pPr>
              <w:pStyle w:val="20"/>
              <w:spacing w:line="249" w:lineRule="auto"/>
              <w:ind w:left="534" w:right="11" w:hanging="490"/>
              <w:jc w:val="both"/>
              <w:rPr>
                <w:sz w:val="14"/>
              </w:rPr>
            </w:pPr>
            <w:r>
              <w:rPr>
                <w:w w:val="105"/>
                <w:sz w:val="14"/>
              </w:rPr>
              <w:t>承诺时限：7</w:t>
            </w:r>
          </w:p>
        </w:tc>
        <w:tc>
          <w:tcPr>
            <w:tcW w:w="911" w:type="dxa"/>
            <w:vMerge w:val="continue"/>
            <w:tcBorders>
              <w:top w:val="nil"/>
            </w:tcBorders>
            <w:vAlign w:val="center"/>
          </w:tcPr>
          <w:p>
            <w:pPr>
              <w:jc w:val="both"/>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472" w:hRule="atLeast"/>
          <w:jc w:val="center"/>
        </w:trPr>
        <w:tc>
          <w:tcPr>
            <w:tcW w:w="35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9"/>
              <w:rPr>
                <w:sz w:val="13"/>
              </w:rPr>
            </w:pPr>
          </w:p>
          <w:p>
            <w:pPr>
              <w:pStyle w:val="20"/>
              <w:spacing w:before="1"/>
              <w:ind w:left="28"/>
              <w:jc w:val="center"/>
              <w:rPr>
                <w:rFonts w:hint="default" w:eastAsia="宋体"/>
                <w:sz w:val="14"/>
                <w:lang w:val="en-US" w:eastAsia="zh-CN"/>
              </w:rPr>
            </w:pPr>
            <w:r>
              <w:rPr>
                <w:rFonts w:hint="eastAsia"/>
                <w:w w:val="105"/>
                <w:sz w:val="14"/>
                <w:lang w:val="en-US" w:eastAsia="zh-CN"/>
              </w:rPr>
              <w:t>35</w:t>
            </w:r>
          </w:p>
        </w:tc>
        <w:tc>
          <w:tcPr>
            <w:tcW w:w="830"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3"/>
              <w:rPr>
                <w:sz w:val="20"/>
              </w:rPr>
            </w:pPr>
          </w:p>
          <w:p>
            <w:pPr>
              <w:pStyle w:val="20"/>
              <w:spacing w:line="252" w:lineRule="auto"/>
              <w:ind w:left="194" w:right="28" w:hanging="154"/>
              <w:rPr>
                <w:sz w:val="14"/>
              </w:rPr>
            </w:pPr>
            <w:r>
              <w:rPr>
                <w:w w:val="105"/>
                <w:sz w:val="14"/>
              </w:rPr>
              <w:t>市政公用联合报装</w:t>
            </w:r>
          </w:p>
        </w:tc>
        <w:tc>
          <w:tcPr>
            <w:tcW w:w="1820" w:type="dxa"/>
          </w:tcPr>
          <w:p>
            <w:pPr>
              <w:pStyle w:val="20"/>
              <w:tabs>
                <w:tab w:val="left" w:pos="181"/>
              </w:tabs>
              <w:spacing w:before="38" w:line="249" w:lineRule="auto"/>
              <w:ind w:left="27" w:right="141"/>
              <w:rPr>
                <w:sz w:val="14"/>
              </w:rPr>
            </w:pPr>
            <w:r>
              <w:rPr>
                <w:w w:val="105"/>
                <w:sz w:val="14"/>
              </w:rPr>
              <w:t>市政公用联合报装</w:t>
            </w:r>
            <w:r>
              <w:rPr>
                <w:w w:val="105"/>
                <w:sz w:val="14"/>
                <w:lang w:val="en-US"/>
              </w:rPr>
              <w:t>总时长</w:t>
            </w:r>
            <w:r>
              <w:rPr>
                <w:rFonts w:hint="eastAsia"/>
                <w:w w:val="105"/>
                <w:sz w:val="14"/>
                <w:lang w:val="en-US"/>
              </w:rPr>
              <w:t>7日，包含以下事项：</w:t>
            </w:r>
          </w:p>
          <w:p>
            <w:pPr>
              <w:pStyle w:val="20"/>
              <w:numPr>
                <w:ilvl w:val="0"/>
                <w:numId w:val="7"/>
              </w:numPr>
              <w:tabs>
                <w:tab w:val="left" w:pos="181"/>
              </w:tabs>
              <w:spacing w:before="38" w:line="249" w:lineRule="auto"/>
              <w:ind w:right="141" w:firstLine="0"/>
              <w:rPr>
                <w:sz w:val="14"/>
              </w:rPr>
            </w:pPr>
            <w:r>
              <w:rPr>
                <w:spacing w:val="1"/>
                <w:w w:val="105"/>
                <w:sz w:val="14"/>
              </w:rPr>
              <w:t>供水报装</w:t>
            </w:r>
          </w:p>
          <w:p>
            <w:pPr>
              <w:pStyle w:val="20"/>
              <w:numPr>
                <w:ilvl w:val="0"/>
                <w:numId w:val="7"/>
              </w:numPr>
              <w:tabs>
                <w:tab w:val="left" w:pos="181"/>
              </w:tabs>
              <w:spacing w:before="1" w:line="249" w:lineRule="auto"/>
              <w:ind w:right="141" w:firstLine="0"/>
              <w:rPr>
                <w:sz w:val="14"/>
              </w:rPr>
            </w:pPr>
            <w:r>
              <w:rPr>
                <w:spacing w:val="1"/>
                <w:w w:val="105"/>
                <w:sz w:val="14"/>
              </w:rPr>
              <w:t>排水报装</w:t>
            </w:r>
          </w:p>
          <w:p>
            <w:pPr>
              <w:pStyle w:val="20"/>
              <w:numPr>
                <w:ilvl w:val="0"/>
                <w:numId w:val="7"/>
              </w:numPr>
              <w:tabs>
                <w:tab w:val="left" w:pos="181"/>
              </w:tabs>
              <w:spacing w:before="2" w:line="249" w:lineRule="auto"/>
              <w:ind w:right="141" w:firstLine="0"/>
              <w:rPr>
                <w:sz w:val="14"/>
              </w:rPr>
            </w:pPr>
            <w:r>
              <w:rPr>
                <w:spacing w:val="1"/>
                <w:w w:val="105"/>
                <w:sz w:val="14"/>
              </w:rPr>
              <w:t>供电报装</w:t>
            </w:r>
          </w:p>
          <w:p>
            <w:pPr>
              <w:pStyle w:val="20"/>
              <w:numPr>
                <w:ilvl w:val="0"/>
                <w:numId w:val="7"/>
              </w:numPr>
              <w:tabs>
                <w:tab w:val="left" w:pos="181"/>
              </w:tabs>
              <w:spacing w:line="252" w:lineRule="auto"/>
              <w:ind w:right="141" w:firstLine="0"/>
              <w:rPr>
                <w:sz w:val="14"/>
              </w:rPr>
            </w:pPr>
            <w:r>
              <w:rPr>
                <w:spacing w:val="1"/>
                <w:w w:val="105"/>
                <w:sz w:val="14"/>
              </w:rPr>
              <w:t>燃气报装</w:t>
            </w:r>
          </w:p>
          <w:p>
            <w:pPr>
              <w:pStyle w:val="20"/>
              <w:numPr>
                <w:ilvl w:val="0"/>
                <w:numId w:val="7"/>
              </w:numPr>
              <w:tabs>
                <w:tab w:val="left" w:pos="181"/>
              </w:tabs>
              <w:spacing w:line="252" w:lineRule="auto"/>
              <w:ind w:right="141" w:firstLine="0"/>
              <w:rPr>
                <w:sz w:val="14"/>
              </w:rPr>
            </w:pPr>
            <w:r>
              <w:rPr>
                <w:spacing w:val="1"/>
                <w:w w:val="105"/>
                <w:sz w:val="14"/>
              </w:rPr>
              <w:t>热力报装</w:t>
            </w:r>
          </w:p>
          <w:p>
            <w:pPr>
              <w:pStyle w:val="20"/>
              <w:tabs>
                <w:tab w:val="left" w:pos="181"/>
              </w:tabs>
              <w:spacing w:before="2" w:line="177" w:lineRule="exact"/>
              <w:ind w:left="27"/>
              <w:rPr>
                <w:sz w:val="14"/>
              </w:rPr>
            </w:pPr>
            <w:r>
              <w:rPr>
                <w:rFonts w:hint="eastAsia"/>
                <w:w w:val="105"/>
                <w:sz w:val="14"/>
              </w:rPr>
              <w:t>6</w:t>
            </w:r>
            <w:r>
              <w:rPr>
                <w:w w:val="105"/>
                <w:sz w:val="14"/>
              </w:rPr>
              <w:t>.广播电视报装</w:t>
            </w:r>
          </w:p>
          <w:p>
            <w:pPr>
              <w:pStyle w:val="20"/>
              <w:tabs>
                <w:tab w:val="left" w:pos="181"/>
              </w:tabs>
              <w:spacing w:before="8" w:line="172" w:lineRule="exact"/>
              <w:ind w:left="27"/>
              <w:rPr>
                <w:w w:val="105"/>
                <w:sz w:val="14"/>
              </w:rPr>
            </w:pPr>
            <w:r>
              <w:rPr>
                <w:rFonts w:hint="eastAsia"/>
                <w:spacing w:val="1"/>
                <w:w w:val="105"/>
                <w:sz w:val="14"/>
              </w:rPr>
              <w:t>7</w:t>
            </w:r>
            <w:r>
              <w:rPr>
                <w:spacing w:val="1"/>
                <w:w w:val="105"/>
                <w:sz w:val="14"/>
              </w:rPr>
              <w:t>.通信报装</w:t>
            </w:r>
          </w:p>
          <w:p>
            <w:pPr>
              <w:pStyle w:val="20"/>
              <w:spacing w:before="8" w:line="172" w:lineRule="exact"/>
              <w:ind w:left="27"/>
              <w:rPr>
                <w:w w:val="105"/>
                <w:sz w:val="14"/>
              </w:rPr>
            </w:pPr>
            <w:r>
              <w:rPr>
                <w:rFonts w:hint="eastAsia"/>
                <w:w w:val="105"/>
                <w:sz w:val="14"/>
              </w:rPr>
              <w:t>8.</w:t>
            </w:r>
            <w:r>
              <w:rPr>
                <w:rFonts w:hint="eastAsia"/>
                <w:w w:val="105"/>
                <w:sz w:val="14"/>
                <w:lang w:val="en-US"/>
              </w:rPr>
              <w:t>工程建设涉及城市绿地树木审批</w:t>
            </w:r>
          </w:p>
          <w:p>
            <w:pPr>
              <w:pStyle w:val="20"/>
              <w:spacing w:before="8" w:line="172" w:lineRule="exact"/>
              <w:ind w:left="27"/>
              <w:rPr>
                <w:w w:val="105"/>
                <w:sz w:val="14"/>
              </w:rPr>
            </w:pPr>
            <w:r>
              <w:rPr>
                <w:w w:val="105"/>
                <w:sz w:val="14"/>
              </w:rPr>
              <w:t>9.</w:t>
            </w:r>
            <w:r>
              <w:rPr>
                <w:rFonts w:hint="eastAsia"/>
                <w:w w:val="105"/>
                <w:sz w:val="14"/>
                <w:lang w:val="en-US"/>
              </w:rPr>
              <w:t>雨水、污水设施及专用排水设施接入城市排水管网方案备案</w:t>
            </w:r>
          </w:p>
          <w:p>
            <w:pPr>
              <w:pStyle w:val="20"/>
              <w:spacing w:before="8" w:line="172" w:lineRule="exact"/>
              <w:ind w:left="27"/>
              <w:rPr>
                <w:w w:val="105"/>
                <w:sz w:val="14"/>
              </w:rPr>
            </w:pPr>
            <w:r>
              <w:rPr>
                <w:w w:val="105"/>
                <w:sz w:val="14"/>
              </w:rPr>
              <w:t>10.</w:t>
            </w:r>
            <w:r>
              <w:rPr>
                <w:rFonts w:hint="eastAsia"/>
                <w:w w:val="105"/>
                <w:sz w:val="14"/>
                <w:lang w:val="en-US"/>
              </w:rPr>
              <w:t>因工程建设需要拆除、改动、迁移供水、排水与污水处理设施审核</w:t>
            </w:r>
          </w:p>
          <w:p>
            <w:pPr>
              <w:pStyle w:val="20"/>
              <w:spacing w:before="8" w:line="172" w:lineRule="exact"/>
              <w:ind w:left="27"/>
              <w:rPr>
                <w:w w:val="105"/>
                <w:sz w:val="14"/>
              </w:rPr>
            </w:pPr>
            <w:r>
              <w:rPr>
                <w:w w:val="105"/>
                <w:sz w:val="14"/>
              </w:rPr>
              <w:t>11.</w:t>
            </w:r>
            <w:r>
              <w:rPr>
                <w:rFonts w:hint="eastAsia"/>
                <w:w w:val="105"/>
                <w:sz w:val="14"/>
                <w:lang w:val="en-US"/>
              </w:rPr>
              <w:t>影响交通安全的占用、挖掘道路或者跨越、穿越道路架设、增设管线设施的工程建设的许可</w:t>
            </w:r>
          </w:p>
          <w:p>
            <w:pPr>
              <w:pStyle w:val="20"/>
              <w:spacing w:before="8" w:line="172" w:lineRule="exact"/>
              <w:ind w:left="27"/>
              <w:rPr>
                <w:sz w:val="14"/>
              </w:rPr>
            </w:pPr>
            <w:r>
              <w:rPr>
                <w:w w:val="105"/>
                <w:sz w:val="14"/>
              </w:rPr>
              <w:t>12</w:t>
            </w:r>
            <w:r>
              <w:rPr>
                <w:rFonts w:hint="eastAsia"/>
                <w:w w:val="105"/>
                <w:sz w:val="14"/>
              </w:rPr>
              <w:t>.</w:t>
            </w:r>
            <w:r>
              <w:rPr>
                <w:rFonts w:hint="eastAsia"/>
                <w:w w:val="105"/>
                <w:sz w:val="14"/>
                <w:lang w:val="en-US"/>
              </w:rPr>
              <w:t>市政设施建设类审批</w:t>
            </w:r>
          </w:p>
        </w:tc>
        <w:tc>
          <w:tcPr>
            <w:tcW w:w="127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9"/>
              <w:rPr>
                <w:sz w:val="13"/>
              </w:rPr>
            </w:pPr>
          </w:p>
          <w:p>
            <w:pPr>
              <w:pStyle w:val="20"/>
              <w:spacing w:before="1"/>
              <w:ind w:left="32" w:right="16"/>
              <w:jc w:val="center"/>
              <w:rPr>
                <w:sz w:val="14"/>
              </w:rPr>
            </w:pPr>
            <w:r>
              <w:rPr>
                <w:w w:val="105"/>
                <w:sz w:val="14"/>
              </w:rPr>
              <w:t>联合踏勘</w:t>
            </w:r>
          </w:p>
        </w:tc>
        <w:tc>
          <w:tcPr>
            <w:tcW w:w="5864" w:type="dxa"/>
          </w:tcPr>
          <w:p>
            <w:pPr>
              <w:pStyle w:val="20"/>
              <w:rPr>
                <w:sz w:val="14"/>
              </w:rPr>
            </w:pPr>
          </w:p>
          <w:p>
            <w:pPr>
              <w:pStyle w:val="20"/>
              <w:rPr>
                <w:sz w:val="14"/>
              </w:rPr>
            </w:pPr>
          </w:p>
          <w:p>
            <w:pPr>
              <w:pStyle w:val="20"/>
              <w:rPr>
                <w:sz w:val="14"/>
              </w:rPr>
            </w:pPr>
          </w:p>
          <w:p>
            <w:pPr>
              <w:pStyle w:val="20"/>
              <w:rPr>
                <w:sz w:val="14"/>
              </w:rPr>
            </w:pPr>
          </w:p>
          <w:p>
            <w:pPr>
              <w:pStyle w:val="20"/>
              <w:rPr>
                <w:sz w:val="20"/>
              </w:rPr>
            </w:pPr>
          </w:p>
          <w:p>
            <w:pPr>
              <w:pStyle w:val="20"/>
              <w:ind w:left="27"/>
              <w:rPr>
                <w:sz w:val="14"/>
              </w:rPr>
            </w:pPr>
            <w:r>
              <w:rPr>
                <w:w w:val="105"/>
                <w:sz w:val="14"/>
              </w:rPr>
              <w:t>【政策文件】《关于印发水电气暖信服务优化营商环境创新突破实施细则的通知》（鲁建城建字〔2021〕15号）</w:t>
            </w:r>
          </w:p>
          <w:p>
            <w:pPr>
              <w:pStyle w:val="20"/>
              <w:spacing w:before="8" w:line="249" w:lineRule="auto"/>
              <w:ind w:left="27" w:right="2"/>
              <w:rPr>
                <w:color w:val="000000" w:themeColor="text1"/>
                <w:w w:val="105"/>
                <w:sz w:val="14"/>
              </w:rPr>
            </w:pPr>
            <w:r>
              <w:rPr>
                <w:w w:val="105"/>
                <w:sz w:val="14"/>
              </w:rPr>
              <w:t>一、推动水电气暖信联合报装。工程建设项目的报装申请纳入工程建设项目审批“一张表单</w:t>
            </w:r>
            <w:r>
              <w:rPr>
                <w:color w:val="000000" w:themeColor="text1"/>
                <w:w w:val="105"/>
                <w:sz w:val="14"/>
              </w:rPr>
              <w:t>＋联合踏勘”,不再单独申请。</w:t>
            </w:r>
          </w:p>
          <w:p>
            <w:pPr>
              <w:pStyle w:val="20"/>
              <w:spacing w:before="8" w:line="249" w:lineRule="auto"/>
              <w:ind w:left="27" w:right="2"/>
              <w:rPr>
                <w:color w:val="000000" w:themeColor="text1"/>
                <w:w w:val="105"/>
                <w:sz w:val="14"/>
              </w:rPr>
            </w:pPr>
            <w:r>
              <w:rPr>
                <w:color w:val="000000" w:themeColor="text1"/>
                <w:w w:val="105"/>
                <w:sz w:val="14"/>
              </w:rPr>
              <w:t>【政策文件】《关于印发</w:t>
            </w:r>
            <w:r>
              <w:rPr>
                <w:rFonts w:hint="eastAsia"/>
                <w:color w:val="000000" w:themeColor="text1"/>
                <w:w w:val="105"/>
                <w:sz w:val="14"/>
              </w:rPr>
              <w:t>青岛市优化再造市政公用服务审批流程推行“一件事”主题服务实施方案</w:t>
            </w:r>
            <w:r>
              <w:rPr>
                <w:color w:val="000000" w:themeColor="text1"/>
                <w:w w:val="105"/>
                <w:sz w:val="14"/>
              </w:rPr>
              <w:t>的通知》（青建审改字〔2022〕2号）</w:t>
            </w:r>
          </w:p>
          <w:p>
            <w:pPr>
              <w:pStyle w:val="20"/>
              <w:spacing w:before="8" w:line="249" w:lineRule="auto"/>
              <w:ind w:left="27" w:right="2"/>
              <w:rPr>
                <w:color w:val="FF0000"/>
                <w:sz w:val="14"/>
              </w:rPr>
            </w:pPr>
            <w:r>
              <w:rPr>
                <w:color w:val="000000" w:themeColor="text1"/>
                <w:w w:val="105"/>
                <w:sz w:val="14"/>
              </w:rPr>
              <w:t>推行水电气暖信有线电视及相关审批事项“一件事”主题服务改革。实行“一表申报、多审合一、一事全办”。</w:t>
            </w:r>
          </w:p>
        </w:tc>
        <w:tc>
          <w:tcPr>
            <w:tcW w:w="1866"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3"/>
              <w:rPr>
                <w:sz w:val="20"/>
              </w:rPr>
            </w:pPr>
          </w:p>
          <w:p>
            <w:pPr>
              <w:pStyle w:val="20"/>
              <w:spacing w:line="252" w:lineRule="auto"/>
              <w:ind w:left="28" w:right="21"/>
              <w:rPr>
                <w:sz w:val="14"/>
              </w:rPr>
            </w:pPr>
            <w:r>
              <w:rPr>
                <w:w w:val="105"/>
                <w:sz w:val="14"/>
              </w:rPr>
              <w:t>需要办理该审批服务事项的项目。</w:t>
            </w:r>
          </w:p>
        </w:tc>
        <w:tc>
          <w:tcPr>
            <w:tcW w:w="1127" w:type="dxa"/>
          </w:tcPr>
          <w:p>
            <w:pPr>
              <w:pStyle w:val="20"/>
              <w:rPr>
                <w:sz w:val="14"/>
              </w:rPr>
            </w:pPr>
          </w:p>
          <w:p>
            <w:pPr>
              <w:pStyle w:val="20"/>
              <w:rPr>
                <w:sz w:val="14"/>
              </w:rPr>
            </w:pPr>
          </w:p>
          <w:p>
            <w:pPr>
              <w:pStyle w:val="20"/>
              <w:rPr>
                <w:sz w:val="14"/>
              </w:rPr>
            </w:pPr>
          </w:p>
          <w:p>
            <w:pPr>
              <w:pStyle w:val="20"/>
              <w:rPr>
                <w:sz w:val="14"/>
              </w:rPr>
            </w:pPr>
          </w:p>
          <w:p>
            <w:pPr>
              <w:pStyle w:val="20"/>
              <w:rPr>
                <w:sz w:val="14"/>
              </w:rPr>
            </w:pPr>
          </w:p>
          <w:p>
            <w:pPr>
              <w:pStyle w:val="20"/>
              <w:spacing w:before="1"/>
              <w:rPr>
                <w:sz w:val="13"/>
              </w:rPr>
            </w:pPr>
          </w:p>
          <w:p>
            <w:pPr>
              <w:pStyle w:val="20"/>
              <w:spacing w:line="252" w:lineRule="auto"/>
              <w:ind w:left="154" w:right="11"/>
              <w:rPr>
                <w:sz w:val="14"/>
              </w:rPr>
            </w:pPr>
            <w:r>
              <w:rPr>
                <w:w w:val="105"/>
                <w:sz w:val="14"/>
              </w:rPr>
              <w:t>法定时限：3 承诺时限：</w:t>
            </w:r>
            <w:r>
              <w:rPr>
                <w:rFonts w:hint="eastAsia"/>
                <w:w w:val="105"/>
                <w:sz w:val="14"/>
              </w:rPr>
              <w:t>3</w:t>
            </w:r>
          </w:p>
          <w:p>
            <w:pPr>
              <w:pStyle w:val="20"/>
              <w:spacing w:line="177" w:lineRule="exact"/>
              <w:ind w:left="534"/>
              <w:rPr>
                <w:sz w:val="14"/>
              </w:rPr>
            </w:pPr>
          </w:p>
        </w:tc>
        <w:tc>
          <w:tcPr>
            <w:tcW w:w="911" w:type="dxa"/>
            <w:vAlign w:val="center"/>
          </w:tcPr>
          <w:p>
            <w:pPr>
              <w:pStyle w:val="20"/>
              <w:spacing w:line="247" w:lineRule="auto"/>
              <w:ind w:left="88" w:right="53"/>
              <w:jc w:val="both"/>
              <w:rPr>
                <w:sz w:val="15"/>
                <w:szCs w:val="15"/>
              </w:rPr>
            </w:pPr>
            <w:r>
              <w:rPr>
                <w:rFonts w:hint="eastAsia"/>
                <w:sz w:val="14"/>
              </w:rPr>
              <w:t>区城市管理</w:t>
            </w:r>
            <w:r>
              <w:rPr>
                <w:sz w:val="14"/>
              </w:rPr>
              <w:t>局、</w:t>
            </w:r>
            <w:r>
              <w:rPr>
                <w:rFonts w:hint="eastAsia"/>
                <w:sz w:val="14"/>
              </w:rPr>
              <w:t>区</w:t>
            </w:r>
            <w:r>
              <w:rPr>
                <w:sz w:val="14"/>
              </w:rPr>
              <w:t>行政审批局</w:t>
            </w:r>
            <w:r>
              <w:rPr>
                <w:rFonts w:hint="eastAsia"/>
                <w:sz w:val="14"/>
              </w:rPr>
              <w:t>、区</w:t>
            </w:r>
            <w:r>
              <w:rPr>
                <w:sz w:val="14"/>
              </w:rPr>
              <w:t>住房城乡建设局、</w:t>
            </w:r>
            <w:r>
              <w:rPr>
                <w:rFonts w:hint="eastAsia"/>
                <w:sz w:val="14"/>
              </w:rPr>
              <w:t>区工业和信息化局</w:t>
            </w:r>
            <w:r>
              <w:rPr>
                <w:sz w:val="14"/>
              </w:rPr>
              <w:t>、</w:t>
            </w:r>
            <w:r>
              <w:rPr>
                <w:rFonts w:hint="eastAsia"/>
                <w:sz w:val="14"/>
              </w:rPr>
              <w:t>市</w:t>
            </w:r>
            <w:r>
              <w:rPr>
                <w:sz w:val="14"/>
              </w:rPr>
              <w:t>公安局</w:t>
            </w:r>
            <w:r>
              <w:rPr>
                <w:rFonts w:hint="eastAsia"/>
                <w:sz w:val="14"/>
              </w:rPr>
              <w:t>黄岛分局</w:t>
            </w:r>
            <w:r>
              <w:rPr>
                <w:sz w:val="14"/>
              </w:rPr>
              <w:t>、</w:t>
            </w:r>
            <w:r>
              <w:rPr>
                <w:rFonts w:hint="eastAsia"/>
                <w:sz w:val="14"/>
              </w:rPr>
              <w:t>市</w:t>
            </w:r>
            <w:r>
              <w:rPr>
                <w:sz w:val="14"/>
              </w:rPr>
              <w:t>公安局</w:t>
            </w:r>
            <w:r>
              <w:rPr>
                <w:rFonts w:hint="eastAsia"/>
                <w:sz w:val="14"/>
              </w:rPr>
              <w:t>开发区分局</w:t>
            </w:r>
            <w:r>
              <w:rPr>
                <w:sz w:val="14"/>
              </w:rPr>
              <w:t>、</w:t>
            </w:r>
            <w:r>
              <w:rPr>
                <w:rFonts w:hint="eastAsia"/>
                <w:sz w:val="14"/>
              </w:rPr>
              <w:t>区</w:t>
            </w:r>
            <w:r>
              <w:rPr>
                <w:sz w:val="14"/>
              </w:rPr>
              <w:t>供电公司、中国广电山东网络有限公司</w:t>
            </w:r>
            <w:r>
              <w:rPr>
                <w:rFonts w:hint="eastAsia"/>
                <w:sz w:val="14"/>
              </w:rPr>
              <w:t>胶南</w:t>
            </w:r>
            <w:r>
              <w:rPr>
                <w:sz w:val="14"/>
              </w:rPr>
              <w:t>分公司</w:t>
            </w:r>
          </w:p>
        </w:tc>
      </w:tr>
    </w:tbl>
    <w:p>
      <w:pPr>
        <w:spacing w:line="560" w:lineRule="exact"/>
        <w:jc w:val="both"/>
        <w:rPr>
          <w:rFonts w:ascii="仿宋" w:hAnsi="仿宋" w:eastAsia="仿宋"/>
          <w:bCs/>
          <w:sz w:val="32"/>
          <w:szCs w:val="32"/>
          <w:lang w:eastAsia="zh-CN"/>
        </w:rPr>
      </w:pPr>
    </w:p>
    <w:sectPr>
      <w:pgSz w:w="16839" w:h="11907" w:orient="landscape"/>
      <w:pgMar w:top="1474" w:right="1985" w:bottom="1588" w:left="2098" w:header="720" w:footer="720" w:gutter="0"/>
      <w:pgNumType w:fmt="numberInDash"/>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27" w:hanging="154"/>
      </w:pPr>
      <w:rPr>
        <w:rFonts w:hint="default" w:ascii="宋体" w:hAnsi="宋体" w:eastAsia="宋体" w:cs="宋体"/>
        <w:spacing w:val="2"/>
        <w:w w:val="104"/>
        <w:sz w:val="12"/>
        <w:szCs w:val="12"/>
        <w:lang w:val="zh-CN" w:eastAsia="zh-CN" w:bidi="zh-CN"/>
      </w:rPr>
    </w:lvl>
    <w:lvl w:ilvl="1" w:tentative="0">
      <w:start w:val="0"/>
      <w:numFmt w:val="bullet"/>
      <w:lvlText w:val="•"/>
      <w:lvlJc w:val="left"/>
      <w:pPr>
        <w:ind w:left="133" w:hanging="154"/>
      </w:pPr>
      <w:rPr>
        <w:rFonts w:hint="default"/>
        <w:lang w:val="zh-CN" w:eastAsia="zh-CN" w:bidi="zh-CN"/>
      </w:rPr>
    </w:lvl>
    <w:lvl w:ilvl="2" w:tentative="0">
      <w:start w:val="0"/>
      <w:numFmt w:val="bullet"/>
      <w:lvlText w:val="•"/>
      <w:lvlJc w:val="left"/>
      <w:pPr>
        <w:ind w:left="246" w:hanging="154"/>
      </w:pPr>
      <w:rPr>
        <w:rFonts w:hint="default"/>
        <w:lang w:val="zh-CN" w:eastAsia="zh-CN" w:bidi="zh-CN"/>
      </w:rPr>
    </w:lvl>
    <w:lvl w:ilvl="3" w:tentative="0">
      <w:start w:val="0"/>
      <w:numFmt w:val="bullet"/>
      <w:lvlText w:val="•"/>
      <w:lvlJc w:val="left"/>
      <w:pPr>
        <w:ind w:left="359" w:hanging="154"/>
      </w:pPr>
      <w:rPr>
        <w:rFonts w:hint="default"/>
        <w:lang w:val="zh-CN" w:eastAsia="zh-CN" w:bidi="zh-CN"/>
      </w:rPr>
    </w:lvl>
    <w:lvl w:ilvl="4" w:tentative="0">
      <w:start w:val="0"/>
      <w:numFmt w:val="bullet"/>
      <w:lvlText w:val="•"/>
      <w:lvlJc w:val="left"/>
      <w:pPr>
        <w:ind w:left="472" w:hanging="154"/>
      </w:pPr>
      <w:rPr>
        <w:rFonts w:hint="default"/>
        <w:lang w:val="zh-CN" w:eastAsia="zh-CN" w:bidi="zh-CN"/>
      </w:rPr>
    </w:lvl>
    <w:lvl w:ilvl="5" w:tentative="0">
      <w:start w:val="0"/>
      <w:numFmt w:val="bullet"/>
      <w:lvlText w:val="•"/>
      <w:lvlJc w:val="left"/>
      <w:pPr>
        <w:ind w:left="585" w:hanging="154"/>
      </w:pPr>
      <w:rPr>
        <w:rFonts w:hint="default"/>
        <w:lang w:val="zh-CN" w:eastAsia="zh-CN" w:bidi="zh-CN"/>
      </w:rPr>
    </w:lvl>
    <w:lvl w:ilvl="6" w:tentative="0">
      <w:start w:val="0"/>
      <w:numFmt w:val="bullet"/>
      <w:lvlText w:val="•"/>
      <w:lvlJc w:val="left"/>
      <w:pPr>
        <w:ind w:left="698" w:hanging="154"/>
      </w:pPr>
      <w:rPr>
        <w:rFonts w:hint="default"/>
        <w:lang w:val="zh-CN" w:eastAsia="zh-CN" w:bidi="zh-CN"/>
      </w:rPr>
    </w:lvl>
    <w:lvl w:ilvl="7" w:tentative="0">
      <w:start w:val="0"/>
      <w:numFmt w:val="bullet"/>
      <w:lvlText w:val="•"/>
      <w:lvlJc w:val="left"/>
      <w:pPr>
        <w:ind w:left="811" w:hanging="154"/>
      </w:pPr>
      <w:rPr>
        <w:rFonts w:hint="default"/>
        <w:lang w:val="zh-CN" w:eastAsia="zh-CN" w:bidi="zh-CN"/>
      </w:rPr>
    </w:lvl>
    <w:lvl w:ilvl="8" w:tentative="0">
      <w:start w:val="0"/>
      <w:numFmt w:val="bullet"/>
      <w:lvlText w:val="•"/>
      <w:lvlJc w:val="left"/>
      <w:pPr>
        <w:ind w:left="924" w:hanging="154"/>
      </w:pPr>
      <w:rPr>
        <w:rFonts w:hint="default"/>
        <w:lang w:val="zh-CN" w:eastAsia="zh-CN" w:bidi="zh-CN"/>
      </w:rPr>
    </w:lvl>
  </w:abstractNum>
  <w:abstractNum w:abstractNumId="1">
    <w:nsid w:val="BF205925"/>
    <w:multiLevelType w:val="multilevel"/>
    <w:tmpl w:val="BF205925"/>
    <w:lvl w:ilvl="0" w:tentative="0">
      <w:start w:val="5"/>
      <w:numFmt w:val="decimal"/>
      <w:lvlText w:val="%1."/>
      <w:lvlJc w:val="left"/>
      <w:pPr>
        <w:ind w:left="27" w:hanging="154"/>
      </w:pPr>
      <w:rPr>
        <w:rFonts w:hint="default" w:ascii="宋体" w:hAnsi="宋体" w:eastAsia="宋体" w:cs="宋体"/>
        <w:spacing w:val="2"/>
        <w:w w:val="104"/>
        <w:sz w:val="12"/>
        <w:szCs w:val="12"/>
        <w:lang w:val="zh-CN" w:eastAsia="zh-CN" w:bidi="zh-CN"/>
      </w:rPr>
    </w:lvl>
    <w:lvl w:ilvl="1" w:tentative="0">
      <w:start w:val="0"/>
      <w:numFmt w:val="bullet"/>
      <w:lvlText w:val="•"/>
      <w:lvlJc w:val="left"/>
      <w:pPr>
        <w:ind w:left="133" w:hanging="154"/>
      </w:pPr>
      <w:rPr>
        <w:rFonts w:hint="default"/>
        <w:lang w:val="zh-CN" w:eastAsia="zh-CN" w:bidi="zh-CN"/>
      </w:rPr>
    </w:lvl>
    <w:lvl w:ilvl="2" w:tentative="0">
      <w:start w:val="0"/>
      <w:numFmt w:val="bullet"/>
      <w:lvlText w:val="•"/>
      <w:lvlJc w:val="left"/>
      <w:pPr>
        <w:ind w:left="246" w:hanging="154"/>
      </w:pPr>
      <w:rPr>
        <w:rFonts w:hint="default"/>
        <w:lang w:val="zh-CN" w:eastAsia="zh-CN" w:bidi="zh-CN"/>
      </w:rPr>
    </w:lvl>
    <w:lvl w:ilvl="3" w:tentative="0">
      <w:start w:val="0"/>
      <w:numFmt w:val="bullet"/>
      <w:lvlText w:val="•"/>
      <w:lvlJc w:val="left"/>
      <w:pPr>
        <w:ind w:left="359" w:hanging="154"/>
      </w:pPr>
      <w:rPr>
        <w:rFonts w:hint="default"/>
        <w:lang w:val="zh-CN" w:eastAsia="zh-CN" w:bidi="zh-CN"/>
      </w:rPr>
    </w:lvl>
    <w:lvl w:ilvl="4" w:tentative="0">
      <w:start w:val="0"/>
      <w:numFmt w:val="bullet"/>
      <w:lvlText w:val="•"/>
      <w:lvlJc w:val="left"/>
      <w:pPr>
        <w:ind w:left="472" w:hanging="154"/>
      </w:pPr>
      <w:rPr>
        <w:rFonts w:hint="default"/>
        <w:lang w:val="zh-CN" w:eastAsia="zh-CN" w:bidi="zh-CN"/>
      </w:rPr>
    </w:lvl>
    <w:lvl w:ilvl="5" w:tentative="0">
      <w:start w:val="0"/>
      <w:numFmt w:val="bullet"/>
      <w:lvlText w:val="•"/>
      <w:lvlJc w:val="left"/>
      <w:pPr>
        <w:ind w:left="585" w:hanging="154"/>
      </w:pPr>
      <w:rPr>
        <w:rFonts w:hint="default"/>
        <w:lang w:val="zh-CN" w:eastAsia="zh-CN" w:bidi="zh-CN"/>
      </w:rPr>
    </w:lvl>
    <w:lvl w:ilvl="6" w:tentative="0">
      <w:start w:val="0"/>
      <w:numFmt w:val="bullet"/>
      <w:lvlText w:val="•"/>
      <w:lvlJc w:val="left"/>
      <w:pPr>
        <w:ind w:left="698" w:hanging="154"/>
      </w:pPr>
      <w:rPr>
        <w:rFonts w:hint="default"/>
        <w:lang w:val="zh-CN" w:eastAsia="zh-CN" w:bidi="zh-CN"/>
      </w:rPr>
    </w:lvl>
    <w:lvl w:ilvl="7" w:tentative="0">
      <w:start w:val="0"/>
      <w:numFmt w:val="bullet"/>
      <w:lvlText w:val="•"/>
      <w:lvlJc w:val="left"/>
      <w:pPr>
        <w:ind w:left="811" w:hanging="154"/>
      </w:pPr>
      <w:rPr>
        <w:rFonts w:hint="default"/>
        <w:lang w:val="zh-CN" w:eastAsia="zh-CN" w:bidi="zh-CN"/>
      </w:rPr>
    </w:lvl>
    <w:lvl w:ilvl="8" w:tentative="0">
      <w:start w:val="0"/>
      <w:numFmt w:val="bullet"/>
      <w:lvlText w:val="•"/>
      <w:lvlJc w:val="left"/>
      <w:pPr>
        <w:ind w:left="924" w:hanging="154"/>
      </w:pPr>
      <w:rPr>
        <w:rFonts w:hint="default"/>
        <w:lang w:val="zh-CN" w:eastAsia="zh-CN" w:bidi="zh-CN"/>
      </w:rPr>
    </w:lvl>
  </w:abstractNum>
  <w:abstractNum w:abstractNumId="2">
    <w:nsid w:val="C8879AEF"/>
    <w:multiLevelType w:val="multilevel"/>
    <w:tmpl w:val="C8879AEF"/>
    <w:lvl w:ilvl="0" w:tentative="0">
      <w:start w:val="1"/>
      <w:numFmt w:val="decimal"/>
      <w:lvlText w:val="%1."/>
      <w:lvlJc w:val="left"/>
      <w:pPr>
        <w:ind w:left="27" w:hanging="154"/>
      </w:pPr>
      <w:rPr>
        <w:rFonts w:hint="default" w:ascii="宋体" w:hAnsi="宋体" w:eastAsia="宋体" w:cs="宋体"/>
        <w:spacing w:val="2"/>
        <w:w w:val="104"/>
        <w:sz w:val="12"/>
        <w:szCs w:val="12"/>
        <w:lang w:val="zh-CN" w:eastAsia="zh-CN" w:bidi="zh-CN"/>
      </w:rPr>
    </w:lvl>
    <w:lvl w:ilvl="1" w:tentative="0">
      <w:start w:val="0"/>
      <w:numFmt w:val="bullet"/>
      <w:lvlText w:val="•"/>
      <w:lvlJc w:val="left"/>
      <w:pPr>
        <w:ind w:left="133" w:hanging="154"/>
      </w:pPr>
      <w:rPr>
        <w:rFonts w:hint="default"/>
        <w:lang w:val="zh-CN" w:eastAsia="zh-CN" w:bidi="zh-CN"/>
      </w:rPr>
    </w:lvl>
    <w:lvl w:ilvl="2" w:tentative="0">
      <w:start w:val="0"/>
      <w:numFmt w:val="bullet"/>
      <w:lvlText w:val="•"/>
      <w:lvlJc w:val="left"/>
      <w:pPr>
        <w:ind w:left="246" w:hanging="154"/>
      </w:pPr>
      <w:rPr>
        <w:rFonts w:hint="default"/>
        <w:lang w:val="zh-CN" w:eastAsia="zh-CN" w:bidi="zh-CN"/>
      </w:rPr>
    </w:lvl>
    <w:lvl w:ilvl="3" w:tentative="0">
      <w:start w:val="0"/>
      <w:numFmt w:val="bullet"/>
      <w:lvlText w:val="•"/>
      <w:lvlJc w:val="left"/>
      <w:pPr>
        <w:ind w:left="359" w:hanging="154"/>
      </w:pPr>
      <w:rPr>
        <w:rFonts w:hint="default"/>
        <w:lang w:val="zh-CN" w:eastAsia="zh-CN" w:bidi="zh-CN"/>
      </w:rPr>
    </w:lvl>
    <w:lvl w:ilvl="4" w:tentative="0">
      <w:start w:val="0"/>
      <w:numFmt w:val="bullet"/>
      <w:lvlText w:val="•"/>
      <w:lvlJc w:val="left"/>
      <w:pPr>
        <w:ind w:left="472" w:hanging="154"/>
      </w:pPr>
      <w:rPr>
        <w:rFonts w:hint="default"/>
        <w:lang w:val="zh-CN" w:eastAsia="zh-CN" w:bidi="zh-CN"/>
      </w:rPr>
    </w:lvl>
    <w:lvl w:ilvl="5" w:tentative="0">
      <w:start w:val="0"/>
      <w:numFmt w:val="bullet"/>
      <w:lvlText w:val="•"/>
      <w:lvlJc w:val="left"/>
      <w:pPr>
        <w:ind w:left="585" w:hanging="154"/>
      </w:pPr>
      <w:rPr>
        <w:rFonts w:hint="default"/>
        <w:lang w:val="zh-CN" w:eastAsia="zh-CN" w:bidi="zh-CN"/>
      </w:rPr>
    </w:lvl>
    <w:lvl w:ilvl="6" w:tentative="0">
      <w:start w:val="0"/>
      <w:numFmt w:val="bullet"/>
      <w:lvlText w:val="•"/>
      <w:lvlJc w:val="left"/>
      <w:pPr>
        <w:ind w:left="698" w:hanging="154"/>
      </w:pPr>
      <w:rPr>
        <w:rFonts w:hint="default"/>
        <w:lang w:val="zh-CN" w:eastAsia="zh-CN" w:bidi="zh-CN"/>
      </w:rPr>
    </w:lvl>
    <w:lvl w:ilvl="7" w:tentative="0">
      <w:start w:val="0"/>
      <w:numFmt w:val="bullet"/>
      <w:lvlText w:val="•"/>
      <w:lvlJc w:val="left"/>
      <w:pPr>
        <w:ind w:left="811" w:hanging="154"/>
      </w:pPr>
      <w:rPr>
        <w:rFonts w:hint="default"/>
        <w:lang w:val="zh-CN" w:eastAsia="zh-CN" w:bidi="zh-CN"/>
      </w:rPr>
    </w:lvl>
    <w:lvl w:ilvl="8" w:tentative="0">
      <w:start w:val="0"/>
      <w:numFmt w:val="bullet"/>
      <w:lvlText w:val="•"/>
      <w:lvlJc w:val="left"/>
      <w:pPr>
        <w:ind w:left="924" w:hanging="154"/>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27" w:hanging="154"/>
      </w:pPr>
      <w:rPr>
        <w:rFonts w:hint="default" w:ascii="宋体" w:hAnsi="宋体" w:eastAsia="宋体" w:cs="宋体"/>
        <w:spacing w:val="2"/>
        <w:w w:val="104"/>
        <w:sz w:val="12"/>
        <w:szCs w:val="12"/>
        <w:lang w:val="zh-CN" w:eastAsia="zh-CN" w:bidi="zh-CN"/>
      </w:rPr>
    </w:lvl>
    <w:lvl w:ilvl="1" w:tentative="0">
      <w:start w:val="0"/>
      <w:numFmt w:val="bullet"/>
      <w:lvlText w:val="•"/>
      <w:lvlJc w:val="left"/>
      <w:pPr>
        <w:ind w:left="133" w:hanging="154"/>
      </w:pPr>
      <w:rPr>
        <w:rFonts w:hint="default"/>
        <w:lang w:val="zh-CN" w:eastAsia="zh-CN" w:bidi="zh-CN"/>
      </w:rPr>
    </w:lvl>
    <w:lvl w:ilvl="2" w:tentative="0">
      <w:start w:val="0"/>
      <w:numFmt w:val="bullet"/>
      <w:lvlText w:val="•"/>
      <w:lvlJc w:val="left"/>
      <w:pPr>
        <w:ind w:left="246" w:hanging="154"/>
      </w:pPr>
      <w:rPr>
        <w:rFonts w:hint="default"/>
        <w:lang w:val="zh-CN" w:eastAsia="zh-CN" w:bidi="zh-CN"/>
      </w:rPr>
    </w:lvl>
    <w:lvl w:ilvl="3" w:tentative="0">
      <w:start w:val="0"/>
      <w:numFmt w:val="bullet"/>
      <w:lvlText w:val="•"/>
      <w:lvlJc w:val="left"/>
      <w:pPr>
        <w:ind w:left="359" w:hanging="154"/>
      </w:pPr>
      <w:rPr>
        <w:rFonts w:hint="default"/>
        <w:lang w:val="zh-CN" w:eastAsia="zh-CN" w:bidi="zh-CN"/>
      </w:rPr>
    </w:lvl>
    <w:lvl w:ilvl="4" w:tentative="0">
      <w:start w:val="0"/>
      <w:numFmt w:val="bullet"/>
      <w:lvlText w:val="•"/>
      <w:lvlJc w:val="left"/>
      <w:pPr>
        <w:ind w:left="472" w:hanging="154"/>
      </w:pPr>
      <w:rPr>
        <w:rFonts w:hint="default"/>
        <w:lang w:val="zh-CN" w:eastAsia="zh-CN" w:bidi="zh-CN"/>
      </w:rPr>
    </w:lvl>
    <w:lvl w:ilvl="5" w:tentative="0">
      <w:start w:val="0"/>
      <w:numFmt w:val="bullet"/>
      <w:lvlText w:val="•"/>
      <w:lvlJc w:val="left"/>
      <w:pPr>
        <w:ind w:left="585" w:hanging="154"/>
      </w:pPr>
      <w:rPr>
        <w:rFonts w:hint="default"/>
        <w:lang w:val="zh-CN" w:eastAsia="zh-CN" w:bidi="zh-CN"/>
      </w:rPr>
    </w:lvl>
    <w:lvl w:ilvl="6" w:tentative="0">
      <w:start w:val="0"/>
      <w:numFmt w:val="bullet"/>
      <w:lvlText w:val="•"/>
      <w:lvlJc w:val="left"/>
      <w:pPr>
        <w:ind w:left="698" w:hanging="154"/>
      </w:pPr>
      <w:rPr>
        <w:rFonts w:hint="default"/>
        <w:lang w:val="zh-CN" w:eastAsia="zh-CN" w:bidi="zh-CN"/>
      </w:rPr>
    </w:lvl>
    <w:lvl w:ilvl="7" w:tentative="0">
      <w:start w:val="0"/>
      <w:numFmt w:val="bullet"/>
      <w:lvlText w:val="•"/>
      <w:lvlJc w:val="left"/>
      <w:pPr>
        <w:ind w:left="811" w:hanging="154"/>
      </w:pPr>
      <w:rPr>
        <w:rFonts w:hint="default"/>
        <w:lang w:val="zh-CN" w:eastAsia="zh-CN" w:bidi="zh-CN"/>
      </w:rPr>
    </w:lvl>
    <w:lvl w:ilvl="8" w:tentative="0">
      <w:start w:val="0"/>
      <w:numFmt w:val="bullet"/>
      <w:lvlText w:val="•"/>
      <w:lvlJc w:val="left"/>
      <w:pPr>
        <w:ind w:left="924" w:hanging="154"/>
      </w:pPr>
      <w:rPr>
        <w:rFonts w:hint="default"/>
        <w:lang w:val="zh-CN" w:eastAsia="zh-CN" w:bidi="zh-CN"/>
      </w:rPr>
    </w:lvl>
  </w:abstractNum>
  <w:abstractNum w:abstractNumId="4">
    <w:nsid w:val="0248C179"/>
    <w:multiLevelType w:val="multilevel"/>
    <w:tmpl w:val="0248C179"/>
    <w:lvl w:ilvl="0" w:tentative="0">
      <w:start w:val="1"/>
      <w:numFmt w:val="decimal"/>
      <w:lvlText w:val="%1."/>
      <w:lvlJc w:val="left"/>
      <w:pPr>
        <w:ind w:left="60" w:hanging="152"/>
      </w:pPr>
      <w:rPr>
        <w:rFonts w:hint="default" w:ascii="宋体" w:hAnsi="宋体" w:eastAsia="宋体" w:cs="宋体"/>
        <w:spacing w:val="-3"/>
        <w:w w:val="104"/>
        <w:sz w:val="12"/>
        <w:szCs w:val="12"/>
        <w:lang w:val="zh-CN" w:eastAsia="zh-CN" w:bidi="zh-CN"/>
      </w:rPr>
    </w:lvl>
    <w:lvl w:ilvl="1" w:tentative="0">
      <w:start w:val="0"/>
      <w:numFmt w:val="bullet"/>
      <w:lvlText w:val="•"/>
      <w:lvlJc w:val="left"/>
      <w:pPr>
        <w:ind w:left="169" w:hanging="152"/>
      </w:pPr>
      <w:rPr>
        <w:rFonts w:hint="default"/>
        <w:lang w:val="zh-CN" w:eastAsia="zh-CN" w:bidi="zh-CN"/>
      </w:rPr>
    </w:lvl>
    <w:lvl w:ilvl="2" w:tentative="0">
      <w:start w:val="0"/>
      <w:numFmt w:val="bullet"/>
      <w:lvlText w:val="•"/>
      <w:lvlJc w:val="left"/>
      <w:pPr>
        <w:ind w:left="278" w:hanging="152"/>
      </w:pPr>
      <w:rPr>
        <w:rFonts w:hint="default"/>
        <w:lang w:val="zh-CN" w:eastAsia="zh-CN" w:bidi="zh-CN"/>
      </w:rPr>
    </w:lvl>
    <w:lvl w:ilvl="3" w:tentative="0">
      <w:start w:val="0"/>
      <w:numFmt w:val="bullet"/>
      <w:lvlText w:val="•"/>
      <w:lvlJc w:val="left"/>
      <w:pPr>
        <w:ind w:left="387" w:hanging="152"/>
      </w:pPr>
      <w:rPr>
        <w:rFonts w:hint="default"/>
        <w:lang w:val="zh-CN" w:eastAsia="zh-CN" w:bidi="zh-CN"/>
      </w:rPr>
    </w:lvl>
    <w:lvl w:ilvl="4" w:tentative="0">
      <w:start w:val="0"/>
      <w:numFmt w:val="bullet"/>
      <w:lvlText w:val="•"/>
      <w:lvlJc w:val="left"/>
      <w:pPr>
        <w:ind w:left="496" w:hanging="152"/>
      </w:pPr>
      <w:rPr>
        <w:rFonts w:hint="default"/>
        <w:lang w:val="zh-CN" w:eastAsia="zh-CN" w:bidi="zh-CN"/>
      </w:rPr>
    </w:lvl>
    <w:lvl w:ilvl="5" w:tentative="0">
      <w:start w:val="0"/>
      <w:numFmt w:val="bullet"/>
      <w:lvlText w:val="•"/>
      <w:lvlJc w:val="left"/>
      <w:pPr>
        <w:ind w:left="605" w:hanging="152"/>
      </w:pPr>
      <w:rPr>
        <w:rFonts w:hint="default"/>
        <w:lang w:val="zh-CN" w:eastAsia="zh-CN" w:bidi="zh-CN"/>
      </w:rPr>
    </w:lvl>
    <w:lvl w:ilvl="6" w:tentative="0">
      <w:start w:val="0"/>
      <w:numFmt w:val="bullet"/>
      <w:lvlText w:val="•"/>
      <w:lvlJc w:val="left"/>
      <w:pPr>
        <w:ind w:left="714" w:hanging="152"/>
      </w:pPr>
      <w:rPr>
        <w:rFonts w:hint="default"/>
        <w:lang w:val="zh-CN" w:eastAsia="zh-CN" w:bidi="zh-CN"/>
      </w:rPr>
    </w:lvl>
    <w:lvl w:ilvl="7" w:tentative="0">
      <w:start w:val="0"/>
      <w:numFmt w:val="bullet"/>
      <w:lvlText w:val="•"/>
      <w:lvlJc w:val="left"/>
      <w:pPr>
        <w:ind w:left="823" w:hanging="152"/>
      </w:pPr>
      <w:rPr>
        <w:rFonts w:hint="default"/>
        <w:lang w:val="zh-CN" w:eastAsia="zh-CN" w:bidi="zh-CN"/>
      </w:rPr>
    </w:lvl>
    <w:lvl w:ilvl="8" w:tentative="0">
      <w:start w:val="0"/>
      <w:numFmt w:val="bullet"/>
      <w:lvlText w:val="•"/>
      <w:lvlJc w:val="left"/>
      <w:pPr>
        <w:ind w:left="932" w:hanging="152"/>
      </w:pPr>
      <w:rPr>
        <w:rFonts w:hint="default"/>
        <w:lang w:val="zh-CN" w:eastAsia="zh-CN" w:bidi="zh-CN"/>
      </w:rPr>
    </w:lvl>
  </w:abstractNum>
  <w:abstractNum w:abstractNumId="5">
    <w:nsid w:val="2A8F537B"/>
    <w:multiLevelType w:val="multilevel"/>
    <w:tmpl w:val="2A8F537B"/>
    <w:lvl w:ilvl="0" w:tentative="0">
      <w:start w:val="1"/>
      <w:numFmt w:val="decimal"/>
      <w:lvlText w:val="%1."/>
      <w:lvlJc w:val="left"/>
      <w:pPr>
        <w:ind w:left="27" w:hanging="154"/>
      </w:pPr>
      <w:rPr>
        <w:rFonts w:hint="default" w:ascii="宋体" w:hAnsi="宋体" w:eastAsia="宋体" w:cs="宋体"/>
        <w:spacing w:val="2"/>
        <w:w w:val="104"/>
        <w:sz w:val="12"/>
        <w:szCs w:val="12"/>
        <w:lang w:val="zh-CN" w:eastAsia="zh-CN" w:bidi="zh-CN"/>
      </w:rPr>
    </w:lvl>
    <w:lvl w:ilvl="1" w:tentative="0">
      <w:start w:val="0"/>
      <w:numFmt w:val="bullet"/>
      <w:lvlText w:val="•"/>
      <w:lvlJc w:val="left"/>
      <w:pPr>
        <w:ind w:left="133" w:hanging="154"/>
      </w:pPr>
      <w:rPr>
        <w:rFonts w:hint="default"/>
        <w:lang w:val="zh-CN" w:eastAsia="zh-CN" w:bidi="zh-CN"/>
      </w:rPr>
    </w:lvl>
    <w:lvl w:ilvl="2" w:tentative="0">
      <w:start w:val="0"/>
      <w:numFmt w:val="bullet"/>
      <w:lvlText w:val="•"/>
      <w:lvlJc w:val="left"/>
      <w:pPr>
        <w:ind w:left="246" w:hanging="154"/>
      </w:pPr>
      <w:rPr>
        <w:rFonts w:hint="default"/>
        <w:lang w:val="zh-CN" w:eastAsia="zh-CN" w:bidi="zh-CN"/>
      </w:rPr>
    </w:lvl>
    <w:lvl w:ilvl="3" w:tentative="0">
      <w:start w:val="0"/>
      <w:numFmt w:val="bullet"/>
      <w:lvlText w:val="•"/>
      <w:lvlJc w:val="left"/>
      <w:pPr>
        <w:ind w:left="359" w:hanging="154"/>
      </w:pPr>
      <w:rPr>
        <w:rFonts w:hint="default"/>
        <w:lang w:val="zh-CN" w:eastAsia="zh-CN" w:bidi="zh-CN"/>
      </w:rPr>
    </w:lvl>
    <w:lvl w:ilvl="4" w:tentative="0">
      <w:start w:val="0"/>
      <w:numFmt w:val="bullet"/>
      <w:lvlText w:val="•"/>
      <w:lvlJc w:val="left"/>
      <w:pPr>
        <w:ind w:left="472" w:hanging="154"/>
      </w:pPr>
      <w:rPr>
        <w:rFonts w:hint="default"/>
        <w:lang w:val="zh-CN" w:eastAsia="zh-CN" w:bidi="zh-CN"/>
      </w:rPr>
    </w:lvl>
    <w:lvl w:ilvl="5" w:tentative="0">
      <w:start w:val="0"/>
      <w:numFmt w:val="bullet"/>
      <w:lvlText w:val="•"/>
      <w:lvlJc w:val="left"/>
      <w:pPr>
        <w:ind w:left="585" w:hanging="154"/>
      </w:pPr>
      <w:rPr>
        <w:rFonts w:hint="default"/>
        <w:lang w:val="zh-CN" w:eastAsia="zh-CN" w:bidi="zh-CN"/>
      </w:rPr>
    </w:lvl>
    <w:lvl w:ilvl="6" w:tentative="0">
      <w:start w:val="0"/>
      <w:numFmt w:val="bullet"/>
      <w:lvlText w:val="•"/>
      <w:lvlJc w:val="left"/>
      <w:pPr>
        <w:ind w:left="698" w:hanging="154"/>
      </w:pPr>
      <w:rPr>
        <w:rFonts w:hint="default"/>
        <w:lang w:val="zh-CN" w:eastAsia="zh-CN" w:bidi="zh-CN"/>
      </w:rPr>
    </w:lvl>
    <w:lvl w:ilvl="7" w:tentative="0">
      <w:start w:val="0"/>
      <w:numFmt w:val="bullet"/>
      <w:lvlText w:val="•"/>
      <w:lvlJc w:val="left"/>
      <w:pPr>
        <w:ind w:left="811" w:hanging="154"/>
      </w:pPr>
      <w:rPr>
        <w:rFonts w:hint="default"/>
        <w:lang w:val="zh-CN" w:eastAsia="zh-CN" w:bidi="zh-CN"/>
      </w:rPr>
    </w:lvl>
    <w:lvl w:ilvl="8" w:tentative="0">
      <w:start w:val="0"/>
      <w:numFmt w:val="bullet"/>
      <w:lvlText w:val="•"/>
      <w:lvlJc w:val="left"/>
      <w:pPr>
        <w:ind w:left="924" w:hanging="154"/>
      </w:pPr>
      <w:rPr>
        <w:rFonts w:hint="default"/>
        <w:lang w:val="zh-CN" w:eastAsia="zh-CN" w:bidi="zh-CN"/>
      </w:rPr>
    </w:lvl>
  </w:abstractNum>
  <w:abstractNum w:abstractNumId="6">
    <w:nsid w:val="72183CF9"/>
    <w:multiLevelType w:val="multilevel"/>
    <w:tmpl w:val="72183CF9"/>
    <w:lvl w:ilvl="0" w:tentative="0">
      <w:start w:val="1"/>
      <w:numFmt w:val="decimal"/>
      <w:lvlText w:val="%1."/>
      <w:lvlJc w:val="left"/>
      <w:pPr>
        <w:ind w:left="27" w:hanging="154"/>
      </w:pPr>
      <w:rPr>
        <w:rFonts w:hint="default" w:ascii="宋体" w:hAnsi="宋体" w:eastAsia="宋体" w:cs="宋体"/>
        <w:spacing w:val="2"/>
        <w:w w:val="104"/>
        <w:sz w:val="12"/>
        <w:szCs w:val="12"/>
        <w:lang w:val="zh-CN" w:eastAsia="zh-CN" w:bidi="zh-CN"/>
      </w:rPr>
    </w:lvl>
    <w:lvl w:ilvl="1" w:tentative="0">
      <w:start w:val="0"/>
      <w:numFmt w:val="bullet"/>
      <w:lvlText w:val="•"/>
      <w:lvlJc w:val="left"/>
      <w:pPr>
        <w:ind w:left="133" w:hanging="154"/>
      </w:pPr>
      <w:rPr>
        <w:rFonts w:hint="default"/>
        <w:lang w:val="zh-CN" w:eastAsia="zh-CN" w:bidi="zh-CN"/>
      </w:rPr>
    </w:lvl>
    <w:lvl w:ilvl="2" w:tentative="0">
      <w:start w:val="0"/>
      <w:numFmt w:val="bullet"/>
      <w:lvlText w:val="•"/>
      <w:lvlJc w:val="left"/>
      <w:pPr>
        <w:ind w:left="246" w:hanging="154"/>
      </w:pPr>
      <w:rPr>
        <w:rFonts w:hint="default"/>
        <w:lang w:val="zh-CN" w:eastAsia="zh-CN" w:bidi="zh-CN"/>
      </w:rPr>
    </w:lvl>
    <w:lvl w:ilvl="3" w:tentative="0">
      <w:start w:val="0"/>
      <w:numFmt w:val="bullet"/>
      <w:lvlText w:val="•"/>
      <w:lvlJc w:val="left"/>
      <w:pPr>
        <w:ind w:left="359" w:hanging="154"/>
      </w:pPr>
      <w:rPr>
        <w:rFonts w:hint="default"/>
        <w:lang w:val="zh-CN" w:eastAsia="zh-CN" w:bidi="zh-CN"/>
      </w:rPr>
    </w:lvl>
    <w:lvl w:ilvl="4" w:tentative="0">
      <w:start w:val="0"/>
      <w:numFmt w:val="bullet"/>
      <w:lvlText w:val="•"/>
      <w:lvlJc w:val="left"/>
      <w:pPr>
        <w:ind w:left="472" w:hanging="154"/>
      </w:pPr>
      <w:rPr>
        <w:rFonts w:hint="default"/>
        <w:lang w:val="zh-CN" w:eastAsia="zh-CN" w:bidi="zh-CN"/>
      </w:rPr>
    </w:lvl>
    <w:lvl w:ilvl="5" w:tentative="0">
      <w:start w:val="0"/>
      <w:numFmt w:val="bullet"/>
      <w:lvlText w:val="•"/>
      <w:lvlJc w:val="left"/>
      <w:pPr>
        <w:ind w:left="585" w:hanging="154"/>
      </w:pPr>
      <w:rPr>
        <w:rFonts w:hint="default"/>
        <w:lang w:val="zh-CN" w:eastAsia="zh-CN" w:bidi="zh-CN"/>
      </w:rPr>
    </w:lvl>
    <w:lvl w:ilvl="6" w:tentative="0">
      <w:start w:val="0"/>
      <w:numFmt w:val="bullet"/>
      <w:lvlText w:val="•"/>
      <w:lvlJc w:val="left"/>
      <w:pPr>
        <w:ind w:left="698" w:hanging="154"/>
      </w:pPr>
      <w:rPr>
        <w:rFonts w:hint="default"/>
        <w:lang w:val="zh-CN" w:eastAsia="zh-CN" w:bidi="zh-CN"/>
      </w:rPr>
    </w:lvl>
    <w:lvl w:ilvl="7" w:tentative="0">
      <w:start w:val="0"/>
      <w:numFmt w:val="bullet"/>
      <w:lvlText w:val="•"/>
      <w:lvlJc w:val="left"/>
      <w:pPr>
        <w:ind w:left="811" w:hanging="154"/>
      </w:pPr>
      <w:rPr>
        <w:rFonts w:hint="default"/>
        <w:lang w:val="zh-CN" w:eastAsia="zh-CN" w:bidi="zh-CN"/>
      </w:rPr>
    </w:lvl>
    <w:lvl w:ilvl="8" w:tentative="0">
      <w:start w:val="0"/>
      <w:numFmt w:val="bullet"/>
      <w:lvlText w:val="•"/>
      <w:lvlJc w:val="left"/>
      <w:pPr>
        <w:ind w:left="924" w:hanging="154"/>
      </w:pPr>
      <w:rPr>
        <w:rFonts w:hint="default"/>
        <w:lang w:val="zh-CN" w:eastAsia="zh-CN" w:bidi="zh-CN"/>
      </w:rPr>
    </w:lvl>
  </w:abstractNum>
  <w:num w:numId="1">
    <w:abstractNumId w:val="3"/>
  </w:num>
  <w:num w:numId="2">
    <w:abstractNumId w:val="1"/>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NDMxNjE0ODUwZDM3NzM4YjU2M2I2ZDE0Mzg2ZDEifQ=="/>
    <w:docVar w:name="KSO_WPS_MARK_KEY" w:val="0b642aa7-9587-48f4-bbc4-2daa9b470574"/>
  </w:docVars>
  <w:rsids>
    <w:rsidRoot w:val="00F01841"/>
    <w:rsid w:val="00000043"/>
    <w:rsid w:val="00004B4E"/>
    <w:rsid w:val="000063B8"/>
    <w:rsid w:val="0001411C"/>
    <w:rsid w:val="000141FA"/>
    <w:rsid w:val="00016B5A"/>
    <w:rsid w:val="00016C48"/>
    <w:rsid w:val="00017B67"/>
    <w:rsid w:val="00022979"/>
    <w:rsid w:val="00023036"/>
    <w:rsid w:val="00033ECF"/>
    <w:rsid w:val="00041BF3"/>
    <w:rsid w:val="000473A3"/>
    <w:rsid w:val="00050CDE"/>
    <w:rsid w:val="00052F3B"/>
    <w:rsid w:val="00061739"/>
    <w:rsid w:val="000624C1"/>
    <w:rsid w:val="000625A2"/>
    <w:rsid w:val="000633CC"/>
    <w:rsid w:val="00065F6A"/>
    <w:rsid w:val="000674DA"/>
    <w:rsid w:val="00067DBE"/>
    <w:rsid w:val="00067E51"/>
    <w:rsid w:val="00070349"/>
    <w:rsid w:val="0007072C"/>
    <w:rsid w:val="00075F5A"/>
    <w:rsid w:val="000804A0"/>
    <w:rsid w:val="0008191E"/>
    <w:rsid w:val="00081CE8"/>
    <w:rsid w:val="000837D8"/>
    <w:rsid w:val="00091B0C"/>
    <w:rsid w:val="000A2D6F"/>
    <w:rsid w:val="000B0F90"/>
    <w:rsid w:val="000B445A"/>
    <w:rsid w:val="000C11F8"/>
    <w:rsid w:val="000C27D2"/>
    <w:rsid w:val="000C30B2"/>
    <w:rsid w:val="000C3C9A"/>
    <w:rsid w:val="000D03BA"/>
    <w:rsid w:val="000D4512"/>
    <w:rsid w:val="000D5235"/>
    <w:rsid w:val="000D70F4"/>
    <w:rsid w:val="000D7637"/>
    <w:rsid w:val="000E161D"/>
    <w:rsid w:val="000E3CB2"/>
    <w:rsid w:val="000E48C4"/>
    <w:rsid w:val="000E5995"/>
    <w:rsid w:val="000F40EB"/>
    <w:rsid w:val="000F6105"/>
    <w:rsid w:val="000F6DFE"/>
    <w:rsid w:val="000F739B"/>
    <w:rsid w:val="00105AB9"/>
    <w:rsid w:val="0011154B"/>
    <w:rsid w:val="00111B4F"/>
    <w:rsid w:val="00114282"/>
    <w:rsid w:val="0012114B"/>
    <w:rsid w:val="00123030"/>
    <w:rsid w:val="00136A85"/>
    <w:rsid w:val="00142DA6"/>
    <w:rsid w:val="00147C7C"/>
    <w:rsid w:val="00155534"/>
    <w:rsid w:val="00155F74"/>
    <w:rsid w:val="0016011A"/>
    <w:rsid w:val="0017255F"/>
    <w:rsid w:val="00177CC6"/>
    <w:rsid w:val="00177EDE"/>
    <w:rsid w:val="00180740"/>
    <w:rsid w:val="001820F2"/>
    <w:rsid w:val="00183FED"/>
    <w:rsid w:val="0018581F"/>
    <w:rsid w:val="001943F2"/>
    <w:rsid w:val="001A3A5E"/>
    <w:rsid w:val="001B2BF8"/>
    <w:rsid w:val="001B4CF7"/>
    <w:rsid w:val="001B6293"/>
    <w:rsid w:val="001D3C32"/>
    <w:rsid w:val="001D7B4A"/>
    <w:rsid w:val="001E15C8"/>
    <w:rsid w:val="001F2CC1"/>
    <w:rsid w:val="001F4F89"/>
    <w:rsid w:val="001F61E5"/>
    <w:rsid w:val="001F72A3"/>
    <w:rsid w:val="002048A1"/>
    <w:rsid w:val="00204DDC"/>
    <w:rsid w:val="002055F8"/>
    <w:rsid w:val="002214CF"/>
    <w:rsid w:val="00223FDF"/>
    <w:rsid w:val="00225EEF"/>
    <w:rsid w:val="00230A6D"/>
    <w:rsid w:val="0023268A"/>
    <w:rsid w:val="0023492F"/>
    <w:rsid w:val="00235944"/>
    <w:rsid w:val="002460CC"/>
    <w:rsid w:val="00255251"/>
    <w:rsid w:val="002552B4"/>
    <w:rsid w:val="00255F1D"/>
    <w:rsid w:val="002653E6"/>
    <w:rsid w:val="00282CC1"/>
    <w:rsid w:val="002916AB"/>
    <w:rsid w:val="00293428"/>
    <w:rsid w:val="00293D6D"/>
    <w:rsid w:val="0029476E"/>
    <w:rsid w:val="002B37F7"/>
    <w:rsid w:val="002C07DA"/>
    <w:rsid w:val="002C3AF3"/>
    <w:rsid w:val="002D1516"/>
    <w:rsid w:val="002D171E"/>
    <w:rsid w:val="002D37AF"/>
    <w:rsid w:val="002D3C11"/>
    <w:rsid w:val="002D6DDA"/>
    <w:rsid w:val="002D7618"/>
    <w:rsid w:val="002E3F7A"/>
    <w:rsid w:val="002E5DD4"/>
    <w:rsid w:val="002F0399"/>
    <w:rsid w:val="002F0418"/>
    <w:rsid w:val="002F3E31"/>
    <w:rsid w:val="003101FB"/>
    <w:rsid w:val="00316190"/>
    <w:rsid w:val="00320866"/>
    <w:rsid w:val="00320B61"/>
    <w:rsid w:val="00320D63"/>
    <w:rsid w:val="00322ADE"/>
    <w:rsid w:val="003234F3"/>
    <w:rsid w:val="00323F55"/>
    <w:rsid w:val="00327991"/>
    <w:rsid w:val="00331F79"/>
    <w:rsid w:val="003340D1"/>
    <w:rsid w:val="00341653"/>
    <w:rsid w:val="0034589B"/>
    <w:rsid w:val="00350096"/>
    <w:rsid w:val="00350779"/>
    <w:rsid w:val="00357C9D"/>
    <w:rsid w:val="00357E03"/>
    <w:rsid w:val="00363820"/>
    <w:rsid w:val="003638A4"/>
    <w:rsid w:val="00363B98"/>
    <w:rsid w:val="0036475B"/>
    <w:rsid w:val="00370A4C"/>
    <w:rsid w:val="003870FF"/>
    <w:rsid w:val="003911C2"/>
    <w:rsid w:val="0039237A"/>
    <w:rsid w:val="00393881"/>
    <w:rsid w:val="003A2F17"/>
    <w:rsid w:val="003B2018"/>
    <w:rsid w:val="003B50ED"/>
    <w:rsid w:val="003C1FDB"/>
    <w:rsid w:val="003C52C7"/>
    <w:rsid w:val="003C7E0E"/>
    <w:rsid w:val="003D1E2E"/>
    <w:rsid w:val="003D4E5D"/>
    <w:rsid w:val="003D6FD0"/>
    <w:rsid w:val="003E218E"/>
    <w:rsid w:val="003E3FBB"/>
    <w:rsid w:val="003F0BFE"/>
    <w:rsid w:val="003F0DDF"/>
    <w:rsid w:val="003F1126"/>
    <w:rsid w:val="003F6BA7"/>
    <w:rsid w:val="0040047A"/>
    <w:rsid w:val="00401CAD"/>
    <w:rsid w:val="0040580E"/>
    <w:rsid w:val="00407AB9"/>
    <w:rsid w:val="0041236A"/>
    <w:rsid w:val="0041686A"/>
    <w:rsid w:val="00416D7D"/>
    <w:rsid w:val="004206D4"/>
    <w:rsid w:val="00422481"/>
    <w:rsid w:val="004237B5"/>
    <w:rsid w:val="00432AE4"/>
    <w:rsid w:val="00434B9C"/>
    <w:rsid w:val="00437903"/>
    <w:rsid w:val="0044194F"/>
    <w:rsid w:val="004428E0"/>
    <w:rsid w:val="004431F8"/>
    <w:rsid w:val="004510F6"/>
    <w:rsid w:val="00453064"/>
    <w:rsid w:val="004604E6"/>
    <w:rsid w:val="00462E76"/>
    <w:rsid w:val="00467205"/>
    <w:rsid w:val="00475A70"/>
    <w:rsid w:val="00481CEF"/>
    <w:rsid w:val="00485585"/>
    <w:rsid w:val="00487242"/>
    <w:rsid w:val="00490F1C"/>
    <w:rsid w:val="004916FA"/>
    <w:rsid w:val="004B0709"/>
    <w:rsid w:val="004B366A"/>
    <w:rsid w:val="004B3ECF"/>
    <w:rsid w:val="004B5AA8"/>
    <w:rsid w:val="004B7B4A"/>
    <w:rsid w:val="004C0D4B"/>
    <w:rsid w:val="004D16A0"/>
    <w:rsid w:val="004D6506"/>
    <w:rsid w:val="004D6B5A"/>
    <w:rsid w:val="004E5368"/>
    <w:rsid w:val="004F076B"/>
    <w:rsid w:val="004F120E"/>
    <w:rsid w:val="004F2413"/>
    <w:rsid w:val="004F770F"/>
    <w:rsid w:val="0050037B"/>
    <w:rsid w:val="00500556"/>
    <w:rsid w:val="00500FD8"/>
    <w:rsid w:val="00511A42"/>
    <w:rsid w:val="0051371C"/>
    <w:rsid w:val="00515F06"/>
    <w:rsid w:val="00521578"/>
    <w:rsid w:val="00524ECC"/>
    <w:rsid w:val="00525B8D"/>
    <w:rsid w:val="005306FC"/>
    <w:rsid w:val="005329C5"/>
    <w:rsid w:val="00532D5B"/>
    <w:rsid w:val="00534023"/>
    <w:rsid w:val="00536624"/>
    <w:rsid w:val="0053773E"/>
    <w:rsid w:val="00544457"/>
    <w:rsid w:val="0056038F"/>
    <w:rsid w:val="00567252"/>
    <w:rsid w:val="0057145C"/>
    <w:rsid w:val="0057443E"/>
    <w:rsid w:val="00585675"/>
    <w:rsid w:val="00585D79"/>
    <w:rsid w:val="00591989"/>
    <w:rsid w:val="005B09C1"/>
    <w:rsid w:val="005C3F21"/>
    <w:rsid w:val="005C6A0C"/>
    <w:rsid w:val="005C7B35"/>
    <w:rsid w:val="005D141B"/>
    <w:rsid w:val="005D188A"/>
    <w:rsid w:val="005D3799"/>
    <w:rsid w:val="005D436D"/>
    <w:rsid w:val="005D4A94"/>
    <w:rsid w:val="005E3A02"/>
    <w:rsid w:val="006026B6"/>
    <w:rsid w:val="0060300E"/>
    <w:rsid w:val="00603FA5"/>
    <w:rsid w:val="00605701"/>
    <w:rsid w:val="00606AE8"/>
    <w:rsid w:val="00610184"/>
    <w:rsid w:val="00621217"/>
    <w:rsid w:val="006232ED"/>
    <w:rsid w:val="00631BFB"/>
    <w:rsid w:val="00631C84"/>
    <w:rsid w:val="00633938"/>
    <w:rsid w:val="00633CBF"/>
    <w:rsid w:val="006355BF"/>
    <w:rsid w:val="00635D13"/>
    <w:rsid w:val="006377F1"/>
    <w:rsid w:val="006429E7"/>
    <w:rsid w:val="00644A3C"/>
    <w:rsid w:val="006456F9"/>
    <w:rsid w:val="00660257"/>
    <w:rsid w:val="00672D1D"/>
    <w:rsid w:val="00672E62"/>
    <w:rsid w:val="0067307B"/>
    <w:rsid w:val="0068375E"/>
    <w:rsid w:val="006849E3"/>
    <w:rsid w:val="006912E7"/>
    <w:rsid w:val="006946A0"/>
    <w:rsid w:val="00694E1A"/>
    <w:rsid w:val="006965FA"/>
    <w:rsid w:val="006A51D2"/>
    <w:rsid w:val="006A5D25"/>
    <w:rsid w:val="006A796E"/>
    <w:rsid w:val="006B4A15"/>
    <w:rsid w:val="006C2180"/>
    <w:rsid w:val="006C7B83"/>
    <w:rsid w:val="006D11C6"/>
    <w:rsid w:val="006D1E60"/>
    <w:rsid w:val="006D1EE0"/>
    <w:rsid w:val="006D627C"/>
    <w:rsid w:val="006D6CCA"/>
    <w:rsid w:val="006E3237"/>
    <w:rsid w:val="006E67B5"/>
    <w:rsid w:val="006E7A79"/>
    <w:rsid w:val="006F4E47"/>
    <w:rsid w:val="006F5876"/>
    <w:rsid w:val="00705A37"/>
    <w:rsid w:val="00714E9D"/>
    <w:rsid w:val="00715258"/>
    <w:rsid w:val="00720C70"/>
    <w:rsid w:val="00721340"/>
    <w:rsid w:val="007268F8"/>
    <w:rsid w:val="00727D83"/>
    <w:rsid w:val="0073148F"/>
    <w:rsid w:val="00733B4E"/>
    <w:rsid w:val="0074073D"/>
    <w:rsid w:val="00746EDB"/>
    <w:rsid w:val="00750FFA"/>
    <w:rsid w:val="00752ECB"/>
    <w:rsid w:val="00756AB8"/>
    <w:rsid w:val="00763EF0"/>
    <w:rsid w:val="0076404D"/>
    <w:rsid w:val="00765DA3"/>
    <w:rsid w:val="0077065D"/>
    <w:rsid w:val="0077119D"/>
    <w:rsid w:val="00775ECD"/>
    <w:rsid w:val="007770E4"/>
    <w:rsid w:val="00783EC0"/>
    <w:rsid w:val="00784ECE"/>
    <w:rsid w:val="007863FF"/>
    <w:rsid w:val="007871A5"/>
    <w:rsid w:val="007B30E7"/>
    <w:rsid w:val="007C7362"/>
    <w:rsid w:val="007F11F2"/>
    <w:rsid w:val="007F58A5"/>
    <w:rsid w:val="008044A5"/>
    <w:rsid w:val="0081479F"/>
    <w:rsid w:val="00814F6D"/>
    <w:rsid w:val="008156E8"/>
    <w:rsid w:val="00821EBD"/>
    <w:rsid w:val="0082525E"/>
    <w:rsid w:val="00826900"/>
    <w:rsid w:val="00833BCC"/>
    <w:rsid w:val="008346C8"/>
    <w:rsid w:val="00840360"/>
    <w:rsid w:val="0084051C"/>
    <w:rsid w:val="008439BA"/>
    <w:rsid w:val="008452CF"/>
    <w:rsid w:val="0085229B"/>
    <w:rsid w:val="00852479"/>
    <w:rsid w:val="008526C0"/>
    <w:rsid w:val="008528E1"/>
    <w:rsid w:val="008532AC"/>
    <w:rsid w:val="00856A2D"/>
    <w:rsid w:val="00860A65"/>
    <w:rsid w:val="00861C45"/>
    <w:rsid w:val="008622EE"/>
    <w:rsid w:val="00863861"/>
    <w:rsid w:val="00866BA7"/>
    <w:rsid w:val="0087112D"/>
    <w:rsid w:val="008761A3"/>
    <w:rsid w:val="00877C4E"/>
    <w:rsid w:val="00881F8C"/>
    <w:rsid w:val="00886B4F"/>
    <w:rsid w:val="00892553"/>
    <w:rsid w:val="00897FDD"/>
    <w:rsid w:val="008A00B3"/>
    <w:rsid w:val="008B11A4"/>
    <w:rsid w:val="008B6BAF"/>
    <w:rsid w:val="008B7EDF"/>
    <w:rsid w:val="008C28AA"/>
    <w:rsid w:val="008C46F5"/>
    <w:rsid w:val="008D060A"/>
    <w:rsid w:val="008D73BD"/>
    <w:rsid w:val="008D7B67"/>
    <w:rsid w:val="008F096E"/>
    <w:rsid w:val="008F6C31"/>
    <w:rsid w:val="008F7945"/>
    <w:rsid w:val="00900DB5"/>
    <w:rsid w:val="00904C8A"/>
    <w:rsid w:val="00912677"/>
    <w:rsid w:val="0091316A"/>
    <w:rsid w:val="009142AE"/>
    <w:rsid w:val="00920DCF"/>
    <w:rsid w:val="00930461"/>
    <w:rsid w:val="009306E3"/>
    <w:rsid w:val="0093147E"/>
    <w:rsid w:val="009354B8"/>
    <w:rsid w:val="00937B9D"/>
    <w:rsid w:val="00942D07"/>
    <w:rsid w:val="00945B82"/>
    <w:rsid w:val="0095477C"/>
    <w:rsid w:val="009564E7"/>
    <w:rsid w:val="00960B03"/>
    <w:rsid w:val="009616DC"/>
    <w:rsid w:val="00962879"/>
    <w:rsid w:val="00964981"/>
    <w:rsid w:val="00967E34"/>
    <w:rsid w:val="009732E2"/>
    <w:rsid w:val="00981729"/>
    <w:rsid w:val="00982FE5"/>
    <w:rsid w:val="00984095"/>
    <w:rsid w:val="009855FA"/>
    <w:rsid w:val="00990EBC"/>
    <w:rsid w:val="009A032C"/>
    <w:rsid w:val="009A5E35"/>
    <w:rsid w:val="009A7E99"/>
    <w:rsid w:val="009B1590"/>
    <w:rsid w:val="009B2624"/>
    <w:rsid w:val="009B3085"/>
    <w:rsid w:val="009B6117"/>
    <w:rsid w:val="009C5946"/>
    <w:rsid w:val="009D0CEB"/>
    <w:rsid w:val="009D1524"/>
    <w:rsid w:val="009D543D"/>
    <w:rsid w:val="009E32D0"/>
    <w:rsid w:val="009E55A1"/>
    <w:rsid w:val="00A00B36"/>
    <w:rsid w:val="00A01D39"/>
    <w:rsid w:val="00A048B6"/>
    <w:rsid w:val="00A1159E"/>
    <w:rsid w:val="00A14A98"/>
    <w:rsid w:val="00A166B0"/>
    <w:rsid w:val="00A25888"/>
    <w:rsid w:val="00A43385"/>
    <w:rsid w:val="00A43BD4"/>
    <w:rsid w:val="00A45CEF"/>
    <w:rsid w:val="00A47C3B"/>
    <w:rsid w:val="00A528A9"/>
    <w:rsid w:val="00A62E45"/>
    <w:rsid w:val="00A62FD5"/>
    <w:rsid w:val="00A64BEC"/>
    <w:rsid w:val="00A75704"/>
    <w:rsid w:val="00A76111"/>
    <w:rsid w:val="00A908BB"/>
    <w:rsid w:val="00A953A6"/>
    <w:rsid w:val="00A9668B"/>
    <w:rsid w:val="00AA1371"/>
    <w:rsid w:val="00AB47AD"/>
    <w:rsid w:val="00AB6A99"/>
    <w:rsid w:val="00AC3DA8"/>
    <w:rsid w:val="00AC3EFC"/>
    <w:rsid w:val="00AC781A"/>
    <w:rsid w:val="00AD1B7F"/>
    <w:rsid w:val="00AD1DF6"/>
    <w:rsid w:val="00AD2380"/>
    <w:rsid w:val="00AD3317"/>
    <w:rsid w:val="00AD3E1E"/>
    <w:rsid w:val="00AE497A"/>
    <w:rsid w:val="00AF248A"/>
    <w:rsid w:val="00AF5F9F"/>
    <w:rsid w:val="00B00B90"/>
    <w:rsid w:val="00B11423"/>
    <w:rsid w:val="00B2766A"/>
    <w:rsid w:val="00B27831"/>
    <w:rsid w:val="00B31E7B"/>
    <w:rsid w:val="00B32FCB"/>
    <w:rsid w:val="00B33835"/>
    <w:rsid w:val="00B3469D"/>
    <w:rsid w:val="00B40147"/>
    <w:rsid w:val="00B579A7"/>
    <w:rsid w:val="00B57F4F"/>
    <w:rsid w:val="00B64741"/>
    <w:rsid w:val="00B66B7A"/>
    <w:rsid w:val="00B7028E"/>
    <w:rsid w:val="00B706B4"/>
    <w:rsid w:val="00B7339D"/>
    <w:rsid w:val="00B74A4A"/>
    <w:rsid w:val="00B74CD0"/>
    <w:rsid w:val="00B7668F"/>
    <w:rsid w:val="00B808EF"/>
    <w:rsid w:val="00B80F66"/>
    <w:rsid w:val="00B817D6"/>
    <w:rsid w:val="00B83CEB"/>
    <w:rsid w:val="00B86462"/>
    <w:rsid w:val="00B90243"/>
    <w:rsid w:val="00B93DCB"/>
    <w:rsid w:val="00B951D7"/>
    <w:rsid w:val="00B956E4"/>
    <w:rsid w:val="00B97657"/>
    <w:rsid w:val="00B97B64"/>
    <w:rsid w:val="00BA7710"/>
    <w:rsid w:val="00BB6998"/>
    <w:rsid w:val="00BC19E6"/>
    <w:rsid w:val="00BC47AE"/>
    <w:rsid w:val="00BD50D4"/>
    <w:rsid w:val="00BD6B5E"/>
    <w:rsid w:val="00BD6B90"/>
    <w:rsid w:val="00BE0343"/>
    <w:rsid w:val="00BF478B"/>
    <w:rsid w:val="00BF68E5"/>
    <w:rsid w:val="00C06390"/>
    <w:rsid w:val="00C07D69"/>
    <w:rsid w:val="00C115F4"/>
    <w:rsid w:val="00C27D91"/>
    <w:rsid w:val="00C36632"/>
    <w:rsid w:val="00C41634"/>
    <w:rsid w:val="00C44F8E"/>
    <w:rsid w:val="00C52C23"/>
    <w:rsid w:val="00C55CA5"/>
    <w:rsid w:val="00C57F94"/>
    <w:rsid w:val="00C6054E"/>
    <w:rsid w:val="00C62A67"/>
    <w:rsid w:val="00C64DE5"/>
    <w:rsid w:val="00C660E9"/>
    <w:rsid w:val="00C67DAD"/>
    <w:rsid w:val="00C7039E"/>
    <w:rsid w:val="00C8195A"/>
    <w:rsid w:val="00C84350"/>
    <w:rsid w:val="00C933F6"/>
    <w:rsid w:val="00C93BD5"/>
    <w:rsid w:val="00C96CAE"/>
    <w:rsid w:val="00CA1618"/>
    <w:rsid w:val="00CA5DA7"/>
    <w:rsid w:val="00CB541B"/>
    <w:rsid w:val="00CC2DFC"/>
    <w:rsid w:val="00CC37E1"/>
    <w:rsid w:val="00CD0B0A"/>
    <w:rsid w:val="00CD7BA4"/>
    <w:rsid w:val="00CE1E62"/>
    <w:rsid w:val="00CE5A70"/>
    <w:rsid w:val="00CF16C5"/>
    <w:rsid w:val="00CF295F"/>
    <w:rsid w:val="00CF4C7D"/>
    <w:rsid w:val="00CF5F58"/>
    <w:rsid w:val="00D043E5"/>
    <w:rsid w:val="00D14DE2"/>
    <w:rsid w:val="00D1565A"/>
    <w:rsid w:val="00D246BE"/>
    <w:rsid w:val="00D27068"/>
    <w:rsid w:val="00D328E2"/>
    <w:rsid w:val="00D47B41"/>
    <w:rsid w:val="00D51839"/>
    <w:rsid w:val="00D55D68"/>
    <w:rsid w:val="00D64C86"/>
    <w:rsid w:val="00D66B12"/>
    <w:rsid w:val="00D70B10"/>
    <w:rsid w:val="00D726C8"/>
    <w:rsid w:val="00D74A5B"/>
    <w:rsid w:val="00D76965"/>
    <w:rsid w:val="00D84E91"/>
    <w:rsid w:val="00D92782"/>
    <w:rsid w:val="00D94A15"/>
    <w:rsid w:val="00D9517B"/>
    <w:rsid w:val="00DA2AFC"/>
    <w:rsid w:val="00DA769E"/>
    <w:rsid w:val="00DB22AF"/>
    <w:rsid w:val="00DB382C"/>
    <w:rsid w:val="00DB7519"/>
    <w:rsid w:val="00DC70CA"/>
    <w:rsid w:val="00DD241E"/>
    <w:rsid w:val="00DD43ED"/>
    <w:rsid w:val="00DD7194"/>
    <w:rsid w:val="00DE1710"/>
    <w:rsid w:val="00DF1EB7"/>
    <w:rsid w:val="00DF2855"/>
    <w:rsid w:val="00DF5BF1"/>
    <w:rsid w:val="00E05735"/>
    <w:rsid w:val="00E102CD"/>
    <w:rsid w:val="00E11F6F"/>
    <w:rsid w:val="00E138B4"/>
    <w:rsid w:val="00E235AC"/>
    <w:rsid w:val="00E36DA9"/>
    <w:rsid w:val="00E3767D"/>
    <w:rsid w:val="00E41C91"/>
    <w:rsid w:val="00E46EFA"/>
    <w:rsid w:val="00E5308C"/>
    <w:rsid w:val="00E659AD"/>
    <w:rsid w:val="00E81727"/>
    <w:rsid w:val="00E81D1A"/>
    <w:rsid w:val="00E90986"/>
    <w:rsid w:val="00E9216A"/>
    <w:rsid w:val="00EA0681"/>
    <w:rsid w:val="00EA2F18"/>
    <w:rsid w:val="00EA4F4D"/>
    <w:rsid w:val="00EB4611"/>
    <w:rsid w:val="00EB7CCC"/>
    <w:rsid w:val="00EC3945"/>
    <w:rsid w:val="00ED0A87"/>
    <w:rsid w:val="00ED10E2"/>
    <w:rsid w:val="00ED5A91"/>
    <w:rsid w:val="00EE2CF5"/>
    <w:rsid w:val="00EE6925"/>
    <w:rsid w:val="00EF322B"/>
    <w:rsid w:val="00EF640C"/>
    <w:rsid w:val="00F00D76"/>
    <w:rsid w:val="00F01841"/>
    <w:rsid w:val="00F0282E"/>
    <w:rsid w:val="00F06D3F"/>
    <w:rsid w:val="00F12B14"/>
    <w:rsid w:val="00F12E1D"/>
    <w:rsid w:val="00F13128"/>
    <w:rsid w:val="00F20D07"/>
    <w:rsid w:val="00F223A2"/>
    <w:rsid w:val="00F22C72"/>
    <w:rsid w:val="00F22F7D"/>
    <w:rsid w:val="00F2423D"/>
    <w:rsid w:val="00F33604"/>
    <w:rsid w:val="00F33D27"/>
    <w:rsid w:val="00F36208"/>
    <w:rsid w:val="00F50B4E"/>
    <w:rsid w:val="00F56303"/>
    <w:rsid w:val="00F56FD6"/>
    <w:rsid w:val="00F57188"/>
    <w:rsid w:val="00F6515C"/>
    <w:rsid w:val="00F66EAB"/>
    <w:rsid w:val="00F67492"/>
    <w:rsid w:val="00F70434"/>
    <w:rsid w:val="00F70BF6"/>
    <w:rsid w:val="00F8672C"/>
    <w:rsid w:val="00F90A39"/>
    <w:rsid w:val="00F90D50"/>
    <w:rsid w:val="00F9277B"/>
    <w:rsid w:val="00F939C4"/>
    <w:rsid w:val="00F95015"/>
    <w:rsid w:val="00F9662C"/>
    <w:rsid w:val="00FA09DB"/>
    <w:rsid w:val="00FA1896"/>
    <w:rsid w:val="00FB1C3B"/>
    <w:rsid w:val="00FB2C2B"/>
    <w:rsid w:val="00FB3507"/>
    <w:rsid w:val="00FB7F3C"/>
    <w:rsid w:val="00FC13EF"/>
    <w:rsid w:val="00FC2AF7"/>
    <w:rsid w:val="00FC3836"/>
    <w:rsid w:val="00FD050F"/>
    <w:rsid w:val="00FD0E84"/>
    <w:rsid w:val="00FD2420"/>
    <w:rsid w:val="00FD6B89"/>
    <w:rsid w:val="00FE0656"/>
    <w:rsid w:val="00FE1486"/>
    <w:rsid w:val="00FE566A"/>
    <w:rsid w:val="00FF451C"/>
    <w:rsid w:val="01777531"/>
    <w:rsid w:val="027F3841"/>
    <w:rsid w:val="03CE2A14"/>
    <w:rsid w:val="03D87421"/>
    <w:rsid w:val="042816BB"/>
    <w:rsid w:val="05761C29"/>
    <w:rsid w:val="05B72252"/>
    <w:rsid w:val="062D2382"/>
    <w:rsid w:val="066855A5"/>
    <w:rsid w:val="07F576F1"/>
    <w:rsid w:val="081B727D"/>
    <w:rsid w:val="086302C4"/>
    <w:rsid w:val="088023BD"/>
    <w:rsid w:val="09C53944"/>
    <w:rsid w:val="0A455DFA"/>
    <w:rsid w:val="0A686DD2"/>
    <w:rsid w:val="0A8661EF"/>
    <w:rsid w:val="0B6B3424"/>
    <w:rsid w:val="0BA46378"/>
    <w:rsid w:val="0CF134A3"/>
    <w:rsid w:val="0CF14A50"/>
    <w:rsid w:val="0D1C7D1F"/>
    <w:rsid w:val="0D8B4F81"/>
    <w:rsid w:val="0DB851DE"/>
    <w:rsid w:val="0DBF3B4C"/>
    <w:rsid w:val="0EF40475"/>
    <w:rsid w:val="0F31493F"/>
    <w:rsid w:val="100A240C"/>
    <w:rsid w:val="12FD3E43"/>
    <w:rsid w:val="13051255"/>
    <w:rsid w:val="13767033"/>
    <w:rsid w:val="137D5A01"/>
    <w:rsid w:val="13BA2EDC"/>
    <w:rsid w:val="13CE5AEB"/>
    <w:rsid w:val="14A27D77"/>
    <w:rsid w:val="15094B2D"/>
    <w:rsid w:val="158C6342"/>
    <w:rsid w:val="15E93F06"/>
    <w:rsid w:val="16225C7A"/>
    <w:rsid w:val="16C85139"/>
    <w:rsid w:val="17C0399D"/>
    <w:rsid w:val="18AD0BC4"/>
    <w:rsid w:val="1B157F7A"/>
    <w:rsid w:val="1B6C0C15"/>
    <w:rsid w:val="1D5F5A06"/>
    <w:rsid w:val="1EF27A3C"/>
    <w:rsid w:val="208B0F46"/>
    <w:rsid w:val="214856A5"/>
    <w:rsid w:val="22AF2E1B"/>
    <w:rsid w:val="239E79B2"/>
    <w:rsid w:val="23C3584E"/>
    <w:rsid w:val="24C00FFD"/>
    <w:rsid w:val="24F9046C"/>
    <w:rsid w:val="27B34984"/>
    <w:rsid w:val="27D91CD2"/>
    <w:rsid w:val="2812669E"/>
    <w:rsid w:val="28680B71"/>
    <w:rsid w:val="29986646"/>
    <w:rsid w:val="29C92DC5"/>
    <w:rsid w:val="2B507D20"/>
    <w:rsid w:val="2BA43751"/>
    <w:rsid w:val="2BDF3F0E"/>
    <w:rsid w:val="2C191492"/>
    <w:rsid w:val="2C4D184B"/>
    <w:rsid w:val="2C7867B7"/>
    <w:rsid w:val="2D553F0C"/>
    <w:rsid w:val="2DAA375A"/>
    <w:rsid w:val="2EBA2A9C"/>
    <w:rsid w:val="2FEA7A4C"/>
    <w:rsid w:val="311446C5"/>
    <w:rsid w:val="313972D9"/>
    <w:rsid w:val="31573441"/>
    <w:rsid w:val="32B32FEC"/>
    <w:rsid w:val="32BF2D77"/>
    <w:rsid w:val="330C4CCD"/>
    <w:rsid w:val="33543A49"/>
    <w:rsid w:val="33705496"/>
    <w:rsid w:val="33C9100F"/>
    <w:rsid w:val="33E800AC"/>
    <w:rsid w:val="340F5BC4"/>
    <w:rsid w:val="34487DB9"/>
    <w:rsid w:val="359130D0"/>
    <w:rsid w:val="35F02188"/>
    <w:rsid w:val="36B96E85"/>
    <w:rsid w:val="37327DC9"/>
    <w:rsid w:val="38FE4CC2"/>
    <w:rsid w:val="394C33D5"/>
    <w:rsid w:val="395D2BAC"/>
    <w:rsid w:val="39F03816"/>
    <w:rsid w:val="3A8723CC"/>
    <w:rsid w:val="3AC8292E"/>
    <w:rsid w:val="3DAC214A"/>
    <w:rsid w:val="3E7524A6"/>
    <w:rsid w:val="3EA1722B"/>
    <w:rsid w:val="3EDB4A95"/>
    <w:rsid w:val="3F135795"/>
    <w:rsid w:val="3F612297"/>
    <w:rsid w:val="3F86158F"/>
    <w:rsid w:val="44012E04"/>
    <w:rsid w:val="44847568"/>
    <w:rsid w:val="47091340"/>
    <w:rsid w:val="48B444FA"/>
    <w:rsid w:val="4B503D77"/>
    <w:rsid w:val="4C263D9D"/>
    <w:rsid w:val="4D205B4F"/>
    <w:rsid w:val="4ECC7F56"/>
    <w:rsid w:val="504B4C44"/>
    <w:rsid w:val="51D267E4"/>
    <w:rsid w:val="51E0108B"/>
    <w:rsid w:val="55336B77"/>
    <w:rsid w:val="5571253B"/>
    <w:rsid w:val="56C4314B"/>
    <w:rsid w:val="57283CE6"/>
    <w:rsid w:val="572B7A28"/>
    <w:rsid w:val="57AC7A6B"/>
    <w:rsid w:val="587E1F44"/>
    <w:rsid w:val="58D64D37"/>
    <w:rsid w:val="595C0E4C"/>
    <w:rsid w:val="59BD6D86"/>
    <w:rsid w:val="59EC032B"/>
    <w:rsid w:val="5A8F01C0"/>
    <w:rsid w:val="5AAB75B9"/>
    <w:rsid w:val="5B2004EC"/>
    <w:rsid w:val="5E3C43B8"/>
    <w:rsid w:val="5F7051EC"/>
    <w:rsid w:val="604011A2"/>
    <w:rsid w:val="60A82E2B"/>
    <w:rsid w:val="610C16B3"/>
    <w:rsid w:val="616B389F"/>
    <w:rsid w:val="620123E4"/>
    <w:rsid w:val="623920A5"/>
    <w:rsid w:val="63415B2C"/>
    <w:rsid w:val="6380382F"/>
    <w:rsid w:val="640F19DB"/>
    <w:rsid w:val="643C1D4A"/>
    <w:rsid w:val="648275DD"/>
    <w:rsid w:val="64A515F7"/>
    <w:rsid w:val="666C49AF"/>
    <w:rsid w:val="671D2703"/>
    <w:rsid w:val="683D78D6"/>
    <w:rsid w:val="686F2D59"/>
    <w:rsid w:val="68C97094"/>
    <w:rsid w:val="69196D02"/>
    <w:rsid w:val="6976722C"/>
    <w:rsid w:val="698711F2"/>
    <w:rsid w:val="698D0B6E"/>
    <w:rsid w:val="6B813252"/>
    <w:rsid w:val="6D426528"/>
    <w:rsid w:val="6D7F61C8"/>
    <w:rsid w:val="6D8B51A0"/>
    <w:rsid w:val="6DEF7365"/>
    <w:rsid w:val="6E400A0C"/>
    <w:rsid w:val="6E69467F"/>
    <w:rsid w:val="6E8848BA"/>
    <w:rsid w:val="6EB54EE4"/>
    <w:rsid w:val="70241CE7"/>
    <w:rsid w:val="718A3749"/>
    <w:rsid w:val="720979F9"/>
    <w:rsid w:val="72592ED3"/>
    <w:rsid w:val="74CF3115"/>
    <w:rsid w:val="74D37754"/>
    <w:rsid w:val="753E02ED"/>
    <w:rsid w:val="766433F1"/>
    <w:rsid w:val="776175D6"/>
    <w:rsid w:val="787A3ED4"/>
    <w:rsid w:val="797D3509"/>
    <w:rsid w:val="7A807CC3"/>
    <w:rsid w:val="7AB55581"/>
    <w:rsid w:val="7AE835CF"/>
    <w:rsid w:val="7B1C3B93"/>
    <w:rsid w:val="7C322EC0"/>
    <w:rsid w:val="7CF624BE"/>
    <w:rsid w:val="7D310C85"/>
    <w:rsid w:val="7E50249A"/>
    <w:rsid w:val="7E8A69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en-US" w:bidi="ar-SA"/>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0"/>
  </w:style>
  <w:style w:type="paragraph" w:styleId="3">
    <w:name w:val="Body Text"/>
    <w:basedOn w:val="1"/>
    <w:link w:val="16"/>
    <w:unhideWhenUsed/>
    <w:qFormat/>
    <w:uiPriority w:val="1"/>
    <w:pPr>
      <w:widowControl w:val="0"/>
      <w:autoSpaceDE w:val="0"/>
      <w:autoSpaceDN w:val="0"/>
    </w:pPr>
    <w:rPr>
      <w:rFonts w:ascii="方正小标宋_GBK" w:hAnsi="方正小标宋_GBK" w:eastAsia="方正小标宋_GBK" w:cs="方正小标宋_GBK"/>
      <w:sz w:val="100"/>
      <w:szCs w:val="100"/>
      <w:lang w:val="zh-CN" w:eastAsia="zh-CN" w:bidi="zh-CN"/>
    </w:rPr>
  </w:style>
  <w:style w:type="paragraph" w:styleId="4">
    <w:name w:val="Date"/>
    <w:basedOn w:val="1"/>
    <w:next w:val="1"/>
    <w:link w:val="21"/>
    <w:semiHidden/>
    <w:unhideWhenUsed/>
    <w:qFormat/>
    <w:uiPriority w:val="0"/>
    <w:pPr>
      <w:ind w:left="100" w:leftChars="2500"/>
    </w:pPr>
  </w:style>
  <w:style w:type="paragraph" w:styleId="5">
    <w:name w:val="Balloon Text"/>
    <w:basedOn w:val="1"/>
    <w:link w:val="17"/>
    <w:semiHidden/>
    <w:unhideWhenUsed/>
    <w:qFormat/>
    <w:uiPriority w:val="0"/>
    <w:rPr>
      <w:sz w:val="18"/>
      <w:szCs w:val="18"/>
    </w:rPr>
  </w:style>
  <w:style w:type="paragraph" w:styleId="6">
    <w:name w:val="footer"/>
    <w:basedOn w:val="1"/>
    <w:link w:val="13"/>
    <w:qFormat/>
    <w:uiPriority w:val="99"/>
    <w:pPr>
      <w:widowControl w:val="0"/>
      <w:tabs>
        <w:tab w:val="center" w:pos="4153"/>
        <w:tab w:val="right" w:pos="8306"/>
      </w:tabs>
      <w:snapToGrid w:val="0"/>
    </w:pPr>
    <w:rPr>
      <w:kern w:val="2"/>
      <w:sz w:val="18"/>
      <w:szCs w:val="18"/>
      <w:lang w:eastAsia="zh-CN"/>
    </w:rPr>
  </w:style>
  <w:style w:type="paragraph" w:styleId="7">
    <w:name w:val="header"/>
    <w:basedOn w:val="1"/>
    <w:link w:val="14"/>
    <w:qFormat/>
    <w:uiPriority w:val="0"/>
    <w:pPr>
      <w:widowControl w:val="0"/>
      <w:pBdr>
        <w:bottom w:val="single" w:color="auto" w:sz="6" w:space="1"/>
      </w:pBdr>
      <w:tabs>
        <w:tab w:val="center" w:pos="4153"/>
        <w:tab w:val="right" w:pos="8306"/>
      </w:tabs>
      <w:snapToGrid w:val="0"/>
      <w:jc w:val="center"/>
    </w:pPr>
    <w:rPr>
      <w:kern w:val="2"/>
      <w:sz w:val="18"/>
      <w:szCs w:val="18"/>
      <w:lang w:eastAsia="zh-CN"/>
    </w:rPr>
  </w:style>
  <w:style w:type="paragraph" w:styleId="8">
    <w:name w:val="Title"/>
    <w:basedOn w:val="1"/>
    <w:next w:val="1"/>
    <w:link w:val="15"/>
    <w:qFormat/>
    <w:uiPriority w:val="99"/>
    <w:pPr>
      <w:spacing w:before="240" w:after="60"/>
      <w:jc w:val="center"/>
      <w:outlineLvl w:val="0"/>
    </w:pPr>
    <w:rPr>
      <w:rFonts w:ascii="Cambria" w:hAnsi="Cambria"/>
      <w:b/>
      <w:bCs/>
      <w:sz w:val="32"/>
      <w:szCs w:val="32"/>
    </w:rPr>
  </w:style>
  <w:style w:type="paragraph" w:customStyle="1" w:styleId="11">
    <w:name w:val="列表段落1"/>
    <w:basedOn w:val="1"/>
    <w:qFormat/>
    <w:uiPriority w:val="99"/>
    <w:pPr>
      <w:ind w:firstLine="420" w:firstLineChars="200"/>
    </w:pPr>
  </w:style>
  <w:style w:type="paragraph" w:customStyle="1" w:styleId="12">
    <w:name w:val="列出段落1"/>
    <w:basedOn w:val="1"/>
    <w:qFormat/>
    <w:uiPriority w:val="99"/>
    <w:pPr>
      <w:ind w:firstLine="420" w:firstLineChars="200"/>
    </w:pPr>
  </w:style>
  <w:style w:type="character" w:customStyle="1" w:styleId="13">
    <w:name w:val="页脚 Char"/>
    <w:basedOn w:val="9"/>
    <w:link w:val="6"/>
    <w:qFormat/>
    <w:locked/>
    <w:uiPriority w:val="99"/>
    <w:rPr>
      <w:rFonts w:cs="Times New Roman"/>
      <w:kern w:val="2"/>
      <w:sz w:val="18"/>
      <w:szCs w:val="18"/>
    </w:rPr>
  </w:style>
  <w:style w:type="character" w:customStyle="1" w:styleId="14">
    <w:name w:val="页眉 Char"/>
    <w:basedOn w:val="9"/>
    <w:link w:val="7"/>
    <w:qFormat/>
    <w:locked/>
    <w:uiPriority w:val="0"/>
    <w:rPr>
      <w:rFonts w:cs="Times New Roman"/>
      <w:kern w:val="2"/>
      <w:sz w:val="18"/>
      <w:szCs w:val="18"/>
    </w:rPr>
  </w:style>
  <w:style w:type="character" w:customStyle="1" w:styleId="15">
    <w:name w:val="标题 Char"/>
    <w:basedOn w:val="9"/>
    <w:link w:val="8"/>
    <w:qFormat/>
    <w:locked/>
    <w:uiPriority w:val="99"/>
    <w:rPr>
      <w:rFonts w:ascii="Cambria" w:hAnsi="Cambria" w:cs="Times New Roman"/>
      <w:b/>
      <w:bCs/>
      <w:sz w:val="32"/>
      <w:szCs w:val="32"/>
      <w:lang w:eastAsia="en-US"/>
    </w:rPr>
  </w:style>
  <w:style w:type="character" w:customStyle="1" w:styleId="16">
    <w:name w:val="正文文本 Char"/>
    <w:basedOn w:val="9"/>
    <w:link w:val="3"/>
    <w:qFormat/>
    <w:uiPriority w:val="1"/>
    <w:rPr>
      <w:rFonts w:ascii="方正小标宋_GBK" w:hAnsi="方正小标宋_GBK" w:eastAsia="方正小标宋_GBK" w:cs="方正小标宋_GBK"/>
      <w:sz w:val="100"/>
      <w:szCs w:val="100"/>
      <w:lang w:val="zh-CN" w:bidi="zh-CN"/>
    </w:rPr>
  </w:style>
  <w:style w:type="character" w:customStyle="1" w:styleId="17">
    <w:name w:val="批注框文本 Char"/>
    <w:basedOn w:val="9"/>
    <w:link w:val="5"/>
    <w:semiHidden/>
    <w:qFormat/>
    <w:uiPriority w:val="0"/>
    <w:rPr>
      <w:rFonts w:ascii="Times New Roman" w:hAnsi="Times New Roman"/>
      <w:sz w:val="18"/>
      <w:szCs w:val="18"/>
      <w:lang w:eastAsia="en-US"/>
    </w:rPr>
  </w:style>
  <w:style w:type="table" w:customStyle="1" w:styleId="18">
    <w:name w:val="Table Normal"/>
    <w:unhideWhenUsed/>
    <w:qFormat/>
    <w:uiPriority w:val="2"/>
    <w:rPr>
      <w:rFonts w:eastAsiaTheme="minorEastAsia"/>
    </w:rPr>
    <w:tblPr>
      <w:tblLayout w:type="fixed"/>
      <w:tblCellMar>
        <w:top w:w="0" w:type="dxa"/>
        <w:left w:w="0" w:type="dxa"/>
        <w:bottom w:w="0" w:type="dxa"/>
        <w:right w:w="0" w:type="dxa"/>
      </w:tblCellMar>
    </w:tblPr>
  </w:style>
  <w:style w:type="paragraph" w:styleId="19">
    <w:name w:val="List Paragraph"/>
    <w:basedOn w:val="1"/>
    <w:qFormat/>
    <w:uiPriority w:val="1"/>
    <w:pPr>
      <w:widowControl w:val="0"/>
      <w:autoSpaceDE w:val="0"/>
      <w:autoSpaceDN w:val="0"/>
    </w:pPr>
    <w:rPr>
      <w:rFonts w:ascii="宋体" w:hAnsi="宋体" w:cs="宋体"/>
      <w:sz w:val="22"/>
      <w:szCs w:val="22"/>
      <w:lang w:val="zh-CN" w:eastAsia="zh-CN" w:bidi="zh-CN"/>
    </w:rPr>
  </w:style>
  <w:style w:type="paragraph" w:customStyle="1" w:styleId="20">
    <w:name w:val="Table Paragraph"/>
    <w:basedOn w:val="1"/>
    <w:qFormat/>
    <w:uiPriority w:val="1"/>
    <w:pPr>
      <w:widowControl w:val="0"/>
      <w:autoSpaceDE w:val="0"/>
      <w:autoSpaceDN w:val="0"/>
    </w:pPr>
    <w:rPr>
      <w:rFonts w:ascii="宋体" w:hAnsi="宋体" w:cs="宋体"/>
      <w:sz w:val="22"/>
      <w:szCs w:val="22"/>
      <w:lang w:val="zh-CN" w:eastAsia="zh-CN" w:bidi="zh-CN"/>
    </w:rPr>
  </w:style>
  <w:style w:type="character" w:customStyle="1" w:styleId="21">
    <w:name w:val="日期 Char"/>
    <w:basedOn w:val="9"/>
    <w:link w:val="4"/>
    <w:semiHidden/>
    <w:qFormat/>
    <w:uiPriority w:val="0"/>
    <w:rPr>
      <w:rFonts w:ascii="Times New Roman" w:hAnsi="Times New Roman"/>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26</Pages>
  <Words>29304</Words>
  <Characters>29991</Characters>
  <Lines>259</Lines>
  <Paragraphs>73</Paragraphs>
  <TotalTime>5</TotalTime>
  <ScaleCrop>false</ScaleCrop>
  <LinksUpToDate>false</LinksUpToDate>
  <CharactersWithSpaces>30215</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2019-07-12T01:33:00Z</dcterms:created>
  <dc:creator>shenpiban</dc:creator>
  <cp:lastModifiedBy>Administrator</cp:lastModifiedBy>
  <cp:lastPrinted>2022-08-26T01:27:00Z</cp:lastPrinted>
  <dcterms:modified xsi:type="dcterms:W3CDTF">2024-02-24T04:29:27Z</dcterms:modified>
  <dc:title>青岛市工程建设项目审批管理平台</dc:title>
  <cp:revision>421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43B58EBF9A104ED198AD8855A2378DD7</vt:lpwstr>
  </property>
</Properties>
</file>