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color w:val="FF0000"/>
          <w:spacing w:val="-30"/>
          <w:w w:val="72"/>
          <w:kern w:val="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ge">
                  <wp:posOffset>2212340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25pt;margin-top:174.2pt;height:0pt;width:481.9pt;mso-position-vertical-relative:page;z-index:251660288;mso-width-relative:page;mso-height-relative:page;" filled="f" stroked="t" coordsize="21600,21600" o:gfxdata="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kczr2QAAAAsBAAAPAAAAAAAAAAEAIAAAACIAAABkcnMvZG93bnJldi54&#10;bWxQSwECFAAUAAAACACHTuJAinEIbPkBAADzAwAADgAAAAAAAAABACAAAAAoAQAAZHJzL2Uyb0Rv&#10;Yy54bWxQSwUGAAAAAAYABgBZAQAAk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_GBK" w:eastAsia="方正小标宋简体" w:cs="方正小标宋_GBK"/>
          <w:color w:val="FF0000"/>
          <w:spacing w:val="-30"/>
          <w:w w:val="72"/>
          <w:kern w:val="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ge">
                  <wp:posOffset>2160270</wp:posOffset>
                </wp:positionV>
                <wp:extent cx="6120130" cy="0"/>
                <wp:effectExtent l="0" t="12700" r="139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25pt;margin-top:170.1pt;height:0pt;width:481.9pt;mso-position-vertical-relative:page;z-index:251659264;mso-width-relative:page;mso-height-relative:page;" filled="f" stroked="t" coordsize="21600,21600" o:gfxdata="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G6ZiDYAAAACwEAAA8AAAAAAAAAAQAgAAAAIgAAAGRycy9kb3ducmV2Lnht&#10;bFBLAQIUABQAAAAIAIdO4kCGS/J5+QEAAPMDAAAOAAAAAAAAAAEAIAAAACc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color w:val="FF0000"/>
          <w:spacing w:val="20"/>
          <w:w w:val="72"/>
          <w:sz w:val="82"/>
          <w:szCs w:val="82"/>
        </w:rPr>
        <w:t>青岛西海岸新区行政</w:t>
      </w:r>
      <w:r>
        <w:rPr>
          <w:rFonts w:hint="eastAsia" w:ascii="方正小标宋简体" w:eastAsia="方正小标宋简体" w:cs="方正小标宋简体"/>
          <w:color w:val="FF0000"/>
          <w:spacing w:val="20"/>
          <w:w w:val="72"/>
          <w:sz w:val="82"/>
          <w:szCs w:val="82"/>
          <w:lang w:eastAsia="zh-CN"/>
        </w:rPr>
        <w:t>审批</w:t>
      </w:r>
      <w:r>
        <w:rPr>
          <w:rFonts w:hint="eastAsia" w:ascii="方正小标宋简体" w:eastAsia="方正小标宋简体" w:cs="方正小标宋简体"/>
          <w:color w:val="FF0000"/>
          <w:spacing w:val="20"/>
          <w:w w:val="72"/>
          <w:sz w:val="82"/>
          <w:szCs w:val="82"/>
        </w:rPr>
        <w:t>服务局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青岛西海岸新区行政审批服务局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青岛西海岸新区政务服务大厅优化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政务服务便利特殊群体办事服务制度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为进一步优化政务服务,满足特殊群体办事服务需求,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区行政审批服务局制定了《西海岸新区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优化政务服务便利特殊群体办事服务制度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》，现予以印发，请遵照执行。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2021年4月7日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青岛西海岸新区政务服务大厅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优化政务服务便利特殊群体办事服务制度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为进一步优化政务服务,满足特殊群体办事服务需求,规范服务行为,提供更周全、更贴心、更直接、更温馨的便利化服务,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根据“放管服”改革和政务服务有关精神，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结合</w:t>
      </w:r>
      <w:r>
        <w:rPr>
          <w:rFonts w:ascii="仿宋_GB2312" w:hAnsi="宋体" w:eastAsia="仿宋_GB2312"/>
          <w:color w:val="auto"/>
          <w:sz w:val="32"/>
          <w:szCs w:val="32"/>
        </w:rPr>
        <w:t>新</w:t>
      </w:r>
      <w:r>
        <w:rPr>
          <w:rFonts w:ascii="仿宋_GB2312" w:hAnsi="宋体" w:eastAsia="仿宋_GB2312"/>
          <w:sz w:val="32"/>
          <w:szCs w:val="32"/>
        </w:rPr>
        <w:t>区实际</w:t>
      </w:r>
      <w:r>
        <w:rPr>
          <w:rFonts w:hint="eastAsia" w:ascii="仿宋_GB2312" w:hAnsi="宋体" w:eastAsia="仿宋_GB2312"/>
          <w:sz w:val="32"/>
          <w:szCs w:val="32"/>
        </w:rPr>
        <w:t>情况,制定本制度。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第二条 </w:t>
      </w:r>
      <w:r>
        <w:rPr>
          <w:rFonts w:hint="eastAsia" w:ascii="仿宋_GB2312" w:hAnsi="宋体" w:eastAsia="仿宋_GB2312"/>
          <w:sz w:val="32"/>
          <w:szCs w:val="32"/>
        </w:rPr>
        <w:t>本制度中的特殊群体是指年满60周岁以上的老年人、残疾人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孕妇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军人</w:t>
      </w:r>
      <w:r>
        <w:rPr>
          <w:rFonts w:hint="eastAsia" w:ascii="仿宋_GB2312" w:hAnsi="宋体" w:eastAsia="仿宋_GB2312"/>
          <w:sz w:val="32"/>
          <w:szCs w:val="32"/>
        </w:rPr>
        <w:t>等人</w:t>
      </w:r>
      <w:r>
        <w:rPr>
          <w:rFonts w:ascii="仿宋_GB2312" w:hAnsi="宋体" w:eastAsia="仿宋_GB2312"/>
          <w:sz w:val="32"/>
          <w:szCs w:val="32"/>
        </w:rPr>
        <w:t>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第三条 </w:t>
      </w:r>
      <w:r>
        <w:rPr>
          <w:rFonts w:hint="eastAsia" w:ascii="仿宋_GB2312" w:hAnsi="宋体" w:eastAsia="仿宋_GB2312"/>
          <w:sz w:val="32"/>
          <w:szCs w:val="32"/>
        </w:rPr>
        <w:t>为特殊群体提供主动引导服务。</w:t>
      </w:r>
      <w:r>
        <w:rPr>
          <w:rFonts w:hint="eastAsia" w:ascii="仿宋_GB2312" w:hAnsi="宋体" w:eastAsia="仿宋_GB2312"/>
          <w:bCs/>
          <w:sz w:val="32"/>
          <w:szCs w:val="32"/>
        </w:rPr>
        <w:t>区政务服务大厅</w:t>
      </w:r>
      <w:r>
        <w:rPr>
          <w:rFonts w:hint="eastAsia" w:ascii="仿宋_GB2312" w:hAnsi="宋体" w:eastAsia="仿宋_GB2312"/>
          <w:sz w:val="32"/>
          <w:szCs w:val="32"/>
        </w:rPr>
        <w:t>配备专门服务引导人员,对特殊群体主动提供咨询引导，按需全程陪办、协助填表、免费复印打印等“一对一”帮办代办服务,提供从接待、答疑、受理,到办理、反馈的一站式服务,全程做到主动服务、微笑服务、满意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为特殊群体提供“优先办”服务。在区政务服务大厅设置“军人优先”、“老年人、残疾人、孕妇绿色通道”,畅通特殊群体优先办理通道，减少等候时间。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第五条 </w:t>
      </w:r>
      <w:r>
        <w:rPr>
          <w:rFonts w:hint="eastAsia" w:ascii="仿宋_GB2312" w:hAnsi="宋体" w:eastAsia="仿宋_GB2312"/>
          <w:sz w:val="32"/>
          <w:szCs w:val="32"/>
        </w:rPr>
        <w:t>为特殊群体提供一次办好服务。区政务服务大厅窗口工作人员认真落实首问负责、一次性告知、窗口无否决权、帮办代办等制度,为特殊群体提供一次办好服务。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为特殊群体提供多种服务方式。窗口工作人员采取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预约办、</w:t>
      </w:r>
      <w:r>
        <w:rPr>
          <w:rFonts w:hint="eastAsia" w:ascii="仿宋_GB2312" w:hAnsi="宋体" w:eastAsia="仿宋_GB2312"/>
          <w:sz w:val="32"/>
          <w:szCs w:val="32"/>
        </w:rPr>
        <w:t>延时办、双休日办、就近办、异地办、上门办等方式,丰富特殊群体办事选择。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为特殊群体提供专属服务设施。在区政务服务大厅规范办事线路指示标志,制作通俗易懂的办事指南、资料清单等,方便特殊群体识别和阅读，设置“爱心专座”、无障碍通道及卫生间，综合受理等待区配置紧急呼叫铃，提供轮椅、老花镜、饮水机、宝宝推车、母婴室、便民服务箱等方便特殊群体办事的设施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ahoma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第八条 </w:t>
      </w:r>
      <w:r>
        <w:rPr>
          <w:rFonts w:hint="eastAsia" w:ascii="仿宋_GB2312" w:hAnsi="宋体" w:eastAsia="仿宋_GB2312" w:cs="Tahoma"/>
          <w:color w:val="000000"/>
          <w:sz w:val="32"/>
          <w:szCs w:val="32"/>
        </w:rPr>
        <w:t>为视力残疾人和听力残疾人提供信息无障碍服务。深化有爱无碍服务举措，除了全程帮办代办，充分利用手语软件app和政务服务大厅手语志愿者，提供远程视频手语同步翻译，满足特殊群体在不同条件下能够平等地、方便地获取和利用信息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ahoma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_GB2312" w:hAnsi="宋体" w:eastAsia="仿宋_GB2312" w:cs="Tahoma"/>
          <w:color w:val="000000"/>
          <w:sz w:val="32"/>
          <w:szCs w:val="32"/>
        </w:rPr>
        <w:t xml:space="preserve"> 设立“无健康码快速通道”，优化“健康码”使用。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不将“健康码”作为进入区政务大厅的唯一通行凭证，可采取凭有效身份证件登记、持纸质证明通行、出示“通信行程卡”作为辅助行程证明等替代措施进入大厅。为不习惯使用智能手机的老年人等特殊群体设立“无健康码快速通道”，优化工作人员代办代查等服务，做好服务引导和健康核验，确保特殊群体快速方便进入大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ahoma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hAnsi="宋体" w:eastAsia="仿宋_GB2312" w:cs="Tahoma"/>
          <w:color w:val="000000"/>
          <w:sz w:val="32"/>
          <w:szCs w:val="32"/>
        </w:rPr>
        <w:t xml:space="preserve"> 支持线下现金缴费方式。区政务服务大厅针对部分老年人不习惯使用智能化支付方式情况，涉及相关费用缴纳的，不得以格式条款、通知、声明、告示等方式拒收现金。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完善特殊群体服务应急预案。进一步完善特殊群体突发问题应急预案，强化工作人员应急知识培训，在区政务服务大厅配备应急医药箱，提供紧急医疗救护等措施，确保发生突发情况时能及时果断采取有效救护等处理措施，降低损伤程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完善特殊群体诉求机制。区政务服务大厅通过“好差评”、意见箱、“找茬”窗口等多种形式收集并及时解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决</w:t>
      </w:r>
      <w:r>
        <w:rPr>
          <w:rFonts w:hint="eastAsia" w:ascii="仿宋_GB2312" w:hAnsi="宋体" w:eastAsia="仿宋_GB2312"/>
          <w:sz w:val="32"/>
          <w:szCs w:val="32"/>
        </w:rPr>
        <w:t>特殊群体办事过程中的难点堵点问题,畅通办事信息交互渠道，不断改善特殊群体现场办事体验。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 xml:space="preserve">条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落实责任追究制度。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凡工作人员</w:t>
      </w:r>
      <w:r>
        <w:rPr>
          <w:rFonts w:hint="eastAsia" w:ascii="仿宋_GB2312" w:hAnsi="宋体" w:eastAsia="仿宋_GB2312"/>
          <w:strike w:val="0"/>
          <w:dstrike w:val="0"/>
          <w:color w:val="auto"/>
          <w:sz w:val="32"/>
          <w:szCs w:val="32"/>
          <w:lang w:eastAsia="zh-CN"/>
        </w:rPr>
        <w:t>不落实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本制度,造成不良影响的,按规定追究责任。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本制度自印发之日起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施行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vN17m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6F88"/>
    <w:rsid w:val="0C3F049E"/>
    <w:rsid w:val="0E33232C"/>
    <w:rsid w:val="13EF2722"/>
    <w:rsid w:val="151B2467"/>
    <w:rsid w:val="15821681"/>
    <w:rsid w:val="15E6123C"/>
    <w:rsid w:val="19EA24E6"/>
    <w:rsid w:val="228C4A77"/>
    <w:rsid w:val="272221A0"/>
    <w:rsid w:val="2933183B"/>
    <w:rsid w:val="2BA64D93"/>
    <w:rsid w:val="2C1511C7"/>
    <w:rsid w:val="2D7B0A37"/>
    <w:rsid w:val="2E9F019A"/>
    <w:rsid w:val="302A16FA"/>
    <w:rsid w:val="32032B2C"/>
    <w:rsid w:val="38194F84"/>
    <w:rsid w:val="39C50F96"/>
    <w:rsid w:val="3AD23AD6"/>
    <w:rsid w:val="3BA20A50"/>
    <w:rsid w:val="42ED0AB1"/>
    <w:rsid w:val="43CE2C65"/>
    <w:rsid w:val="44D504C5"/>
    <w:rsid w:val="451934E8"/>
    <w:rsid w:val="47714AD7"/>
    <w:rsid w:val="500609D5"/>
    <w:rsid w:val="523942E6"/>
    <w:rsid w:val="54BB3EEC"/>
    <w:rsid w:val="57AA4AC1"/>
    <w:rsid w:val="5E692988"/>
    <w:rsid w:val="62BE3607"/>
    <w:rsid w:val="637540DB"/>
    <w:rsid w:val="641F700B"/>
    <w:rsid w:val="645B0754"/>
    <w:rsid w:val="67651B43"/>
    <w:rsid w:val="691D662B"/>
    <w:rsid w:val="6F466EEC"/>
    <w:rsid w:val="6FB8300D"/>
    <w:rsid w:val="70103DCB"/>
    <w:rsid w:val="720B1386"/>
    <w:rsid w:val="7437495F"/>
    <w:rsid w:val="74A00C39"/>
    <w:rsid w:val="77E1105D"/>
    <w:rsid w:val="7BBC3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龙</cp:lastModifiedBy>
  <cp:lastPrinted>2021-09-27T02:20:00Z</cp:lastPrinted>
  <dcterms:modified xsi:type="dcterms:W3CDTF">2021-11-09T06:57:55Z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96DBE1677F5A4F5796E87B2C312A63CE</vt:lpwstr>
  </property>
</Properties>
</file>