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661" w:line="800" w:lineRule="exact"/>
        <w:textAlignment w:val="baseline"/>
        <w:outlineLvl w:val="0"/>
        <w:rPr>
          <w:rFonts w:hint="eastAsia" w:ascii="方正小标宋_GBK" w:hAnsi="方正小标宋_GBK" w:eastAsia="方正小标宋_GBK" w:cs="方正小标宋_GBK"/>
          <w:sz w:val="112"/>
          <w:szCs w:val="112"/>
        </w:rPr>
      </w:pPr>
      <w:r>
        <w:rPr>
          <w:rFonts w:hint="eastAsia" w:ascii="方正小标宋_GBK" w:hAnsi="方正小标宋_GBK" w:eastAsia="方正小标宋_GBK" w:cs="方正小标宋_GBK"/>
          <w:color w:val="FF0000"/>
          <w:spacing w:val="1"/>
          <w:w w:val="56"/>
          <w:kern w:val="0"/>
          <w:position w:val="-5"/>
          <w:sz w:val="112"/>
          <w:szCs w:val="112"/>
          <w:fitText w:val="8874" w:id="737811199"/>
        </w:rPr>
        <w:t>青岛西海岸新区行政审批服务</w:t>
      </w:r>
      <w:r>
        <w:rPr>
          <w:rFonts w:hint="eastAsia" w:ascii="方正小标宋_GBK" w:hAnsi="方正小标宋_GBK" w:eastAsia="方正小标宋_GBK" w:cs="方正小标宋_GBK"/>
          <w:color w:val="FF0000"/>
          <w:spacing w:val="164"/>
          <w:w w:val="56"/>
          <w:kern w:val="0"/>
          <w:position w:val="-5"/>
          <w:sz w:val="112"/>
          <w:szCs w:val="112"/>
          <w:fitText w:val="8874" w:id="737811199"/>
        </w:rPr>
        <w:t>局</w:t>
      </w:r>
    </w:p>
    <w:p>
      <w:pPr>
        <w:keepNext w:val="0"/>
        <w:keepLines w:val="0"/>
        <w:pageBreakBefore w:val="0"/>
        <w:widowControl/>
        <w:kinsoku w:val="0"/>
        <w:wordWrap/>
        <w:overflowPunct/>
        <w:topLinePunct w:val="0"/>
        <w:autoSpaceDE w:val="0"/>
        <w:autoSpaceDN w:val="0"/>
        <w:bidi w:val="0"/>
        <w:adjustRightInd w:val="0"/>
        <w:snapToGrid w:val="0"/>
        <w:spacing w:before="661" w:line="800" w:lineRule="exact"/>
        <w:textAlignment w:val="baseline"/>
        <w:outlineLvl w:val="0"/>
        <w:rPr>
          <w:rFonts w:hint="eastAsia" w:ascii="方正小标宋_GBK" w:hAnsi="方正小标宋_GBK" w:eastAsia="方正小标宋_GBK" w:cs="方正小标宋_GBK"/>
          <w:color w:val="FF0000"/>
          <w:spacing w:val="-29"/>
          <w:w w:val="56"/>
          <w:position w:val="-5"/>
          <w:sz w:val="112"/>
          <w:szCs w:val="112"/>
          <w:lang w:val="en-US" w:eastAsia="zh-CN"/>
        </w:rPr>
      </w:pPr>
      <w:r>
        <w:rPr>
          <w:rFonts w:hint="eastAsia" w:ascii="方正小标宋_GBK" w:hAnsi="方正小标宋_GBK" w:eastAsia="方正小标宋_GBK" w:cs="方正小标宋_GBK"/>
          <w:color w:val="FF0000"/>
          <w:spacing w:val="1"/>
          <w:w w:val="56"/>
          <w:kern w:val="0"/>
          <w:position w:val="-5"/>
          <w:sz w:val="112"/>
          <w:szCs w:val="112"/>
          <w:fitText w:val="8874" w:id="737811199"/>
        </w:rPr>
        <w:t>青岛西海岸新区</w:t>
      </w:r>
      <w:r>
        <w:rPr>
          <w:rFonts w:hint="eastAsia" w:ascii="方正小标宋_GBK" w:hAnsi="方正小标宋_GBK" w:eastAsia="方正小标宋_GBK" w:cs="方正小标宋_GBK"/>
          <w:color w:val="FF0000"/>
          <w:spacing w:val="1"/>
          <w:w w:val="56"/>
          <w:kern w:val="0"/>
          <w:position w:val="-5"/>
          <w:sz w:val="112"/>
          <w:szCs w:val="112"/>
          <w:fitText w:val="8874" w:id="737811199"/>
          <w:lang w:val="en-US" w:eastAsia="zh-CN"/>
        </w:rPr>
        <w:t>市场监督管理</w:t>
      </w:r>
      <w:r>
        <w:rPr>
          <w:rFonts w:hint="eastAsia" w:ascii="方正小标宋_GBK" w:hAnsi="方正小标宋_GBK" w:eastAsia="方正小标宋_GBK" w:cs="方正小标宋_GBK"/>
          <w:color w:val="FF0000"/>
          <w:spacing w:val="164"/>
          <w:w w:val="56"/>
          <w:kern w:val="0"/>
          <w:position w:val="-5"/>
          <w:sz w:val="112"/>
          <w:szCs w:val="112"/>
          <w:fitText w:val="8874" w:id="737811199"/>
          <w:lang w:val="en-US" w:eastAsia="zh-CN"/>
        </w:rPr>
        <w:t>局</w:t>
      </w:r>
    </w:p>
    <w:p>
      <w:pPr>
        <w:spacing w:line="369" w:lineRule="auto"/>
        <w:rPr>
          <w:rFonts w:ascii="Arial"/>
          <w:sz w:val="21"/>
        </w:rPr>
      </w:pPr>
    </w:p>
    <w:p>
      <w:pPr>
        <w:pStyle w:val="2"/>
        <w:spacing w:before="101" w:line="222" w:lineRule="auto"/>
        <w:ind w:left="2744"/>
      </w:pPr>
      <w:r>
        <w:rPr>
          <w:spacing w:val="5"/>
        </w:rPr>
        <w:t>青西新审服发〔202</w:t>
      </w:r>
      <w:r>
        <w:rPr>
          <w:rFonts w:hint="eastAsia"/>
          <w:spacing w:val="5"/>
          <w:lang w:val="en-US" w:eastAsia="zh-CN"/>
        </w:rPr>
        <w:t>4</w:t>
      </w:r>
      <w:r>
        <w:rPr>
          <w:spacing w:val="5"/>
        </w:rPr>
        <w:t>〕</w:t>
      </w:r>
      <w:r>
        <w:rPr>
          <w:rFonts w:hint="eastAsia"/>
          <w:spacing w:val="5"/>
          <w:lang w:val="en-US" w:eastAsia="zh-CN"/>
        </w:rPr>
        <w:t>2</w:t>
      </w:r>
      <w:r>
        <w:rPr>
          <w:spacing w:val="5"/>
        </w:rPr>
        <w:t>号</w:t>
      </w:r>
    </w:p>
    <w:p>
      <w:pPr>
        <w:spacing w:before="119" w:line="30" w:lineRule="exact"/>
      </w:pPr>
      <w:r>
        <w:drawing>
          <wp:inline distT="0" distB="0" distL="0" distR="0">
            <wp:extent cx="5942965" cy="190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943599" cy="19050"/>
                    </a:xfrm>
                    <a:prstGeom prst="rect">
                      <a:avLst/>
                    </a:prstGeom>
                  </pic:spPr>
                </pic:pic>
              </a:graphicData>
            </a:graphic>
          </wp:inline>
        </w:drawing>
      </w:r>
    </w:p>
    <w:p>
      <w:pPr>
        <w:spacing w:line="306"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青岛西海岸新区</w:t>
      </w:r>
      <w:bookmarkStart w:id="0" w:name="_GoBack"/>
      <w:bookmarkEnd w:id="0"/>
      <w:r>
        <w:rPr>
          <w:rFonts w:hint="eastAsia" w:ascii="方正小标宋_GBK" w:hAnsi="方正小标宋_GBK" w:eastAsia="方正小标宋_GBK" w:cs="方正小标宋_GBK"/>
          <w:sz w:val="44"/>
          <w:szCs w:val="44"/>
          <w:lang w:val="en-US" w:eastAsia="zh-CN"/>
        </w:rPr>
        <w:t>经营主体“代位登记”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制度工作方案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为进一步完善登记政策支撑，有效化解部分经营主体因股东（出资人）缺位而无法办理后续变更、注销登记业务的难题，拓展特殊经营主体登记路径，进一步理顺变更、注销登记流程，为经营主体运营发展创造便利条件，持续优化新区营商环境，</w:t>
      </w:r>
      <w:r>
        <w:rPr>
          <w:rFonts w:hint="eastAsia" w:ascii="仿宋_GB2312" w:hAnsi="仿宋" w:eastAsia="仿宋_GB2312" w:cs="Times New Roman"/>
          <w:strike w:val="0"/>
          <w:dstrike w:val="0"/>
          <w:sz w:val="32"/>
          <w:szCs w:val="32"/>
          <w:lang w:val="en-US" w:eastAsia="zh-CN"/>
        </w:rPr>
        <w:t>现</w:t>
      </w:r>
      <w:r>
        <w:rPr>
          <w:rFonts w:hint="eastAsia" w:ascii="仿宋_GB2312" w:hAnsi="仿宋" w:eastAsia="仿宋_GB2312" w:cs="Times New Roman"/>
          <w:sz w:val="32"/>
          <w:szCs w:val="32"/>
          <w:lang w:val="en-US" w:eastAsia="zh-CN"/>
        </w:rPr>
        <w:t>决定在全区范围内推行经营主体代位登记制度，现制定实施方案如下：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黑体" w:hAnsi="黑体" w:eastAsia="黑体" w:cs="黑体"/>
          <w:b w:val="0"/>
          <w:bCs w:val="0"/>
          <w:i w:val="0"/>
          <w:iCs w:val="0"/>
          <w:caps w:val="0"/>
          <w:color w:val="333333"/>
          <w:spacing w:val="0"/>
          <w:sz w:val="32"/>
          <w:szCs w:val="32"/>
          <w:vertAlign w:val="baseline"/>
          <w:lang w:val="en-US" w:eastAsia="zh-CN"/>
        </w:rPr>
      </w:pPr>
      <w:r>
        <w:rPr>
          <w:rFonts w:hint="eastAsia" w:ascii="黑体" w:hAnsi="黑体" w:eastAsia="黑体" w:cs="黑体"/>
          <w:b w:val="0"/>
          <w:bCs w:val="0"/>
          <w:i w:val="0"/>
          <w:iCs w:val="0"/>
          <w:caps w:val="0"/>
          <w:color w:val="333333"/>
          <w:spacing w:val="0"/>
          <w:sz w:val="32"/>
          <w:szCs w:val="32"/>
          <w:vertAlign w:val="baseline"/>
          <w:lang w:val="en-US" w:eastAsia="zh-CN"/>
        </w:rPr>
        <w:t>一、工作目标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为切实解决部分经营主体因股东（出资人）缺位而无法办理后续变更、注销登记业务的问题，实施经营主体代位登记制度，提升登记注册便利度，持续优化全区营商环境。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黑体" w:hAnsi="黑体" w:eastAsia="黑体" w:cs="黑体"/>
          <w:b w:val="0"/>
          <w:bCs w:val="0"/>
          <w:i w:val="0"/>
          <w:iCs w:val="0"/>
          <w:caps w:val="0"/>
          <w:color w:val="auto"/>
          <w:spacing w:val="0"/>
          <w:sz w:val="32"/>
          <w:szCs w:val="32"/>
          <w:vertAlign w:val="baseline"/>
          <w:lang w:val="en-US" w:eastAsia="zh-CN"/>
        </w:rPr>
      </w:pPr>
      <w:r>
        <w:rPr>
          <w:rFonts w:hint="eastAsia" w:ascii="黑体" w:hAnsi="黑体" w:eastAsia="黑体" w:cs="黑体"/>
          <w:b w:val="0"/>
          <w:bCs w:val="0"/>
          <w:i w:val="0"/>
          <w:iCs w:val="0"/>
          <w:caps w:val="0"/>
          <w:color w:val="auto"/>
          <w:spacing w:val="0"/>
          <w:sz w:val="32"/>
          <w:szCs w:val="32"/>
          <w:vertAlign w:val="baseline"/>
          <w:lang w:val="en-US" w:eastAsia="zh-CN"/>
        </w:rPr>
        <w:t>二、定义及适用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（一）代位登记定义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 w:eastAsia="仿宋_GB2312" w:cs="Times New Roman"/>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vertAlign w:val="baseline"/>
          <w:lang w:val="en-US" w:eastAsia="zh-CN"/>
        </w:rPr>
        <w:t>代位登记：</w:t>
      </w:r>
      <w:r>
        <w:rPr>
          <w:rFonts w:hint="eastAsia" w:ascii="仿宋_GB2312" w:hAnsi="仿宋" w:eastAsia="仿宋_GB2312" w:cs="Times New Roman"/>
          <w:color w:val="auto"/>
          <w:kern w:val="2"/>
          <w:sz w:val="32"/>
          <w:szCs w:val="32"/>
          <w:lang w:val="en-US" w:eastAsia="zh-CN" w:bidi="ar-SA"/>
        </w:rPr>
        <w:t>是指因经营主体的自然人股东（出资人）死亡、非自然人股东(出资人)已注销或者国家机关、事业单位等主体已被撤销,而导致其无法办理股东（出资人）变更和注销，可以由该股东(出资人)的合法继受主体、投资人、清算组或上级主管单位代为行使职权，办理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（二）适用范围</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1.代位变更股东（出资人）：适用在新区登记注册的有限责任公司、非公司企业法人、个人独资企业和个体工商户。  </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代位注销：适用在新区登记注册的有限责任公司、非公司企业法人、合伙企业、个人独资企业、农民专业合作社（联合社）及其上述经营主体的分支机构和个体工商户办理注销登记。简易注销不适用“代位注销”。</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（三）适用情形</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1.因自然人股东（出资人）死亡，导致其出资的经营主体难以办理股东（出资人）变更、注销登记的，可以由继承人代为办理。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2.因经营主体已注销导致其出资的经营主体难以办理股东（出资人）变更登记的，可以由该已经注销经营主体的合法继受主体、投资人或清算组代为办理。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3.因经营主体已注销导致其分支机构或者其出资的经营主体难以办理注销登记的，可以由该已注销经营主体的合法继受人、投资人或清算组代为办理注销登记。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4.因国家机关、事业单位等主体已注销(或被撤销)而导致其管理或者出资的经营主体难以办理股东（出资人）变更、注销登记的，可以由该已注销(或被撤销)主体的合法继受主体或者上级主管单位代为办理。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企业章程约定股东(出资人)资格不得承继的，遵从其约定。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全程网办：申请人可登录“青岛市企业开办智能一体化平台”进行全程电子化申报。</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现场办理：申请人到山东省青岛市黄岛区七墩山路77号南区青岛西海岸新区政务服务中心3楼企业开办区窗口、山东省青岛市黄岛区黄河东路150号东区商事登记服务中心综合受理窗口申请办理。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四、办理程序及提交材料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经营主体变更、注销前依法须经批准的，应当经批准后向登记机关申请变更、注销登记。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（一）代位变更股东（出资人）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1.依法需要召开股东会的，应在股东会决议中明确已死亡、注销(或被撤销)股东的合法继受主体、投资人、清算组或上级主管单位依照股权行使表决权，并同意其承继或转让股权;</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2.承继或划转股权(出资额)和出资人（主管部门）变动涉及国有资产的，需报经国务院、地方人民政府或者其授权的本级人民政府国有资产监督管理机构批准；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3.向登记机关申请变更登记。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（二）代位注销</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1.依法需要清算的经营主体，按以下程序办理：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（1）作出解散决定/决议。作出解散的决议或决定中，应明确合法继受主体、投资人、清算组、上级主管单位依照股权(出资额)行使表决权。</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成立清算组。合法继受主体、投资人、清算组（需经原股东确认）或上级主管单位可补充作为清算组成员，行使清算职权。经营主体通过国家企业信用信息公示系统(山东)进行清算组备案，公示清算组成员、清算组负责人名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（3）发布债权人公告。清算组可通过国家企业信用信息公示系统(山东)免费发布债权人公告。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（4）确认清算报告。清算结束后，清算组制作清算报告，并报股东会、全体合伙人、成员代表大会确认。</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（5）注销登记。向登记机关申请经营主体注销登记。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2.无需进行清算的经营主体可直接向登记机关申请注销登记。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申请人除根据《市场主体登记提交材料规范》（2022年版）提交相应的申请材料外，还需要补充提交相应的材料，具体参见附件。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五、工作要求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（一）抓好任务落实。</w:t>
      </w:r>
      <w:r>
        <w:rPr>
          <w:rFonts w:hint="eastAsia" w:ascii="仿宋_GB2312" w:hAnsi="仿宋" w:eastAsia="仿宋_GB2312" w:cs="Times New Roman"/>
          <w:sz w:val="32"/>
          <w:szCs w:val="32"/>
          <w:lang w:val="en-US" w:eastAsia="zh-CN"/>
        </w:rPr>
        <w:t xml:space="preserve">要加强业务培训，确保登记人员熟练掌握代位登记制度有关要求，为企业群众提供参考模板、制式文本和帮办代办服务，提升企业获得感。 </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（二）强化宣传引导。</w:t>
      </w:r>
      <w:r>
        <w:rPr>
          <w:rFonts w:hint="eastAsia" w:ascii="仿宋_GB2312" w:hAnsi="仿宋" w:eastAsia="仿宋_GB2312" w:cs="Times New Roman"/>
          <w:sz w:val="32"/>
          <w:szCs w:val="32"/>
          <w:lang w:val="en-US" w:eastAsia="zh-CN"/>
        </w:rPr>
        <w:t>要通过广播电视、互联网、政务新媒体、公众号等途径对代位登记制度进行宣传解读，形成良好舆论氛围。要加强法律法规宣传，让经营主体明确知晓在变更、注销时应当履行的法律义务和社会责任。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（三）加强协调沟通。</w:t>
      </w:r>
      <w:r>
        <w:rPr>
          <w:rFonts w:hint="eastAsia" w:ascii="仿宋_GB2312" w:hAnsi="仿宋" w:eastAsia="仿宋_GB2312" w:cs="Times New Roman"/>
          <w:sz w:val="32"/>
          <w:szCs w:val="32"/>
          <w:lang w:val="en-US" w:eastAsia="zh-CN"/>
        </w:rPr>
        <w:t>要加强对登记便利化工作的研究，做好跟踪和评估工作，在工作落实中遇到的困难和问题及时研究并汇报。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附件:经营主体代位登记补交材料规范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default" w:ascii="方正仿宋_GB2312" w:hAnsi="方正仿宋_GB2312" w:eastAsia="方正仿宋_GB2312" w:cs="方正仿宋_GB2312"/>
          <w:b w:val="0"/>
          <w:bCs w:val="0"/>
          <w:i w:val="0"/>
          <w:iCs w:val="0"/>
          <w:caps w:val="0"/>
          <w:strike w:val="0"/>
          <w:color w:val="C00000"/>
          <w:spacing w:val="0"/>
          <w:sz w:val="32"/>
          <w:szCs w:val="32"/>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vertAlign w:val="baseline"/>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default" w:ascii="仿宋_GB2312" w:hAnsi="仿宋_GB2312" w:eastAsia="仿宋_GB2312" w:cs="仿宋_GB2312"/>
          <w:b w:val="0"/>
          <w:bCs w:val="0"/>
          <w:i w:val="0"/>
          <w:iCs w:val="0"/>
          <w:caps w:val="0"/>
          <w:color w:val="auto"/>
          <w:spacing w:val="0"/>
          <w:sz w:val="32"/>
          <w:szCs w:val="32"/>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黑体" w:hAnsi="黑体" w:eastAsia="黑体" w:cs="黑体"/>
          <w:b w:val="0"/>
          <w:bCs w:val="0"/>
          <w:i w:val="0"/>
          <w:iCs w:val="0"/>
          <w:caps w:val="0"/>
          <w:color w:val="333333"/>
          <w:spacing w:val="0"/>
          <w:sz w:val="32"/>
          <w:szCs w:val="32"/>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黑体" w:hAnsi="黑体" w:eastAsia="黑体" w:cs="黑体"/>
          <w:b w:val="0"/>
          <w:bCs w:val="0"/>
          <w:i w:val="0"/>
          <w:iCs w:val="0"/>
          <w:caps w:val="0"/>
          <w:color w:val="333333"/>
          <w:spacing w:val="0"/>
          <w:sz w:val="32"/>
          <w:szCs w:val="32"/>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default" w:ascii="黑体" w:hAnsi="黑体" w:eastAsia="黑体" w:cs="黑体"/>
          <w:b w:val="0"/>
          <w:bCs w:val="0"/>
          <w:i w:val="0"/>
          <w:iCs w:val="0"/>
          <w:caps w:val="0"/>
          <w:color w:val="333333"/>
          <w:spacing w:val="0"/>
          <w:sz w:val="32"/>
          <w:szCs w:val="32"/>
          <w:vertAlign w:val="baseline"/>
          <w:lang w:val="en-US" w:eastAsia="zh-CN"/>
        </w:rPr>
      </w:pPr>
      <w:r>
        <w:rPr>
          <w:rFonts w:hint="eastAsia" w:ascii="黑体" w:hAnsi="黑体" w:eastAsia="黑体" w:cs="黑体"/>
          <w:b w:val="0"/>
          <w:bCs w:val="0"/>
          <w:i w:val="0"/>
          <w:iCs w:val="0"/>
          <w:caps w:val="0"/>
          <w:color w:val="333333"/>
          <w:spacing w:val="0"/>
          <w:sz w:val="32"/>
          <w:szCs w:val="32"/>
          <w:vertAlign w:val="baseline"/>
          <w:lang w:val="en-US" w:eastAsia="zh-CN"/>
        </w:rPr>
        <w:t>附件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微软雅黑" w:hAnsi="微软雅黑" w:eastAsia="微软雅黑" w:cs="微软雅黑"/>
          <w:b w:val="0"/>
          <w:bCs w:val="0"/>
          <w:i w:val="0"/>
          <w:iCs w:val="0"/>
          <w:caps w:val="0"/>
          <w:color w:val="333333"/>
          <w:spacing w:val="0"/>
          <w:sz w:val="44"/>
          <w:szCs w:val="44"/>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方正小标宋_GBK" w:hAnsi="方正小标宋_GBK" w:eastAsia="方正小标宋_GBK" w:cs="方正小标宋_GBK"/>
          <w:b w:val="0"/>
          <w:bCs w:val="0"/>
          <w:i w:val="0"/>
          <w:iCs w:val="0"/>
          <w:caps w:val="0"/>
          <w:color w:val="auto"/>
          <w:spacing w:val="0"/>
          <w:sz w:val="32"/>
          <w:szCs w:val="32"/>
          <w:vertAlign w:val="baseline"/>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vertAlign w:val="baseline"/>
          <w:lang w:val="en-US" w:eastAsia="zh-CN"/>
        </w:rPr>
        <w:t>经营主体代位登记补交材料规范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vertAlign w:val="baseline"/>
          <w:lang w:val="en-US" w:eastAsia="zh-CN"/>
        </w:rPr>
        <w:t>除市场监管总局提交材料规范规定的登记材料外，还应提交以下材料：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vertAlign w:val="baseline"/>
          <w:lang w:val="en-US" w:eastAsia="zh-CN"/>
        </w:rPr>
        <w:t>1.自然人股东（投资人）死亡的，提交有权继承人身份证明和有关继承证明材料。继承证明材料包括经公证的《继承权公证书》或者生效的法律文书等。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default" w:ascii="仿宋_GB2312" w:hAnsi="仿宋_GB2312" w:eastAsia="仿宋_GB2312" w:cs="仿宋_GB2312"/>
          <w:b w:val="0"/>
          <w:bCs w:val="0"/>
          <w:i w:val="0"/>
          <w:iCs w:val="0"/>
          <w:caps w:val="0"/>
          <w:color w:val="auto"/>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vertAlign w:val="baseline"/>
          <w:lang w:val="en-US" w:eastAsia="zh-CN"/>
        </w:rPr>
        <w:t>2.经营主体</w:t>
      </w:r>
      <w:r>
        <w:rPr>
          <w:rFonts w:hint="eastAsia" w:ascii="仿宋_GB2312" w:hAnsi="仿宋_GB2312" w:eastAsia="仿宋_GB2312" w:cs="仿宋_GB2312"/>
          <w:b w:val="0"/>
          <w:bCs w:val="0"/>
          <w:i w:val="0"/>
          <w:iCs w:val="0"/>
          <w:caps w:val="0"/>
          <w:color w:val="auto"/>
          <w:spacing w:val="0"/>
          <w:sz w:val="32"/>
          <w:szCs w:val="32"/>
          <w:u w:val="none"/>
          <w:vertAlign w:val="baseline"/>
          <w:lang w:val="en-US" w:eastAsia="zh-CN"/>
        </w:rPr>
        <w:t>注销的，提交注销证明和合法继受主体、投资人或清算组的法律关系证明和身份证明材料。清算组需经原股东确认。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u w:val="none"/>
          <w:vertAlign w:val="baseline"/>
          <w:lang w:val="en-US" w:eastAsia="zh-CN"/>
        </w:rPr>
        <w:t>3.国家机关、事业单位等主体被撤销或者注销的，提交相关撤销或注销文件和合法继受主体或者上级主管单位的法律关系证明和身份证明材料。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u w:val="none"/>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u w:val="none"/>
          <w:vertAlign w:val="baseline"/>
          <w:lang w:val="en-US" w:eastAsia="zh-CN"/>
        </w:rPr>
        <w:t>注意：相关的决议或决定材料中，应明确合法继受主体、投资人、清算组或上级主管单位依照股权(出资额)行使表决权。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vertAlign w:val="baseline"/>
          <w:lang w:val="en-US" w:eastAsia="zh-CN"/>
        </w:rPr>
        <w:t>以上材料能够共享获取的可免于提交，涉及签字盖章的，自然人由本人签署，法人和其他组织由其法定代表人或者负责人签署，并加盖公章。</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31" w:lineRule="exact"/>
      </w:pPr>
      <w:r>
        <w:drawing>
          <wp:inline distT="0" distB="0" distL="0" distR="0">
            <wp:extent cx="5600065"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600699" cy="19684"/>
                    </a:xfrm>
                    <a:prstGeom prst="rect">
                      <a:avLst/>
                    </a:prstGeom>
                  </pic:spPr>
                </pic:pic>
              </a:graphicData>
            </a:graphic>
          </wp:inline>
        </w:drawing>
      </w:r>
    </w:p>
    <w:p>
      <w:pPr>
        <w:pStyle w:val="2"/>
        <w:tabs>
          <w:tab w:val="left" w:pos="161"/>
        </w:tabs>
        <w:spacing w:before="143" w:line="216" w:lineRule="auto"/>
        <w:rPr>
          <w:sz w:val="28"/>
          <w:szCs w:val="28"/>
        </w:rPr>
      </w:pPr>
      <w:r>
        <w:rPr>
          <w:sz w:val="28"/>
          <w:szCs w:val="28"/>
          <w:u w:val="single" w:color="auto"/>
        </w:rPr>
        <w:tab/>
      </w:r>
      <w:r>
        <w:rPr>
          <w:spacing w:val="-5"/>
          <w:sz w:val="28"/>
          <w:szCs w:val="28"/>
          <w:u w:val="single" w:color="auto"/>
        </w:rPr>
        <w:t>青岛西海岸新区行政审批服务局办公室      202</w:t>
      </w:r>
      <w:r>
        <w:rPr>
          <w:rFonts w:hint="eastAsia"/>
          <w:spacing w:val="-5"/>
          <w:sz w:val="28"/>
          <w:szCs w:val="28"/>
          <w:u w:val="single" w:color="auto"/>
          <w:lang w:val="en-US" w:eastAsia="zh-CN"/>
        </w:rPr>
        <w:t>4</w:t>
      </w:r>
      <w:r>
        <w:rPr>
          <w:spacing w:val="-5"/>
          <w:sz w:val="28"/>
          <w:szCs w:val="28"/>
          <w:u w:val="single" w:color="auto"/>
        </w:rPr>
        <w:t>年</w:t>
      </w:r>
      <w:r>
        <w:rPr>
          <w:rFonts w:hint="eastAsia"/>
          <w:spacing w:val="-5"/>
          <w:sz w:val="28"/>
          <w:szCs w:val="28"/>
          <w:u w:val="single" w:color="auto"/>
          <w:lang w:val="en-US" w:eastAsia="zh-CN"/>
        </w:rPr>
        <w:t>2</w:t>
      </w:r>
      <w:r>
        <w:rPr>
          <w:spacing w:val="-5"/>
          <w:sz w:val="28"/>
          <w:szCs w:val="28"/>
          <w:u w:val="single" w:color="auto"/>
        </w:rPr>
        <w:t>月</w:t>
      </w:r>
      <w:r>
        <w:rPr>
          <w:rFonts w:hint="eastAsia"/>
          <w:spacing w:val="27"/>
          <w:sz w:val="28"/>
          <w:szCs w:val="28"/>
          <w:u w:val="single" w:color="auto"/>
          <w:lang w:val="en-US" w:eastAsia="zh-CN"/>
        </w:rPr>
        <w:t>21</w:t>
      </w:r>
      <w:r>
        <w:rPr>
          <w:spacing w:val="-6"/>
          <w:sz w:val="28"/>
          <w:szCs w:val="28"/>
          <w:u w:val="single" w:color="auto"/>
        </w:rPr>
        <w:t>日印发</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sectPr>
      <w:headerReference r:id="rId5" w:type="default"/>
      <w:footerReference r:id="rId6" w:type="default"/>
      <w:pgSz w:w="11906" w:h="16839"/>
      <w:pgMar w:top="2098" w:right="1474" w:bottom="1984" w:left="1587" w:header="0" w:footer="8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RjNzFjMmE3NjYxMzE4MWZlMmY5MmQzNTdlMTNlYzUifQ=="/>
  </w:docVars>
  <w:rsids>
    <w:rsidRoot w:val="00000000"/>
    <w:rsid w:val="17E66289"/>
    <w:rsid w:val="28C84E00"/>
    <w:rsid w:val="41475BA2"/>
    <w:rsid w:val="43D75562"/>
    <w:rsid w:val="5110598B"/>
    <w:rsid w:val="5A25466A"/>
    <w:rsid w:val="5FDD37BA"/>
    <w:rsid w:val="6A7D0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autoRedefine/>
    <w:qFormat/>
    <w:uiPriority w:val="99"/>
    <w:pPr>
      <w:widowControl/>
      <w:spacing w:before="100" w:beforeAutospacing="1" w:after="100" w:afterAutospacing="1" w:line="288" w:lineRule="auto"/>
      <w:jc w:val="left"/>
    </w:pPr>
    <w:rPr>
      <w:rFonts w:ascii="宋体" w:hAnsi="宋体" w:cs="宋体"/>
      <w:color w:val="000000"/>
      <w:kern w:val="0"/>
      <w:sz w:val="24"/>
      <w:szCs w:val="24"/>
    </w:rPr>
  </w:style>
  <w:style w:type="character" w:styleId="8">
    <w:name w:val="page number"/>
    <w:autoRedefine/>
    <w:qFormat/>
    <w:uiPriority w:val="99"/>
    <w:rPr>
      <w:rFonts w:cs="Times New Roman"/>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2023-09-04T10:12:00Z</dcterms:created>
  <dc:creator>Administrator</dc:creator>
  <cp:lastModifiedBy>王娅</cp:lastModifiedBy>
  <dcterms:modified xsi:type="dcterms:W3CDTF">2024-02-21T08:06:32Z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2024-02-07T16:35:01Z</vt:filetime>
  </property>
  <property fmtid="{D5CDD505-2E9C-101B-9397-08002B2CF9AE}" pid="4" name="KSOProductBuildVer">
    <vt:lpwstr>2052-12.1.0.16250</vt:lpwstr>
  </property>
  <property fmtid="{D5CDD505-2E9C-101B-9397-08002B2CF9AE}" pid="5" name="ICV">
    <vt:lpwstr>C3C3A1B303C44B0DB2B4DF7B9C6A4EF8_13</vt:lpwstr>
  </property>
</Properties>
</file>