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jc w:val="center"/>
        <w:rPr>
          <w:rFonts w:ascii="方正小标宋_GBK" w:eastAsia="方正小标宋_GBK"/>
          <w:b w:val="0"/>
          <w:bCs w:val="0"/>
          <w:color w:val="000000"/>
        </w:rPr>
      </w:pPr>
      <w:r>
        <w:rPr>
          <w:rFonts w:hint="eastAsia" w:ascii="方正小标宋_GBK" w:eastAsia="方正小标宋_GBK"/>
          <w:b w:val="0"/>
          <w:bCs w:val="0"/>
          <w:color w:val="000000"/>
        </w:rPr>
        <w:t>青岛西海岸新区行政审批服务局</w:t>
      </w:r>
    </w:p>
    <w:p>
      <w:pPr>
        <w:pStyle w:val="2"/>
        <w:spacing w:before="0" w:after="0" w:line="560" w:lineRule="exact"/>
        <w:jc w:val="center"/>
        <w:rPr>
          <w:rFonts w:ascii="方正小标宋_GBK" w:eastAsia="方正小标宋_GBK"/>
          <w:b w:val="0"/>
          <w:bCs w:val="0"/>
          <w:color w:val="000000"/>
        </w:rPr>
      </w:pPr>
      <w:r>
        <w:rPr>
          <w:rFonts w:hint="eastAsia" w:ascii="方正小标宋_GBK" w:eastAsia="方正小标宋_GBK"/>
          <w:b w:val="0"/>
          <w:bCs w:val="0"/>
          <w:color w:val="000000"/>
        </w:rPr>
        <w:t>2019年政府信息公开工作年度报告</w:t>
      </w:r>
    </w:p>
    <w:p>
      <w:pPr>
        <w:snapToGrid w:val="0"/>
        <w:spacing w:line="560" w:lineRule="exact"/>
        <w:jc w:val="left"/>
        <w:rPr>
          <w:rFonts w:ascii="仿宋_GB2312" w:eastAsia="仿宋_GB2312"/>
          <w:color w:val="000000"/>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本年度报告根据《中华人民共和国政府信息公开条例》（以下简称《条例》）</w:t>
      </w:r>
      <w:r>
        <w:rPr>
          <w:rFonts w:hint="eastAsia" w:ascii="仿宋_GB2312" w:eastAsia="仿宋_GB2312"/>
          <w:sz w:val="32"/>
          <w:szCs w:val="32"/>
          <w:lang w:eastAsia="zh-CN"/>
        </w:rPr>
        <w:t>和新区政务公开有关要求编制</w:t>
      </w:r>
      <w:r>
        <w:rPr>
          <w:rFonts w:hint="eastAsia" w:ascii="仿宋_GB2312" w:eastAsia="仿宋_GB2312"/>
          <w:sz w:val="32"/>
          <w:szCs w:val="32"/>
        </w:rPr>
        <w:t>。本报告由总体情况、主动公开政务信息情况、收到和处理政府信息公开申请情况、政府信息公开行政复议</w:t>
      </w:r>
      <w:r>
        <w:rPr>
          <w:rFonts w:hint="eastAsia" w:ascii="仿宋_GB2312" w:eastAsia="仿宋_GB2312"/>
          <w:sz w:val="32"/>
          <w:szCs w:val="32"/>
          <w:lang w:eastAsia="zh-CN"/>
        </w:rPr>
        <w:t>和</w:t>
      </w:r>
      <w:r>
        <w:rPr>
          <w:rFonts w:hint="eastAsia" w:ascii="仿宋_GB2312" w:eastAsia="仿宋_GB2312"/>
          <w:sz w:val="32"/>
          <w:szCs w:val="32"/>
        </w:rPr>
        <w:t>行政诉讼情况、存在</w:t>
      </w:r>
      <w:r>
        <w:rPr>
          <w:rFonts w:ascii="仿宋_GB2312" w:eastAsia="仿宋_GB2312"/>
          <w:sz w:val="32"/>
          <w:szCs w:val="32"/>
        </w:rPr>
        <w:t>的主要问题及改进措施</w:t>
      </w:r>
      <w:r>
        <w:rPr>
          <w:rFonts w:hint="eastAsia" w:ascii="仿宋_GB2312" w:eastAsia="仿宋_GB2312"/>
          <w:sz w:val="32"/>
          <w:szCs w:val="32"/>
          <w:lang w:eastAsia="zh-CN"/>
        </w:rPr>
        <w:t>共五个</w:t>
      </w:r>
      <w:r>
        <w:rPr>
          <w:rFonts w:ascii="仿宋_GB2312" w:eastAsia="仿宋_GB2312"/>
          <w:sz w:val="32"/>
          <w:szCs w:val="32"/>
        </w:rPr>
        <w:t>部分组成。</w:t>
      </w:r>
      <w:r>
        <w:rPr>
          <w:rFonts w:hint="eastAsia" w:ascii="仿宋_GB2312" w:eastAsia="仿宋_GB2312"/>
          <w:sz w:val="32"/>
          <w:szCs w:val="32"/>
        </w:rPr>
        <w:t>报告数据统计时间为201</w:t>
      </w:r>
      <w:r>
        <w:rPr>
          <w:rFonts w:hint="eastAsia" w:ascii="仿宋_GB2312" w:eastAsia="仿宋_GB2312"/>
          <w:sz w:val="32"/>
          <w:szCs w:val="32"/>
          <w:lang w:val="en-US" w:eastAsia="zh-CN"/>
        </w:rPr>
        <w:t>9</w:t>
      </w:r>
      <w:r>
        <w:rPr>
          <w:rFonts w:hint="eastAsia" w:ascii="仿宋_GB2312" w:eastAsia="仿宋_GB2312"/>
          <w:sz w:val="32"/>
          <w:szCs w:val="32"/>
        </w:rPr>
        <w:t>年1月1日至201</w:t>
      </w:r>
      <w:r>
        <w:rPr>
          <w:rFonts w:hint="eastAsia" w:ascii="仿宋_GB2312" w:eastAsia="仿宋_GB2312"/>
          <w:sz w:val="32"/>
          <w:szCs w:val="32"/>
          <w:lang w:val="en-US" w:eastAsia="zh-CN"/>
        </w:rPr>
        <w:t>9</w:t>
      </w:r>
      <w:r>
        <w:rPr>
          <w:rFonts w:hint="eastAsia" w:ascii="仿宋_GB2312" w:eastAsia="仿宋_GB2312"/>
          <w:sz w:val="32"/>
          <w:szCs w:val="32"/>
        </w:rPr>
        <w:t>年12月31日。如对本报告有任何疑问，请与区行政</w:t>
      </w:r>
      <w:r>
        <w:rPr>
          <w:rFonts w:hint="eastAsia" w:ascii="仿宋_GB2312" w:eastAsia="仿宋_GB2312"/>
          <w:sz w:val="32"/>
          <w:szCs w:val="32"/>
          <w:lang w:eastAsia="zh-CN"/>
        </w:rPr>
        <w:t>审批</w:t>
      </w:r>
      <w:r>
        <w:rPr>
          <w:rFonts w:hint="eastAsia" w:ascii="仿宋_GB2312" w:eastAsia="仿宋_GB2312"/>
          <w:sz w:val="32"/>
          <w:szCs w:val="32"/>
        </w:rPr>
        <w:t>服务局政府信息公开领导小组办公室联系（地址：青岛西海岸新区双珠路166号2号楼918室；邮编：266400；电话：0532-85166703）。</w:t>
      </w:r>
    </w:p>
    <w:p>
      <w:pPr>
        <w:snapToGrid w:val="0"/>
        <w:spacing w:line="560" w:lineRule="exact"/>
        <w:ind w:firstLine="640"/>
        <w:jc w:val="left"/>
        <w:rPr>
          <w:rFonts w:ascii="黑体" w:hAnsi="黑体" w:eastAsia="黑体"/>
          <w:color w:val="000000"/>
          <w:sz w:val="32"/>
          <w:szCs w:val="32"/>
        </w:rPr>
      </w:pPr>
      <w:r>
        <w:rPr>
          <w:rFonts w:hint="eastAsia" w:ascii="黑体" w:hAnsi="黑体" w:eastAsia="黑体"/>
          <w:color w:val="000000"/>
          <w:sz w:val="32"/>
          <w:szCs w:val="32"/>
        </w:rPr>
        <w:t>一、总体情况</w:t>
      </w:r>
    </w:p>
    <w:p>
      <w:pPr>
        <w:snapToGrid w:val="0"/>
        <w:spacing w:line="560" w:lineRule="exact"/>
        <w:ind w:firstLine="640" w:firstLineChars="200"/>
        <w:rPr>
          <w:rFonts w:hint="eastAsia" w:ascii="仿宋_GB2312" w:eastAsia="仿宋_GB2312"/>
          <w:sz w:val="32"/>
          <w:szCs w:val="32"/>
        </w:rPr>
      </w:pPr>
      <w:r>
        <w:rPr>
          <w:rFonts w:hint="eastAsia" w:ascii="华文楷体" w:hAnsi="华文楷体" w:eastAsia="华文楷体" w:cs="华文楷体"/>
          <w:sz w:val="32"/>
          <w:szCs w:val="32"/>
          <w:lang w:eastAsia="zh-CN"/>
        </w:rPr>
        <w:t>（一）信息主动公开方面。</w:t>
      </w:r>
      <w:r>
        <w:rPr>
          <w:rFonts w:hint="eastAsia" w:ascii="仿宋_GB2312" w:eastAsia="仿宋_GB2312"/>
          <w:sz w:val="32"/>
          <w:szCs w:val="32"/>
        </w:rPr>
        <w:t>2019年区行政审批服务局通过LED屏播放、宣传栏公示、印发明白纸、编印《行政审批文件汇编》、《公共资源交易文件汇编》和《便民服务指南》、设立审批服务事项二维码清单、网络和微信服务号公示、公开咨询和监督举报电话、增设多个自助查询区域和查询触摸屏等途径，及时发布解读行政审批、“放管服”改革相关政策规定，积极</w:t>
      </w:r>
      <w:r>
        <w:rPr>
          <w:rFonts w:hint="eastAsia" w:ascii="仿宋_GB2312" w:hAnsi="仿宋_GB2312" w:eastAsia="仿宋_GB2312" w:cs="仿宋_GB2312"/>
          <w:sz w:val="32"/>
          <w:szCs w:val="32"/>
        </w:rPr>
        <w:t>参加“行风在线”等活动，通过节目访谈解读政务服务内容、答复公众疑</w:t>
      </w:r>
      <w:r>
        <w:rPr>
          <w:rFonts w:hint="eastAsia" w:ascii="仿宋_GB2312" w:eastAsia="仿宋_GB2312"/>
          <w:sz w:val="32"/>
          <w:szCs w:val="32"/>
        </w:rPr>
        <w:t>惑、回应社会关切。</w:t>
      </w:r>
    </w:p>
    <w:p>
      <w:pPr>
        <w:snapToGrid w:val="0"/>
        <w:spacing w:line="560" w:lineRule="exact"/>
        <w:ind w:firstLine="640" w:firstLineChars="200"/>
        <w:rPr>
          <w:rFonts w:hint="eastAsia" w:ascii="仿宋_GB2312" w:eastAsia="仿宋_GB2312"/>
          <w:sz w:val="32"/>
          <w:szCs w:val="32"/>
        </w:rPr>
      </w:pPr>
      <w:r>
        <w:rPr>
          <w:rFonts w:hint="eastAsia" w:ascii="华文楷体" w:hAnsi="华文楷体" w:eastAsia="华文楷体" w:cs="华文楷体"/>
          <w:sz w:val="32"/>
          <w:szCs w:val="32"/>
          <w:lang w:eastAsia="zh-CN"/>
        </w:rPr>
        <w:t>（二）建议和提案办理方面。</w:t>
      </w:r>
      <w:r>
        <w:rPr>
          <w:rFonts w:hint="eastAsia" w:ascii="仿宋_GB2312" w:eastAsia="仿宋_GB2312"/>
          <w:sz w:val="32"/>
          <w:szCs w:val="32"/>
        </w:rPr>
        <w:t>2019 年我局共办理区二届人大三次会议代表建议 3 件，其中我局主办 1 件，协办 2 件。办理政协提案 11 件，其中我局主办 2 件，协办 9 件。所有主办件均在 5 月 31 日前办理完毕并向代表面复，面复满意率达 100%</w:t>
      </w:r>
      <w:r>
        <w:rPr>
          <w:rFonts w:hint="eastAsia" w:ascii="仿宋_GB2312" w:eastAsia="仿宋_GB2312"/>
          <w:sz w:val="32"/>
          <w:szCs w:val="32"/>
          <w:lang w:eastAsia="zh-CN"/>
        </w:rPr>
        <w:t>。</w:t>
      </w:r>
      <w:r>
        <w:rPr>
          <w:rFonts w:hint="eastAsia" w:ascii="仿宋_GB2312" w:eastAsia="仿宋_GB2312"/>
          <w:sz w:val="32"/>
          <w:szCs w:val="32"/>
        </w:rPr>
        <w:t>所有建议提案均通过督办系统反馈上报，定期向代表委员沟通汇报办理进展情况。</w:t>
      </w:r>
    </w:p>
    <w:p>
      <w:pPr>
        <w:spacing w:line="540" w:lineRule="exact"/>
        <w:ind w:firstLine="640" w:firstLineChars="200"/>
        <w:rPr>
          <w:rFonts w:hint="eastAsia" w:ascii="仿宋_GB2312" w:eastAsia="仿宋_GB2312"/>
          <w:sz w:val="32"/>
          <w:szCs w:val="32"/>
        </w:rPr>
      </w:pPr>
      <w:r>
        <w:rPr>
          <w:rFonts w:hint="eastAsia" w:ascii="华文楷体" w:hAnsi="华文楷体" w:eastAsia="华文楷体" w:cs="华文楷体"/>
          <w:sz w:val="32"/>
          <w:szCs w:val="32"/>
          <w:lang w:eastAsia="zh-CN"/>
        </w:rPr>
        <w:t>（三）监督检查方面。</w:t>
      </w:r>
      <w:r>
        <w:rPr>
          <w:rFonts w:hint="eastAsia" w:ascii="仿宋_GB2312" w:eastAsia="仿宋_GB2312"/>
          <w:sz w:val="32"/>
          <w:szCs w:val="32"/>
        </w:rPr>
        <w:t>成立了保密工作领导小组，分别落实领导干部及各职能科室负责人保密工作责任；进一步修定完善《信息公开保密审查制度》，对保密职责、保密范围、保密措施做出具体规定；建立健全政务信息上报审核制度，工作中严格遵守“谁公开、谁审查”、“谁审查、谁负责”和“先审查、后公开”的原则；设立监督投诉电话0532-85166703，加强对政府信息公开工作的监督。</w:t>
      </w:r>
    </w:p>
    <w:p>
      <w:pPr>
        <w:snapToGrid w:val="0"/>
        <w:spacing w:line="560" w:lineRule="exact"/>
        <w:ind w:firstLine="640"/>
        <w:jc w:val="left"/>
        <w:rPr>
          <w:rFonts w:ascii="黑体" w:hAnsi="黑体" w:eastAsia="黑体"/>
          <w:color w:val="000000"/>
          <w:sz w:val="32"/>
          <w:szCs w:val="32"/>
        </w:rPr>
      </w:pPr>
      <w:r>
        <w:rPr>
          <w:rFonts w:hint="eastAsia" w:ascii="黑体" w:hAnsi="黑体" w:eastAsia="黑体"/>
          <w:color w:val="000000"/>
          <w:sz w:val="32"/>
          <w:szCs w:val="32"/>
        </w:rPr>
        <w:t>二、主动公开政府信息情况</w:t>
      </w:r>
    </w:p>
    <w:p>
      <w:pPr>
        <w:snapToGrid w:val="0"/>
        <w:spacing w:line="220" w:lineRule="exact"/>
        <w:jc w:val="left"/>
        <w:rPr>
          <w:rFonts w:ascii="黑体" w:hAnsi="黑体" w:eastAsia="黑体"/>
          <w:color w:val="000000"/>
          <w:sz w:val="16"/>
          <w:szCs w:val="16"/>
        </w:rPr>
      </w:pPr>
    </w:p>
    <w:tbl>
      <w:tblPr>
        <w:tblStyle w:val="6"/>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40"/>
        <w:gridCol w:w="2098"/>
        <w:gridCol w:w="2133"/>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039" w:type="dxa"/>
            <w:gridSpan w:val="4"/>
            <w:noWrap/>
            <w:vAlign w:val="center"/>
          </w:tcPr>
          <w:p>
            <w:pPr>
              <w:jc w:val="center"/>
              <w:rPr>
                <w:rFonts w:ascii="黑体" w:hAnsi="黑体" w:eastAsia="黑体"/>
                <w:sz w:val="22"/>
                <w:szCs w:val="22"/>
              </w:rPr>
            </w:pPr>
            <w:r>
              <w:rPr>
                <w:rFonts w:hint="eastAsia" w:ascii="黑体" w:hAnsi="黑体" w:eastAsia="黑体"/>
                <w:sz w:val="22"/>
                <w:szCs w:val="22"/>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2540" w:type="dxa"/>
            <w:noWrap/>
            <w:vAlign w:val="center"/>
          </w:tcPr>
          <w:p>
            <w:pPr>
              <w:jc w:val="center"/>
              <w:rPr>
                <w:rFonts w:ascii="黑体" w:hAnsi="黑体" w:eastAsia="黑体"/>
                <w:sz w:val="22"/>
                <w:szCs w:val="22"/>
              </w:rPr>
            </w:pPr>
            <w:r>
              <w:rPr>
                <w:rFonts w:hint="eastAsia" w:ascii="黑体" w:hAnsi="黑体" w:eastAsia="黑体"/>
                <w:sz w:val="22"/>
                <w:szCs w:val="22"/>
              </w:rPr>
              <w:t>信息内容</w:t>
            </w:r>
          </w:p>
        </w:tc>
        <w:tc>
          <w:tcPr>
            <w:tcW w:w="2098" w:type="dxa"/>
            <w:noWrap/>
            <w:vAlign w:val="center"/>
          </w:tcPr>
          <w:p>
            <w:pPr>
              <w:jc w:val="center"/>
              <w:rPr>
                <w:rFonts w:ascii="黑体" w:hAnsi="黑体" w:eastAsia="黑体"/>
                <w:sz w:val="22"/>
                <w:szCs w:val="22"/>
              </w:rPr>
            </w:pPr>
            <w:r>
              <w:rPr>
                <w:rFonts w:hint="eastAsia" w:ascii="黑体" w:hAnsi="黑体" w:eastAsia="黑体"/>
                <w:sz w:val="22"/>
                <w:szCs w:val="22"/>
              </w:rPr>
              <w:t>上一年项目数量</w:t>
            </w:r>
          </w:p>
        </w:tc>
        <w:tc>
          <w:tcPr>
            <w:tcW w:w="2133" w:type="dxa"/>
            <w:vAlign w:val="center"/>
          </w:tcPr>
          <w:p>
            <w:pPr>
              <w:jc w:val="center"/>
              <w:rPr>
                <w:rFonts w:ascii="黑体" w:hAnsi="黑体" w:eastAsia="黑体"/>
                <w:sz w:val="22"/>
                <w:szCs w:val="22"/>
              </w:rPr>
            </w:pPr>
            <w:r>
              <w:rPr>
                <w:rFonts w:hint="eastAsia" w:ascii="黑体" w:hAnsi="黑体" w:eastAsia="黑体"/>
                <w:sz w:val="22"/>
                <w:szCs w:val="22"/>
              </w:rPr>
              <w:t>本年增/减</w:t>
            </w:r>
          </w:p>
        </w:tc>
        <w:tc>
          <w:tcPr>
            <w:tcW w:w="2268" w:type="dxa"/>
            <w:noWrap/>
            <w:vAlign w:val="center"/>
          </w:tcPr>
          <w:p>
            <w:pPr>
              <w:jc w:val="center"/>
              <w:rPr>
                <w:rFonts w:ascii="黑体" w:hAnsi="黑体" w:eastAsia="黑体"/>
                <w:sz w:val="22"/>
                <w:szCs w:val="22"/>
              </w:rPr>
            </w:pPr>
            <w:r>
              <w:rPr>
                <w:rFonts w:hint="eastAsia" w:ascii="黑体" w:hAnsi="黑体" w:eastAsia="黑体"/>
                <w:sz w:val="22"/>
                <w:szCs w:val="22"/>
              </w:rPr>
              <w:t>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2540" w:type="dxa"/>
            <w:noWrap/>
            <w:vAlign w:val="center"/>
          </w:tcPr>
          <w:p>
            <w:pPr>
              <w:jc w:val="center"/>
              <w:rPr>
                <w:rFonts w:ascii="黑体" w:hAnsi="黑体" w:eastAsia="黑体"/>
                <w:sz w:val="22"/>
                <w:szCs w:val="22"/>
              </w:rPr>
            </w:pPr>
            <w:r>
              <w:rPr>
                <w:rFonts w:hint="eastAsia" w:ascii="黑体" w:hAnsi="黑体" w:eastAsia="黑体"/>
                <w:sz w:val="22"/>
                <w:szCs w:val="22"/>
              </w:rPr>
              <w:t>行政许可</w:t>
            </w:r>
          </w:p>
        </w:tc>
        <w:tc>
          <w:tcPr>
            <w:tcW w:w="2098" w:type="dxa"/>
            <w:noWrap/>
            <w:vAlign w:val="center"/>
          </w:tcPr>
          <w:p>
            <w:pPr>
              <w:jc w:val="center"/>
              <w:rPr>
                <w:rFonts w:ascii="黑体" w:hAnsi="黑体" w:eastAsia="黑体"/>
                <w:sz w:val="22"/>
                <w:szCs w:val="22"/>
              </w:rPr>
            </w:pPr>
            <w:r>
              <w:rPr>
                <w:rFonts w:hint="eastAsia" w:ascii="黑体" w:hAnsi="黑体" w:eastAsia="黑体"/>
                <w:sz w:val="22"/>
                <w:szCs w:val="22"/>
              </w:rPr>
              <w:t>0</w:t>
            </w:r>
          </w:p>
        </w:tc>
        <w:tc>
          <w:tcPr>
            <w:tcW w:w="2133" w:type="dxa"/>
            <w:noWrap/>
            <w:vAlign w:val="center"/>
          </w:tcPr>
          <w:p>
            <w:pPr>
              <w:jc w:val="center"/>
              <w:rPr>
                <w:rFonts w:ascii="黑体" w:hAnsi="黑体" w:eastAsia="黑体"/>
                <w:sz w:val="22"/>
                <w:szCs w:val="22"/>
              </w:rPr>
            </w:pPr>
            <w:r>
              <w:rPr>
                <w:rFonts w:hint="eastAsia" w:ascii="黑体" w:hAnsi="黑体" w:eastAsia="黑体"/>
                <w:sz w:val="22"/>
                <w:szCs w:val="22"/>
              </w:rPr>
              <w:t>451（增加）</w:t>
            </w:r>
          </w:p>
        </w:tc>
        <w:tc>
          <w:tcPr>
            <w:tcW w:w="2268" w:type="dxa"/>
            <w:noWrap/>
            <w:vAlign w:val="center"/>
          </w:tcPr>
          <w:p>
            <w:pPr>
              <w:jc w:val="center"/>
              <w:rPr>
                <w:rFonts w:ascii="黑体" w:hAnsi="黑体" w:eastAsia="黑体"/>
                <w:sz w:val="22"/>
                <w:szCs w:val="22"/>
              </w:rPr>
            </w:pPr>
            <w:r>
              <w:rPr>
                <w:rFonts w:hint="eastAsia" w:ascii="黑体" w:hAnsi="黑体" w:eastAsia="黑体"/>
                <w:sz w:val="22"/>
                <w:szCs w:val="22"/>
              </w:rPr>
              <w:t>85245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2540" w:type="dxa"/>
            <w:noWrap/>
            <w:vAlign w:val="center"/>
          </w:tcPr>
          <w:p>
            <w:pPr>
              <w:jc w:val="center"/>
              <w:rPr>
                <w:rFonts w:ascii="黑体" w:hAnsi="黑体" w:eastAsia="黑体"/>
                <w:sz w:val="22"/>
                <w:szCs w:val="22"/>
              </w:rPr>
            </w:pPr>
            <w:r>
              <w:rPr>
                <w:rFonts w:hint="eastAsia" w:ascii="黑体" w:hAnsi="黑体" w:eastAsia="黑体"/>
                <w:sz w:val="22"/>
                <w:szCs w:val="22"/>
              </w:rPr>
              <w:t>其他对外管理服务事项</w:t>
            </w:r>
          </w:p>
        </w:tc>
        <w:tc>
          <w:tcPr>
            <w:tcW w:w="2098" w:type="dxa"/>
            <w:noWrap/>
            <w:vAlign w:val="center"/>
          </w:tcPr>
          <w:p>
            <w:pPr>
              <w:jc w:val="center"/>
              <w:rPr>
                <w:rFonts w:ascii="黑体" w:hAnsi="黑体" w:eastAsia="黑体"/>
                <w:sz w:val="22"/>
                <w:szCs w:val="22"/>
              </w:rPr>
            </w:pPr>
            <w:r>
              <w:rPr>
                <w:rFonts w:hint="eastAsia" w:ascii="黑体" w:hAnsi="黑体" w:eastAsia="黑体"/>
                <w:sz w:val="22"/>
                <w:szCs w:val="22"/>
              </w:rPr>
              <w:t>0</w:t>
            </w:r>
          </w:p>
        </w:tc>
        <w:tc>
          <w:tcPr>
            <w:tcW w:w="2133" w:type="dxa"/>
            <w:noWrap/>
            <w:vAlign w:val="center"/>
          </w:tcPr>
          <w:p>
            <w:pPr>
              <w:jc w:val="center"/>
              <w:rPr>
                <w:rFonts w:ascii="黑体" w:hAnsi="黑体" w:eastAsia="黑体"/>
                <w:sz w:val="22"/>
                <w:szCs w:val="22"/>
              </w:rPr>
            </w:pPr>
            <w:r>
              <w:rPr>
                <w:rFonts w:hint="eastAsia" w:ascii="黑体" w:hAnsi="黑体" w:eastAsia="黑体"/>
                <w:sz w:val="22"/>
                <w:szCs w:val="22"/>
              </w:rPr>
              <w:t xml:space="preserve"> 83（增加）</w:t>
            </w:r>
          </w:p>
        </w:tc>
        <w:tc>
          <w:tcPr>
            <w:tcW w:w="2268" w:type="dxa"/>
            <w:noWrap/>
            <w:vAlign w:val="center"/>
          </w:tcPr>
          <w:p>
            <w:pPr>
              <w:jc w:val="center"/>
              <w:rPr>
                <w:rFonts w:ascii="黑体" w:hAnsi="黑体" w:eastAsia="黑体"/>
                <w:sz w:val="22"/>
                <w:szCs w:val="22"/>
              </w:rPr>
            </w:pPr>
            <w:r>
              <w:rPr>
                <w:rFonts w:hint="eastAsia" w:ascii="黑体" w:hAnsi="黑体" w:eastAsia="黑体"/>
                <w:sz w:val="22"/>
                <w:szCs w:val="22"/>
              </w:rPr>
              <w:t>30752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039" w:type="dxa"/>
            <w:gridSpan w:val="4"/>
            <w:noWrap/>
            <w:vAlign w:val="center"/>
          </w:tcPr>
          <w:p>
            <w:pPr>
              <w:jc w:val="center"/>
              <w:rPr>
                <w:rFonts w:ascii="黑体" w:hAnsi="黑体" w:eastAsia="黑体"/>
                <w:sz w:val="22"/>
                <w:szCs w:val="22"/>
              </w:rPr>
            </w:pPr>
            <w:r>
              <w:rPr>
                <w:rFonts w:hint="eastAsia" w:ascii="黑体" w:hAnsi="黑体" w:eastAsia="黑体"/>
                <w:sz w:val="22"/>
                <w:szCs w:val="22"/>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540" w:type="dxa"/>
            <w:noWrap/>
            <w:vAlign w:val="center"/>
          </w:tcPr>
          <w:p>
            <w:pPr>
              <w:jc w:val="center"/>
              <w:rPr>
                <w:rFonts w:ascii="黑体" w:hAnsi="黑体" w:eastAsia="黑体"/>
                <w:sz w:val="22"/>
                <w:szCs w:val="22"/>
              </w:rPr>
            </w:pPr>
            <w:r>
              <w:rPr>
                <w:rFonts w:hint="eastAsia" w:ascii="黑体" w:hAnsi="黑体" w:eastAsia="黑体"/>
                <w:sz w:val="22"/>
                <w:szCs w:val="22"/>
              </w:rPr>
              <w:t>信息内容</w:t>
            </w:r>
          </w:p>
        </w:tc>
        <w:tc>
          <w:tcPr>
            <w:tcW w:w="2098" w:type="dxa"/>
            <w:noWrap/>
            <w:vAlign w:val="center"/>
          </w:tcPr>
          <w:p>
            <w:pPr>
              <w:jc w:val="center"/>
              <w:rPr>
                <w:rFonts w:ascii="黑体" w:hAnsi="黑体" w:eastAsia="黑体"/>
                <w:sz w:val="22"/>
                <w:szCs w:val="22"/>
              </w:rPr>
            </w:pPr>
            <w:r>
              <w:rPr>
                <w:rFonts w:hint="eastAsia" w:ascii="黑体" w:hAnsi="黑体" w:eastAsia="黑体"/>
                <w:sz w:val="22"/>
                <w:szCs w:val="22"/>
              </w:rPr>
              <w:t>上一年项目数量</w:t>
            </w:r>
          </w:p>
        </w:tc>
        <w:tc>
          <w:tcPr>
            <w:tcW w:w="4401" w:type="dxa"/>
            <w:gridSpan w:val="2"/>
            <w:noWrap/>
            <w:vAlign w:val="center"/>
          </w:tcPr>
          <w:p>
            <w:pPr>
              <w:jc w:val="center"/>
              <w:rPr>
                <w:rFonts w:ascii="黑体" w:hAnsi="黑体" w:eastAsia="黑体"/>
                <w:sz w:val="22"/>
                <w:szCs w:val="22"/>
              </w:rPr>
            </w:pPr>
            <w:r>
              <w:rPr>
                <w:rFonts w:hint="eastAsia" w:ascii="黑体" w:hAnsi="黑体" w:eastAsia="黑体"/>
                <w:sz w:val="22"/>
                <w:szCs w:val="22"/>
              </w:rPr>
              <w:t>本年增/减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2540" w:type="dxa"/>
            <w:noWrap/>
            <w:vAlign w:val="center"/>
          </w:tcPr>
          <w:p>
            <w:pPr>
              <w:jc w:val="center"/>
              <w:rPr>
                <w:rFonts w:ascii="黑体" w:hAnsi="黑体" w:eastAsia="黑体"/>
                <w:sz w:val="22"/>
                <w:szCs w:val="22"/>
              </w:rPr>
            </w:pPr>
            <w:r>
              <w:rPr>
                <w:rFonts w:hint="eastAsia" w:ascii="黑体" w:hAnsi="黑体" w:eastAsia="黑体"/>
                <w:sz w:val="22"/>
                <w:szCs w:val="22"/>
              </w:rPr>
              <w:t>行政事业性收费</w:t>
            </w:r>
          </w:p>
        </w:tc>
        <w:tc>
          <w:tcPr>
            <w:tcW w:w="2098" w:type="dxa"/>
            <w:noWrap/>
            <w:vAlign w:val="center"/>
          </w:tcPr>
          <w:p>
            <w:pPr>
              <w:jc w:val="center"/>
              <w:rPr>
                <w:rFonts w:ascii="黑体" w:hAnsi="黑体" w:eastAsia="黑体"/>
                <w:sz w:val="22"/>
                <w:szCs w:val="22"/>
              </w:rPr>
            </w:pPr>
            <w:r>
              <w:rPr>
                <w:rFonts w:hint="eastAsia" w:ascii="黑体" w:hAnsi="黑体" w:eastAsia="黑体"/>
                <w:sz w:val="22"/>
                <w:szCs w:val="22"/>
              </w:rPr>
              <w:t>0</w:t>
            </w:r>
          </w:p>
        </w:tc>
        <w:tc>
          <w:tcPr>
            <w:tcW w:w="4401" w:type="dxa"/>
            <w:gridSpan w:val="2"/>
            <w:noWrap/>
            <w:vAlign w:val="center"/>
          </w:tcPr>
          <w:p>
            <w:pPr>
              <w:jc w:val="center"/>
              <w:rPr>
                <w:rFonts w:ascii="黑体" w:hAnsi="黑体" w:eastAsia="黑体"/>
                <w:sz w:val="22"/>
                <w:szCs w:val="22"/>
              </w:rPr>
            </w:pPr>
            <w:r>
              <w:rPr>
                <w:rFonts w:hint="eastAsia" w:ascii="黑体" w:hAnsi="黑体" w:eastAsia="黑体"/>
                <w:sz w:val="22"/>
                <w:szCs w:val="22"/>
              </w:rPr>
              <w:t>411（增加）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9039" w:type="dxa"/>
            <w:gridSpan w:val="4"/>
            <w:noWrap/>
            <w:vAlign w:val="center"/>
          </w:tcPr>
          <w:p>
            <w:pPr>
              <w:jc w:val="center"/>
              <w:rPr>
                <w:rFonts w:ascii="黑体" w:hAnsi="黑体" w:eastAsia="黑体"/>
                <w:sz w:val="22"/>
                <w:szCs w:val="22"/>
              </w:rPr>
            </w:pPr>
            <w:r>
              <w:rPr>
                <w:rFonts w:hint="eastAsia" w:ascii="黑体" w:hAnsi="黑体" w:eastAsia="黑体"/>
                <w:sz w:val="22"/>
                <w:szCs w:val="22"/>
              </w:rPr>
              <w:t>第二十条第（九）项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2540" w:type="dxa"/>
            <w:noWrap/>
            <w:vAlign w:val="center"/>
          </w:tcPr>
          <w:p>
            <w:pPr>
              <w:jc w:val="center"/>
              <w:rPr>
                <w:rFonts w:ascii="黑体" w:hAnsi="黑体" w:eastAsia="黑体"/>
                <w:sz w:val="22"/>
                <w:szCs w:val="22"/>
              </w:rPr>
            </w:pPr>
            <w:r>
              <w:rPr>
                <w:rFonts w:hint="eastAsia" w:ascii="黑体" w:hAnsi="黑体" w:eastAsia="黑体"/>
                <w:sz w:val="22"/>
                <w:szCs w:val="22"/>
              </w:rPr>
              <w:t>信息内容</w:t>
            </w:r>
          </w:p>
        </w:tc>
        <w:tc>
          <w:tcPr>
            <w:tcW w:w="2098" w:type="dxa"/>
            <w:noWrap/>
            <w:vAlign w:val="center"/>
          </w:tcPr>
          <w:p>
            <w:pPr>
              <w:jc w:val="center"/>
              <w:rPr>
                <w:rFonts w:ascii="黑体" w:hAnsi="黑体" w:eastAsia="黑体"/>
                <w:sz w:val="22"/>
                <w:szCs w:val="22"/>
              </w:rPr>
            </w:pPr>
            <w:r>
              <w:rPr>
                <w:rFonts w:hint="eastAsia" w:ascii="黑体" w:hAnsi="黑体" w:eastAsia="黑体"/>
                <w:sz w:val="22"/>
                <w:szCs w:val="22"/>
              </w:rPr>
              <w:t>采购项目数量</w:t>
            </w:r>
          </w:p>
        </w:tc>
        <w:tc>
          <w:tcPr>
            <w:tcW w:w="4401" w:type="dxa"/>
            <w:gridSpan w:val="2"/>
            <w:noWrap/>
            <w:vAlign w:val="center"/>
          </w:tcPr>
          <w:p>
            <w:pPr>
              <w:jc w:val="center"/>
              <w:rPr>
                <w:rFonts w:ascii="黑体" w:hAnsi="黑体" w:eastAsia="黑体"/>
                <w:sz w:val="22"/>
                <w:szCs w:val="22"/>
              </w:rPr>
            </w:pPr>
            <w:r>
              <w:rPr>
                <w:rFonts w:hint="eastAsia" w:ascii="黑体" w:hAnsi="黑体" w:eastAsia="黑体"/>
                <w:sz w:val="22"/>
                <w:szCs w:val="22"/>
              </w:rPr>
              <w:t>采购总金额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540" w:type="dxa"/>
            <w:noWrap/>
            <w:vAlign w:val="center"/>
          </w:tcPr>
          <w:p>
            <w:pPr>
              <w:jc w:val="center"/>
              <w:rPr>
                <w:rFonts w:ascii="黑体" w:hAnsi="黑体" w:eastAsia="黑体"/>
                <w:sz w:val="22"/>
                <w:szCs w:val="22"/>
              </w:rPr>
            </w:pPr>
            <w:r>
              <w:rPr>
                <w:rFonts w:hint="eastAsia" w:ascii="黑体" w:hAnsi="黑体" w:eastAsia="黑体"/>
                <w:sz w:val="22"/>
                <w:szCs w:val="22"/>
              </w:rPr>
              <w:t>政府集中采购</w:t>
            </w:r>
          </w:p>
        </w:tc>
        <w:tc>
          <w:tcPr>
            <w:tcW w:w="2098" w:type="dxa"/>
            <w:noWrap/>
            <w:vAlign w:val="center"/>
          </w:tcPr>
          <w:p>
            <w:pPr>
              <w:jc w:val="center"/>
              <w:rPr>
                <w:rFonts w:ascii="黑体" w:hAnsi="黑体" w:eastAsia="黑体"/>
                <w:sz w:val="22"/>
                <w:szCs w:val="22"/>
              </w:rPr>
            </w:pPr>
            <w:r>
              <w:rPr>
                <w:rFonts w:hint="eastAsia" w:ascii="黑体" w:hAnsi="黑体" w:eastAsia="黑体"/>
                <w:sz w:val="22"/>
                <w:szCs w:val="22"/>
              </w:rPr>
              <w:t>26</w:t>
            </w:r>
          </w:p>
        </w:tc>
        <w:tc>
          <w:tcPr>
            <w:tcW w:w="4401" w:type="dxa"/>
            <w:gridSpan w:val="2"/>
            <w:noWrap/>
            <w:vAlign w:val="center"/>
          </w:tcPr>
          <w:p>
            <w:pPr>
              <w:jc w:val="center"/>
              <w:rPr>
                <w:rFonts w:ascii="黑体" w:hAnsi="黑体" w:eastAsia="黑体"/>
                <w:sz w:val="22"/>
                <w:szCs w:val="22"/>
              </w:rPr>
            </w:pPr>
            <w:r>
              <w:rPr>
                <w:rFonts w:hint="eastAsia" w:ascii="黑体" w:hAnsi="黑体" w:eastAsia="黑体"/>
                <w:sz w:val="22"/>
                <w:szCs w:val="22"/>
              </w:rPr>
              <w:t>9401809元</w:t>
            </w:r>
          </w:p>
        </w:tc>
      </w:tr>
    </w:tbl>
    <w:p>
      <w:pPr>
        <w:snapToGrid w:val="0"/>
        <w:spacing w:line="560" w:lineRule="exact"/>
        <w:jc w:val="left"/>
        <w:rPr>
          <w:rFonts w:ascii="黑体" w:hAnsi="黑体" w:eastAsia="黑体"/>
          <w:color w:val="000000"/>
          <w:sz w:val="32"/>
          <w:szCs w:val="32"/>
        </w:rPr>
      </w:pPr>
      <w:r>
        <w:rPr>
          <w:rFonts w:hint="eastAsia" w:ascii="黑体" w:hAnsi="黑体" w:eastAsia="黑体"/>
          <w:color w:val="000000"/>
          <w:sz w:val="32"/>
          <w:szCs w:val="32"/>
        </w:rPr>
        <w:t>　三、收到和处理政府信息公开申请情况</w:t>
      </w:r>
    </w:p>
    <w:p>
      <w:pPr>
        <w:snapToGrid w:val="0"/>
        <w:spacing w:line="220" w:lineRule="exact"/>
        <w:jc w:val="left"/>
        <w:rPr>
          <w:rFonts w:ascii="黑体" w:hAnsi="黑体" w:eastAsia="黑体"/>
          <w:color w:val="000000"/>
          <w:sz w:val="32"/>
          <w:szCs w:val="32"/>
        </w:rPr>
      </w:pP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6"/>
        <w:gridCol w:w="876"/>
        <w:gridCol w:w="2063"/>
        <w:gridCol w:w="807"/>
        <w:gridCol w:w="750"/>
        <w:gridCol w:w="750"/>
        <w:gridCol w:w="807"/>
        <w:gridCol w:w="965"/>
        <w:gridCol w:w="707"/>
        <w:gridCol w:w="69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自然人</w:t>
            </w:r>
          </w:p>
        </w:tc>
        <w:tc>
          <w:tcPr>
            <w:tcW w:w="406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法人或其他组织</w:t>
            </w:r>
          </w:p>
        </w:tc>
        <w:tc>
          <w:tcPr>
            <w:tcW w:w="70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商业企业</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科研机构</w:t>
            </w:r>
          </w:p>
        </w:tc>
        <w:tc>
          <w:tcPr>
            <w:tcW w:w="8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社会公益组织</w:t>
            </w:r>
          </w:p>
        </w:tc>
        <w:tc>
          <w:tcPr>
            <w:tcW w:w="9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法律服务机构</w:t>
            </w:r>
          </w:p>
        </w:tc>
        <w:tc>
          <w:tcPr>
            <w:tcW w:w="72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其他</w:t>
            </w:r>
          </w:p>
        </w:tc>
        <w:tc>
          <w:tcPr>
            <w:tcW w:w="70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一、本年新收政府信息公开申请数量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7</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二、上年结转政府信息公开申请数量</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三、本年度办理结果</w:t>
            </w: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ascii="黑体" w:hAnsi="黑体" w:eastAsia="黑体"/>
                <w:sz w:val="22"/>
                <w:szCs w:val="22"/>
              </w:rPr>
              <w:t>（一）予以公开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2</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（二）部分公开（区分处理的，只计这一情形，不计其他情形）</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1</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（三）不予公开</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1.属于国家秘密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2.其他法律行政法规禁止公开</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3.危及“三安全一稳定”</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4.保护第三方合法权益</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5.属于三类内部事务信息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6.属于四类过程性信息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7.属于行政执法案卷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8.属于行政查询事项</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（四）无法提供</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1.本机关不掌握相关政府信息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4</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2.没有现成信息需要另行制作</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3.补正后申请内容仍不明确</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（五）不予处理</w:t>
            </w: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1.信访举报投诉类申请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2.重复申请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3.要求提供公开出版物</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4.无正当理由大量反复申请</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130" w:type="dxa"/>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5.要求行政机关确认或重新出具已获取信息</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（六）其他处理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298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（七）总计</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7</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r>
              <w:rPr>
                <w:rFonts w:hint="eastAsia" w:ascii="黑体" w:hAnsi="黑体" w:eastAsia="黑体"/>
                <w:sz w:val="22"/>
                <w:szCs w:val="22"/>
              </w:rPr>
              <w:t>四、结转下年度继续办理</w:t>
            </w: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82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99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2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p>
        </w:tc>
      </w:tr>
    </w:tbl>
    <w:p>
      <w:pPr>
        <w:snapToGrid w:val="0"/>
        <w:spacing w:line="420" w:lineRule="exact"/>
        <w:jc w:val="left"/>
        <w:rPr>
          <w:rFonts w:ascii="仿宋_GB2312" w:hAnsi="宋体" w:eastAsia="仿宋_GB2312" w:cs="宋体"/>
          <w:color w:val="333333"/>
          <w:kern w:val="0"/>
          <w:sz w:val="22"/>
          <w:szCs w:val="22"/>
          <w:shd w:val="clear" w:color="auto" w:fill="FFFFFF"/>
        </w:rPr>
      </w:pPr>
      <w:r>
        <w:rPr>
          <w:rFonts w:hint="eastAsia" w:ascii="仿宋_GB2312" w:hAnsi="宋体" w:eastAsia="仿宋_GB2312" w:cs="宋体"/>
          <w:color w:val="333333"/>
          <w:kern w:val="0"/>
          <w:sz w:val="22"/>
          <w:szCs w:val="22"/>
          <w:shd w:val="clear" w:color="auto" w:fill="FFFFFF"/>
        </w:rPr>
        <w:t>　　注：“其他处理”项目，主要是考虑新旧条例执行衔接以及极少数特殊情况。原则上，所有的政府信息公开申请，都应当按照法定的处理方式做出处理。</w:t>
      </w:r>
    </w:p>
    <w:p>
      <w:pPr>
        <w:snapToGrid w:val="0"/>
        <w:spacing w:line="560" w:lineRule="exact"/>
        <w:jc w:val="left"/>
        <w:rPr>
          <w:rFonts w:ascii="黑体" w:hAnsi="黑体" w:eastAsia="黑体"/>
          <w:color w:val="000000"/>
          <w:sz w:val="32"/>
          <w:szCs w:val="32"/>
        </w:rPr>
      </w:pPr>
      <w:r>
        <w:rPr>
          <w:rFonts w:hint="eastAsia" w:ascii="黑体" w:hAnsi="黑体" w:eastAsia="黑体"/>
          <w:color w:val="000000"/>
          <w:sz w:val="32"/>
          <w:szCs w:val="32"/>
        </w:rPr>
        <w:t xml:space="preserve">    四、政府信息公开行政复议、行政诉讼情况</w:t>
      </w:r>
    </w:p>
    <w:p>
      <w:pPr>
        <w:snapToGrid w:val="0"/>
        <w:spacing w:line="220" w:lineRule="exact"/>
        <w:jc w:val="left"/>
        <w:rPr>
          <w:rFonts w:ascii="黑体" w:hAnsi="黑体" w:eastAsia="黑体"/>
          <w:color w:val="000000"/>
          <w:sz w:val="32"/>
          <w:szCs w:val="32"/>
        </w:rPr>
      </w:pP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2"/>
                <w:szCs w:val="22"/>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2</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4</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3</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6</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7</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2</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18</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eastAsia="黑体"/>
                <w:sz w:val="22"/>
                <w:szCs w:val="22"/>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ascii="黑体" w:hAnsi="黑体" w:eastAsia="黑体"/>
                <w:sz w:val="22"/>
                <w:szCs w:val="22"/>
              </w:rPr>
            </w:pPr>
            <w:r>
              <w:rPr>
                <w:rFonts w:hint="eastAsia" w:ascii="黑体" w:hAnsi="黑体" w:eastAsia="黑体"/>
                <w:sz w:val="22"/>
                <w:szCs w:val="22"/>
              </w:rPr>
              <w:t>0</w:t>
            </w:r>
          </w:p>
        </w:tc>
      </w:tr>
    </w:tbl>
    <w:p>
      <w:pPr>
        <w:pStyle w:val="5"/>
        <w:shd w:val="clear" w:color="auto" w:fill="FFFFFF"/>
        <w:spacing w:beforeAutospacing="0" w:afterAutospacing="0"/>
        <w:jc w:val="both"/>
        <w:rPr>
          <w:rFonts w:ascii="仿宋_GB2312" w:eastAsia="仿宋_GB2312" w:cs="宋体"/>
          <w:color w:val="333333"/>
          <w:sz w:val="22"/>
          <w:szCs w:val="22"/>
          <w:shd w:val="clear" w:color="auto" w:fill="FFFFFF"/>
        </w:rPr>
      </w:pPr>
      <w:r>
        <w:rPr>
          <w:rFonts w:hint="eastAsia" w:ascii="仿宋_GB2312" w:eastAsia="仿宋_GB2312" w:cs="宋体"/>
          <w:color w:val="333333"/>
          <w:kern w:val="2"/>
          <w:sz w:val="20"/>
          <w:szCs w:val="20"/>
        </w:rPr>
        <w:t xml:space="preserve">    </w:t>
      </w:r>
      <w:r>
        <w:rPr>
          <w:rFonts w:hint="eastAsia" w:ascii="仿宋_GB2312" w:eastAsia="仿宋_GB2312" w:cs="宋体"/>
          <w:color w:val="333333"/>
          <w:sz w:val="22"/>
          <w:szCs w:val="22"/>
          <w:shd w:val="clear" w:color="auto" w:fill="FFFFFF"/>
        </w:rPr>
        <w:t>注：行政复议机关作为共同被告的行政诉讼案件，只计算原行为主体的案件数量，不计算行政复议机关的案件数量。</w:t>
      </w:r>
    </w:p>
    <w:p>
      <w:pPr>
        <w:pStyle w:val="5"/>
        <w:shd w:val="clear" w:color="auto" w:fill="FFFFFF"/>
        <w:snapToGrid w:val="0"/>
        <w:spacing w:before="0" w:beforeAutospacing="0" w:after="0" w:afterAutospacing="0" w:line="560" w:lineRule="exact"/>
        <w:jc w:val="both"/>
        <w:rPr>
          <w:rFonts w:cs="宋体"/>
          <w:b/>
          <w:color w:val="333333"/>
          <w:shd w:val="clear" w:color="auto" w:fill="FFFFFF"/>
        </w:rPr>
      </w:pPr>
      <w:r>
        <w:rPr>
          <w:rFonts w:hint="eastAsia" w:ascii="黑体" w:hAnsi="黑体" w:eastAsia="黑体"/>
          <w:color w:val="000000"/>
          <w:sz w:val="32"/>
          <w:szCs w:val="32"/>
        </w:rPr>
        <w:t>　　五、存在的主要问题及改进情况</w:t>
      </w:r>
    </w:p>
    <w:p>
      <w:pPr>
        <w:spacing w:line="540" w:lineRule="exact"/>
        <w:ind w:firstLine="640" w:firstLineChars="200"/>
        <w:rPr>
          <w:rFonts w:ascii="仿宋_GB2312" w:hAnsi="黑体" w:eastAsia="仿宋_GB2312"/>
          <w:color w:val="000000"/>
          <w:kern w:val="2"/>
          <w:sz w:val="32"/>
          <w:szCs w:val="32"/>
        </w:rPr>
      </w:pPr>
      <w:r>
        <w:rPr>
          <w:rFonts w:hint="eastAsia" w:ascii="仿宋_GB2312" w:eastAsia="仿宋_GB2312"/>
          <w:sz w:val="32"/>
          <w:szCs w:val="32"/>
        </w:rPr>
        <w:t>有关政府信息公开的各项制度还需进一步细化落实，政府信息公开形式还需进一步拓宽改善。下一步，</w:t>
      </w:r>
      <w:r>
        <w:rPr>
          <w:rFonts w:hint="eastAsia" w:ascii="仿宋_GB2312" w:hAnsi="仿宋_GB2312" w:eastAsia="仿宋_GB2312" w:cs="仿宋_GB2312"/>
          <w:sz w:val="32"/>
          <w:szCs w:val="32"/>
        </w:rPr>
        <w:t>将紧紧围绕提高企业获得感和满意度，细化深化审批服务全流程改革，通过整合政务网络，打破信息孤岛，深入推进“互联网+政务服务”，加快线上线下融合，扩大涉企审批服务事项网上办理范围，通过全链条许可事项实现流程再造，提升政务信息资源共享共用，规避企业群众材料重复提交，实现数据多跑路、群众少跑腿，确保企业群众关心关注的审批和服务事项全部在山东省政务网新区站网上公开。</w:t>
      </w:r>
    </w:p>
    <w:p>
      <w:pPr>
        <w:adjustRightInd w:val="0"/>
        <w:snapToGrid w:val="0"/>
        <w:spacing w:line="252" w:lineRule="auto"/>
      </w:pPr>
    </w:p>
    <w:p>
      <w:pPr>
        <w:adjustRightInd w:val="0"/>
        <w:snapToGrid w:val="0"/>
        <w:spacing w:line="252" w:lineRule="auto"/>
        <w:jc w:val="center"/>
      </w:pPr>
    </w:p>
    <w:p>
      <w:pPr>
        <w:adjustRightInd w:val="0"/>
        <w:snapToGrid w:val="0"/>
        <w:spacing w:line="252" w:lineRule="auto"/>
        <w:jc w:val="center"/>
      </w:pPr>
    </w:p>
    <w:p>
      <w:pPr>
        <w:adjustRightInd w:val="0"/>
        <w:snapToGrid w:val="0"/>
        <w:spacing w:line="252" w:lineRule="auto"/>
        <w:jc w:val="center"/>
      </w:pPr>
    </w:p>
    <w:p>
      <w:pPr>
        <w:spacing w:line="560" w:lineRule="exact"/>
        <w:ind w:firstLine="3200" w:firstLineChars="1000"/>
        <w:rPr>
          <w:rFonts w:eastAsia="仿宋_GB2312"/>
          <w:sz w:val="32"/>
          <w:szCs w:val="32"/>
        </w:rPr>
      </w:pPr>
      <w:r>
        <w:rPr>
          <w:rFonts w:hint="eastAsia" w:eastAsia="仿宋_GB2312"/>
          <w:sz w:val="32"/>
          <w:szCs w:val="32"/>
        </w:rPr>
        <w:t>青岛西海岸新区行政审批服务局</w:t>
      </w:r>
    </w:p>
    <w:p>
      <w:pPr>
        <w:spacing w:line="560" w:lineRule="exact"/>
        <w:jc w:val="left"/>
        <w:rPr>
          <w:rFonts w:eastAsia="仿宋_GB2312"/>
          <w:sz w:val="32"/>
          <w:szCs w:val="32"/>
        </w:rPr>
      </w:pPr>
      <w:r>
        <w:rPr>
          <w:rFonts w:hint="eastAsia" w:eastAsia="仿宋_GB2312"/>
          <w:sz w:val="32"/>
          <w:szCs w:val="32"/>
        </w:rPr>
        <w:t xml:space="preserve">                          </w:t>
      </w:r>
      <w:r>
        <w:rPr>
          <w:rFonts w:eastAsia="仿宋_GB2312"/>
          <w:sz w:val="32"/>
          <w:szCs w:val="32"/>
        </w:rPr>
        <w:t>20</w:t>
      </w:r>
      <w:r>
        <w:rPr>
          <w:rFonts w:hint="eastAsia" w:eastAsia="仿宋_GB2312"/>
          <w:sz w:val="32"/>
          <w:szCs w:val="32"/>
        </w:rPr>
        <w:t>20</w:t>
      </w:r>
      <w:r>
        <w:rPr>
          <w:rFonts w:eastAsia="仿宋_GB2312"/>
          <w:sz w:val="32"/>
          <w:szCs w:val="32"/>
        </w:rPr>
        <w:t>年</w:t>
      </w:r>
      <w:r>
        <w:rPr>
          <w:rFonts w:hint="eastAsia" w:eastAsia="仿宋_GB2312"/>
          <w:sz w:val="32"/>
          <w:szCs w:val="32"/>
        </w:rPr>
        <w:t>1</w:t>
      </w:r>
      <w:r>
        <w:rPr>
          <w:rFonts w:eastAsia="仿宋_GB2312"/>
          <w:sz w:val="32"/>
          <w:szCs w:val="32"/>
        </w:rPr>
        <w:t>月</w:t>
      </w:r>
      <w:r>
        <w:rPr>
          <w:rFonts w:hint="eastAsia" w:eastAsia="仿宋_GB2312"/>
          <w:sz w:val="32"/>
          <w:szCs w:val="32"/>
        </w:rPr>
        <w:t>1</w:t>
      </w:r>
      <w:r>
        <w:rPr>
          <w:rFonts w:hint="eastAsia" w:eastAsia="仿宋_GB2312"/>
          <w:sz w:val="32"/>
          <w:szCs w:val="32"/>
          <w:lang w:val="en-US" w:eastAsia="zh-CN"/>
        </w:rPr>
        <w:t>3</w:t>
      </w:r>
      <w:bookmarkStart w:id="0" w:name="_GoBack"/>
      <w:bookmarkEnd w:id="0"/>
      <w:r>
        <w:rPr>
          <w:rFonts w:eastAsia="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A351E"/>
    <w:rsid w:val="005040A6"/>
    <w:rsid w:val="00AF408E"/>
    <w:rsid w:val="00B113FD"/>
    <w:rsid w:val="00CC47B9"/>
    <w:rsid w:val="04AA351E"/>
    <w:rsid w:val="071377F9"/>
    <w:rsid w:val="091D12F9"/>
    <w:rsid w:val="0BD229A3"/>
    <w:rsid w:val="1E5D7E03"/>
    <w:rsid w:val="23514458"/>
    <w:rsid w:val="26006909"/>
    <w:rsid w:val="2651368B"/>
    <w:rsid w:val="293F7D96"/>
    <w:rsid w:val="2E034197"/>
    <w:rsid w:val="33561CDB"/>
    <w:rsid w:val="34352A7B"/>
    <w:rsid w:val="359224F0"/>
    <w:rsid w:val="37176DE3"/>
    <w:rsid w:val="38E26AF2"/>
    <w:rsid w:val="3BDB1B4F"/>
    <w:rsid w:val="417E47C2"/>
    <w:rsid w:val="46271C9D"/>
    <w:rsid w:val="46C04DE7"/>
    <w:rsid w:val="4B620041"/>
    <w:rsid w:val="505A3760"/>
    <w:rsid w:val="51E945DA"/>
    <w:rsid w:val="55256C33"/>
    <w:rsid w:val="5A4B0266"/>
    <w:rsid w:val="5B8F413D"/>
    <w:rsid w:val="5DB12992"/>
    <w:rsid w:val="5FE660E4"/>
    <w:rsid w:val="60186C45"/>
    <w:rsid w:val="602E3F9F"/>
    <w:rsid w:val="60DD1F96"/>
    <w:rsid w:val="616E791A"/>
    <w:rsid w:val="65A23D28"/>
    <w:rsid w:val="669A4B62"/>
    <w:rsid w:val="66CC117D"/>
    <w:rsid w:val="6C1759A7"/>
    <w:rsid w:val="6C9C3F38"/>
    <w:rsid w:val="6F2C2D4B"/>
    <w:rsid w:val="72262F8B"/>
    <w:rsid w:val="722968E3"/>
    <w:rsid w:val="74B2635E"/>
    <w:rsid w:val="752B465C"/>
    <w:rsid w:val="75C73E8E"/>
    <w:rsid w:val="79F56CB8"/>
    <w:rsid w:val="7F0F1F60"/>
    <w:rsid w:val="7F882767"/>
    <w:rsid w:val="7FB0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281</Words>
  <Characters>1608</Characters>
  <Lines>13</Lines>
  <Paragraphs>3</Paragraphs>
  <TotalTime>1</TotalTime>
  <ScaleCrop>false</ScaleCrop>
  <LinksUpToDate>false</LinksUpToDate>
  <CharactersWithSpaces>1886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2020-01-13T02:18:00Z</dcterms:created>
  <dc:creator>龙</dc:creator>
  <cp:lastModifiedBy>龙</cp:lastModifiedBy>
  <cp:lastPrinted>2020-01-14T02:47:00Z</cp:lastPrinted>
  <dcterms:modified xsi:type="dcterms:W3CDTF">2020-01-19T02:09:21Z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