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0C6" w:rsidRPr="00561E7C" w:rsidRDefault="00E1247E" w:rsidP="003B760B">
      <w:pPr>
        <w:spacing w:line="590" w:lineRule="exact"/>
        <w:rPr>
          <w:rFonts w:ascii="黑体" w:eastAsia="黑体" w:hAnsi="黑体"/>
          <w:sz w:val="32"/>
          <w:szCs w:val="32"/>
        </w:rPr>
      </w:pPr>
      <w:r w:rsidRPr="00E1247E">
        <w:rPr>
          <w:rFonts w:ascii="黑体" w:eastAsia="黑体" w:hAnsi="黑体" w:hint="eastAsia"/>
          <w:sz w:val="32"/>
          <w:szCs w:val="32"/>
        </w:rPr>
        <w:t>青西新财[20</w:t>
      </w:r>
      <w:r w:rsidR="003F38B1">
        <w:rPr>
          <w:rFonts w:ascii="黑体" w:eastAsia="黑体" w:hAnsi="黑体" w:hint="eastAsia"/>
          <w:sz w:val="32"/>
          <w:szCs w:val="32"/>
        </w:rPr>
        <w:t>20</w:t>
      </w:r>
      <w:r w:rsidRPr="00E1247E">
        <w:rPr>
          <w:rFonts w:ascii="黑体" w:eastAsia="黑体" w:hAnsi="黑体" w:hint="eastAsia"/>
          <w:sz w:val="32"/>
          <w:szCs w:val="32"/>
        </w:rPr>
        <w:t>]</w:t>
      </w:r>
      <w:r w:rsidR="00653B3C">
        <w:rPr>
          <w:rFonts w:ascii="黑体" w:eastAsia="黑体" w:hAnsi="黑体" w:hint="eastAsia"/>
          <w:sz w:val="32"/>
          <w:szCs w:val="32"/>
        </w:rPr>
        <w:t>40</w:t>
      </w:r>
      <w:r w:rsidRPr="00E1247E">
        <w:rPr>
          <w:rFonts w:ascii="黑体" w:eastAsia="黑体" w:hAnsi="黑体" w:hint="eastAsia"/>
          <w:sz w:val="32"/>
          <w:szCs w:val="32"/>
        </w:rPr>
        <w:t>号</w:t>
      </w:r>
      <w:r w:rsidR="003440C6">
        <w:rPr>
          <w:rFonts w:ascii="黑体" w:eastAsia="黑体" w:hAnsi="黑体" w:hint="eastAsia"/>
          <w:sz w:val="32"/>
          <w:szCs w:val="32"/>
        </w:rPr>
        <w:t>附件</w:t>
      </w:r>
      <w:r w:rsidR="003F38B1">
        <w:rPr>
          <w:rFonts w:ascii="黑体" w:eastAsia="黑体" w:hAnsi="黑体" w:hint="eastAsia"/>
          <w:sz w:val="32"/>
          <w:szCs w:val="32"/>
        </w:rPr>
        <w:t>5</w:t>
      </w:r>
    </w:p>
    <w:p w:rsidR="003440C6" w:rsidRDefault="001C1E4B" w:rsidP="00AB1073">
      <w:pPr>
        <w:spacing w:line="590" w:lineRule="exact"/>
        <w:jc w:val="center"/>
        <w:rPr>
          <w:rFonts w:ascii="方正小标宋_GBK" w:eastAsia="方正小标宋_GBK"/>
          <w:sz w:val="44"/>
          <w:szCs w:val="44"/>
        </w:rPr>
      </w:pPr>
      <w:r>
        <w:rPr>
          <w:rFonts w:ascii="方正小标宋_GBK" w:eastAsia="方正小标宋_GBK" w:hint="eastAsia"/>
          <w:sz w:val="44"/>
          <w:szCs w:val="44"/>
        </w:rPr>
        <w:t>预算</w:t>
      </w:r>
      <w:r w:rsidR="003440C6" w:rsidRPr="008A5D34">
        <w:rPr>
          <w:rFonts w:ascii="方正小标宋_GBK" w:eastAsia="方正小标宋_GBK" w:hint="eastAsia"/>
          <w:sz w:val="44"/>
          <w:szCs w:val="44"/>
        </w:rPr>
        <w:t>绩效</w:t>
      </w:r>
      <w:r w:rsidR="003F38B1">
        <w:rPr>
          <w:rFonts w:ascii="方正小标宋_GBK" w:eastAsia="方正小标宋_GBK" w:hint="eastAsia"/>
          <w:sz w:val="44"/>
          <w:szCs w:val="44"/>
        </w:rPr>
        <w:t>自评</w:t>
      </w:r>
      <w:r w:rsidR="003440C6" w:rsidRPr="008A5D34">
        <w:rPr>
          <w:rFonts w:ascii="方正小标宋_GBK" w:eastAsia="方正小标宋_GBK" w:hint="eastAsia"/>
          <w:sz w:val="44"/>
          <w:szCs w:val="44"/>
        </w:rPr>
        <w:t>结果信息公开</w:t>
      </w:r>
      <w:r w:rsidR="003440C6">
        <w:rPr>
          <w:rFonts w:ascii="方正小标宋_GBK" w:eastAsia="方正小标宋_GBK" w:hint="eastAsia"/>
          <w:sz w:val="44"/>
          <w:szCs w:val="44"/>
        </w:rPr>
        <w:t>表</w:t>
      </w:r>
    </w:p>
    <w:p w:rsidR="003440C6" w:rsidRPr="009006F4" w:rsidRDefault="009006F4" w:rsidP="009006F4">
      <w:pPr>
        <w:spacing w:line="400" w:lineRule="exact"/>
        <w:jc w:val="center"/>
        <w:rPr>
          <w:rFonts w:ascii="方正小标宋_GBK" w:eastAsia="方正小标宋_GBK"/>
          <w:sz w:val="44"/>
          <w:szCs w:val="44"/>
        </w:rPr>
      </w:pPr>
      <w:r>
        <w:rPr>
          <w:rFonts w:asciiTheme="minorEastAsia" w:eastAsiaTheme="minorEastAsia" w:hAnsiTheme="minorEastAsia" w:hint="eastAsia"/>
          <w:sz w:val="28"/>
          <w:szCs w:val="28"/>
        </w:rPr>
        <w:t>（</w:t>
      </w:r>
      <w:r w:rsidRPr="003F38B1">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sidRPr="003F38B1">
        <w:rPr>
          <w:rFonts w:asciiTheme="minorEastAsia" w:eastAsiaTheme="minorEastAsia" w:hAnsiTheme="minorEastAsia" w:hint="eastAsia"/>
          <w:sz w:val="28"/>
          <w:szCs w:val="28"/>
        </w:rPr>
        <w:t>年度</w:t>
      </w:r>
      <w:r>
        <w:rPr>
          <w:rFonts w:asciiTheme="minorEastAsia" w:eastAsiaTheme="minorEastAsia" w:hAnsiTheme="minorEastAsia" w:hint="eastAsia"/>
          <w:sz w:val="28"/>
          <w:szCs w:val="28"/>
        </w:rPr>
        <w:t>）</w:t>
      </w:r>
    </w:p>
    <w:tbl>
      <w:tblPr>
        <w:tblW w:w="0" w:type="auto"/>
        <w:jc w:val="center"/>
        <w:tblLayout w:type="fixed"/>
        <w:tblCellMar>
          <w:left w:w="0" w:type="dxa"/>
          <w:right w:w="0" w:type="dxa"/>
        </w:tblCellMar>
        <w:tblLook w:val="0000"/>
      </w:tblPr>
      <w:tblGrid>
        <w:gridCol w:w="780"/>
        <w:gridCol w:w="490"/>
        <w:gridCol w:w="3119"/>
        <w:gridCol w:w="1275"/>
        <w:gridCol w:w="3168"/>
      </w:tblGrid>
      <w:tr w:rsidR="003440C6" w:rsidRPr="00396C73" w:rsidTr="0015246C">
        <w:trPr>
          <w:trHeight w:hRule="exact" w:val="567"/>
          <w:jc w:val="center"/>
        </w:trPr>
        <w:tc>
          <w:tcPr>
            <w:tcW w:w="1270"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440C6" w:rsidRPr="00482568" w:rsidRDefault="003F38B1" w:rsidP="000829E4">
            <w:pPr>
              <w:tabs>
                <w:tab w:val="left" w:pos="1580"/>
                <w:tab w:val="left" w:pos="3969"/>
                <w:tab w:val="left" w:pos="4111"/>
              </w:tabs>
              <w:autoSpaceDE w:val="0"/>
              <w:autoSpaceDN w:val="0"/>
              <w:adjustRightInd w:val="0"/>
              <w:snapToGrid w:val="0"/>
              <w:jc w:val="center"/>
              <w:rPr>
                <w:rFonts w:ascii="黑体" w:eastAsia="黑体" w:hAnsi="黑体"/>
                <w:kern w:val="0"/>
                <w:sz w:val="24"/>
              </w:rPr>
            </w:pPr>
            <w:r w:rsidRPr="00482568">
              <w:rPr>
                <w:rFonts w:asciiTheme="minorEastAsia" w:eastAsiaTheme="minorEastAsia" w:hAnsiTheme="minorEastAsia" w:hint="eastAsia"/>
                <w:spacing w:val="-4"/>
                <w:sz w:val="24"/>
              </w:rPr>
              <w:t>预算单位</w:t>
            </w:r>
          </w:p>
        </w:tc>
        <w:tc>
          <w:tcPr>
            <w:tcW w:w="7562"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440C6" w:rsidRPr="0015246C" w:rsidRDefault="000E36C0" w:rsidP="00482568">
            <w:pPr>
              <w:tabs>
                <w:tab w:val="left" w:pos="3969"/>
                <w:tab w:val="left" w:pos="4111"/>
              </w:tabs>
              <w:autoSpaceDE w:val="0"/>
              <w:autoSpaceDN w:val="0"/>
              <w:adjustRightInd w:val="0"/>
              <w:snapToGrid w:val="0"/>
              <w:rPr>
                <w:rFonts w:ascii="楷体" w:eastAsia="楷体" w:hAnsi="楷体"/>
                <w:kern w:val="0"/>
                <w:sz w:val="24"/>
              </w:rPr>
            </w:pPr>
            <w:r>
              <w:rPr>
                <w:rFonts w:ascii="楷体" w:eastAsia="楷体" w:hAnsi="楷体" w:hint="eastAsia"/>
                <w:kern w:val="0"/>
                <w:sz w:val="24"/>
              </w:rPr>
              <w:t>青岛市黄岛区不动产登记中心</w:t>
            </w:r>
          </w:p>
        </w:tc>
      </w:tr>
      <w:tr w:rsidR="003440C6" w:rsidRPr="00396C73" w:rsidTr="0015246C">
        <w:trPr>
          <w:trHeight w:hRule="exact" w:val="567"/>
          <w:jc w:val="center"/>
        </w:trPr>
        <w:tc>
          <w:tcPr>
            <w:tcW w:w="1270"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440C6" w:rsidRPr="00482568" w:rsidRDefault="004D2DBD" w:rsidP="000829E4">
            <w:pPr>
              <w:tabs>
                <w:tab w:val="left" w:pos="4111"/>
              </w:tabs>
              <w:autoSpaceDE w:val="0"/>
              <w:autoSpaceDN w:val="0"/>
              <w:adjustRightInd w:val="0"/>
              <w:snapToGrid w:val="0"/>
              <w:jc w:val="center"/>
              <w:rPr>
                <w:rFonts w:asciiTheme="minorEastAsia" w:eastAsiaTheme="minorEastAsia" w:hAnsiTheme="minorEastAsia"/>
                <w:kern w:val="0"/>
                <w:sz w:val="24"/>
              </w:rPr>
            </w:pPr>
            <w:r w:rsidRPr="00482568">
              <w:rPr>
                <w:rFonts w:asciiTheme="minorEastAsia" w:eastAsiaTheme="minorEastAsia" w:hAnsiTheme="minorEastAsia" w:cs="Microsoft JhengHei" w:hint="eastAsia"/>
                <w:kern w:val="0"/>
                <w:sz w:val="24"/>
              </w:rPr>
              <w:t>主管部门</w:t>
            </w:r>
          </w:p>
        </w:tc>
        <w:tc>
          <w:tcPr>
            <w:tcW w:w="7562"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440C6" w:rsidRPr="0015246C" w:rsidRDefault="00653B3C" w:rsidP="00653B3C">
            <w:pPr>
              <w:tabs>
                <w:tab w:val="left" w:pos="3969"/>
                <w:tab w:val="left" w:pos="4111"/>
              </w:tabs>
              <w:autoSpaceDE w:val="0"/>
              <w:autoSpaceDN w:val="0"/>
              <w:adjustRightInd w:val="0"/>
              <w:snapToGrid w:val="0"/>
              <w:jc w:val="left"/>
              <w:rPr>
                <w:rFonts w:ascii="楷体" w:eastAsia="楷体" w:hAnsi="楷体"/>
                <w:kern w:val="0"/>
                <w:sz w:val="24"/>
              </w:rPr>
            </w:pPr>
            <w:r w:rsidRPr="00653B3C">
              <w:rPr>
                <w:rFonts w:ascii="楷体" w:eastAsia="楷体" w:hAnsi="楷体" w:hint="eastAsia"/>
                <w:kern w:val="0"/>
                <w:sz w:val="24"/>
              </w:rPr>
              <w:t>青岛西海岸新区自然资源</w:t>
            </w:r>
            <w:r w:rsidR="004F42E4">
              <w:rPr>
                <w:rFonts w:ascii="楷体" w:eastAsia="楷体" w:hAnsi="楷体" w:hint="eastAsia"/>
                <w:kern w:val="0"/>
                <w:sz w:val="24"/>
              </w:rPr>
              <w:t>局</w:t>
            </w:r>
          </w:p>
        </w:tc>
      </w:tr>
      <w:tr w:rsidR="004D2DBD" w:rsidRPr="00396C73" w:rsidTr="0015246C">
        <w:trPr>
          <w:trHeight w:hRule="exact" w:val="567"/>
          <w:jc w:val="center"/>
        </w:trPr>
        <w:tc>
          <w:tcPr>
            <w:tcW w:w="1270"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4D2DBD" w:rsidRPr="00482568" w:rsidRDefault="004D2DBD" w:rsidP="004D2DBD">
            <w:pPr>
              <w:tabs>
                <w:tab w:val="left" w:pos="4111"/>
              </w:tabs>
              <w:autoSpaceDE w:val="0"/>
              <w:autoSpaceDN w:val="0"/>
              <w:adjustRightInd w:val="0"/>
              <w:snapToGrid w:val="0"/>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项目名称</w:t>
            </w:r>
          </w:p>
        </w:tc>
        <w:tc>
          <w:tcPr>
            <w:tcW w:w="7562"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4D2DBD" w:rsidRPr="0015246C" w:rsidRDefault="004346DF" w:rsidP="00482568">
            <w:pPr>
              <w:tabs>
                <w:tab w:val="left" w:pos="3969"/>
                <w:tab w:val="left" w:pos="4111"/>
              </w:tabs>
              <w:autoSpaceDE w:val="0"/>
              <w:autoSpaceDN w:val="0"/>
              <w:adjustRightInd w:val="0"/>
              <w:snapToGrid w:val="0"/>
              <w:rPr>
                <w:rFonts w:ascii="楷体" w:eastAsia="楷体" w:hAnsi="楷体"/>
                <w:kern w:val="0"/>
                <w:sz w:val="24"/>
              </w:rPr>
            </w:pPr>
            <w:r>
              <w:rPr>
                <w:rFonts w:ascii="楷体" w:eastAsia="楷体" w:hAnsi="楷体" w:hint="eastAsia"/>
                <w:kern w:val="0"/>
                <w:sz w:val="24"/>
              </w:rPr>
              <w:t>部门专项工作经费</w:t>
            </w:r>
          </w:p>
        </w:tc>
      </w:tr>
      <w:tr w:rsidR="00482568" w:rsidRPr="00396C73" w:rsidTr="00751C74">
        <w:trPr>
          <w:trHeight w:hRule="exact" w:val="1021"/>
          <w:jc w:val="center"/>
        </w:trPr>
        <w:tc>
          <w:tcPr>
            <w:tcW w:w="1270"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482568" w:rsidRPr="00482568" w:rsidRDefault="00482568" w:rsidP="00482568">
            <w:pPr>
              <w:tabs>
                <w:tab w:val="left" w:pos="3969"/>
                <w:tab w:val="left" w:pos="4111"/>
              </w:tabs>
              <w:autoSpaceDE w:val="0"/>
              <w:autoSpaceDN w:val="0"/>
              <w:adjustRightInd w:val="0"/>
              <w:snapToGrid w:val="0"/>
              <w:jc w:val="center"/>
              <w:rPr>
                <w:rFonts w:asciiTheme="minorEastAsia" w:eastAsiaTheme="minorEastAsia" w:hAnsiTheme="minorEastAsia"/>
                <w:kern w:val="0"/>
                <w:sz w:val="24"/>
              </w:rPr>
            </w:pPr>
            <w:r w:rsidRPr="00482568">
              <w:rPr>
                <w:rFonts w:asciiTheme="minorEastAsia" w:eastAsiaTheme="minorEastAsia" w:hAnsiTheme="minorEastAsia" w:cs="Microsoft JhengHei" w:hint="eastAsia"/>
                <w:kern w:val="0"/>
                <w:sz w:val="24"/>
              </w:rPr>
              <w:t>预算安排</w:t>
            </w:r>
          </w:p>
        </w:tc>
        <w:tc>
          <w:tcPr>
            <w:tcW w:w="3119"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482568" w:rsidRDefault="00482568" w:rsidP="004D2DBD">
            <w:pPr>
              <w:autoSpaceDE w:val="0"/>
              <w:autoSpaceDN w:val="0"/>
              <w:adjustRightInd w:val="0"/>
              <w:snapToGrid w:val="0"/>
              <w:rPr>
                <w:rFonts w:ascii="楷体" w:eastAsia="楷体" w:hAnsi="楷体"/>
                <w:kern w:val="0"/>
                <w:sz w:val="24"/>
              </w:rPr>
            </w:pPr>
            <w:r w:rsidRPr="004D2DBD">
              <w:rPr>
                <w:rFonts w:ascii="楷体" w:eastAsia="楷体" w:hAnsi="楷体" w:hint="eastAsia"/>
                <w:kern w:val="0"/>
                <w:sz w:val="24"/>
              </w:rPr>
              <w:t>合计</w:t>
            </w:r>
            <w:r w:rsidR="00751C74">
              <w:rPr>
                <w:rFonts w:ascii="楷体" w:eastAsia="楷体" w:hAnsi="楷体" w:hint="eastAsia"/>
                <w:kern w:val="0"/>
                <w:sz w:val="24"/>
              </w:rPr>
              <w:t>:</w:t>
            </w:r>
            <w:r w:rsidR="004346DF">
              <w:rPr>
                <w:rFonts w:ascii="楷体" w:eastAsia="楷体" w:hAnsi="楷体" w:hint="eastAsia"/>
                <w:kern w:val="0"/>
                <w:sz w:val="24"/>
              </w:rPr>
              <w:t>1733.79</w:t>
            </w:r>
            <w:r w:rsidRPr="004D2DBD">
              <w:rPr>
                <w:rFonts w:ascii="楷体" w:eastAsia="楷体" w:hAnsi="楷体" w:hint="eastAsia"/>
                <w:kern w:val="0"/>
                <w:sz w:val="24"/>
              </w:rPr>
              <w:t>万元</w:t>
            </w:r>
          </w:p>
          <w:p w:rsidR="00482568" w:rsidRPr="004D2DBD" w:rsidRDefault="00482568" w:rsidP="004346DF">
            <w:pPr>
              <w:autoSpaceDE w:val="0"/>
              <w:autoSpaceDN w:val="0"/>
              <w:adjustRightInd w:val="0"/>
              <w:snapToGrid w:val="0"/>
              <w:rPr>
                <w:rFonts w:ascii="楷体" w:eastAsia="楷体" w:hAnsi="楷体"/>
                <w:kern w:val="0"/>
                <w:sz w:val="24"/>
              </w:rPr>
            </w:pPr>
            <w:r w:rsidRPr="004D2DBD">
              <w:rPr>
                <w:rFonts w:ascii="楷体" w:eastAsia="楷体" w:hAnsi="楷体" w:hint="eastAsia"/>
                <w:kern w:val="0"/>
                <w:sz w:val="24"/>
              </w:rPr>
              <w:t>其中</w:t>
            </w:r>
            <w:r w:rsidR="00751C74">
              <w:rPr>
                <w:rFonts w:ascii="楷体" w:eastAsia="楷体" w:hAnsi="楷体" w:hint="eastAsia"/>
                <w:kern w:val="0"/>
                <w:sz w:val="24"/>
              </w:rPr>
              <w:t>:</w:t>
            </w:r>
            <w:r w:rsidRPr="004D2DBD">
              <w:rPr>
                <w:rFonts w:ascii="楷体" w:eastAsia="楷体" w:hAnsi="楷体" w:hint="eastAsia"/>
                <w:kern w:val="0"/>
                <w:sz w:val="24"/>
              </w:rPr>
              <w:t>区级</w:t>
            </w:r>
            <w:r w:rsidR="004346DF">
              <w:rPr>
                <w:rFonts w:ascii="楷体" w:eastAsia="楷体" w:hAnsi="楷体" w:hint="eastAsia"/>
                <w:kern w:val="0"/>
                <w:sz w:val="24"/>
              </w:rPr>
              <w:t>1733.79</w:t>
            </w:r>
            <w:r w:rsidRPr="004D2DBD">
              <w:rPr>
                <w:rFonts w:ascii="楷体" w:eastAsia="楷体" w:hAnsi="楷体" w:hint="eastAsia"/>
                <w:kern w:val="0"/>
                <w:sz w:val="24"/>
              </w:rPr>
              <w:t>万元</w:t>
            </w:r>
          </w:p>
        </w:tc>
        <w:tc>
          <w:tcPr>
            <w:tcW w:w="1275" w:type="dxa"/>
            <w:tcBorders>
              <w:top w:val="single" w:sz="4" w:space="0" w:color="000000"/>
              <w:left w:val="single" w:sz="4" w:space="0" w:color="auto"/>
              <w:bottom w:val="single" w:sz="4" w:space="0" w:color="000000"/>
              <w:right w:val="single" w:sz="4" w:space="0" w:color="auto"/>
            </w:tcBorders>
            <w:vAlign w:val="center"/>
          </w:tcPr>
          <w:p w:rsidR="00482568" w:rsidRPr="00482568" w:rsidRDefault="00482568" w:rsidP="00482568">
            <w:pPr>
              <w:tabs>
                <w:tab w:val="left" w:pos="3969"/>
                <w:tab w:val="left" w:pos="4111"/>
              </w:tabs>
              <w:autoSpaceDE w:val="0"/>
              <w:autoSpaceDN w:val="0"/>
              <w:adjustRightInd w:val="0"/>
              <w:snapToGrid w:val="0"/>
              <w:jc w:val="center"/>
              <w:rPr>
                <w:rFonts w:ascii="楷体" w:eastAsia="楷体" w:hAnsi="楷体"/>
                <w:kern w:val="0"/>
                <w:sz w:val="24"/>
              </w:rPr>
            </w:pPr>
            <w:r w:rsidRPr="00482568">
              <w:rPr>
                <w:rFonts w:asciiTheme="minorEastAsia" w:eastAsiaTheme="minorEastAsia" w:hAnsiTheme="minorEastAsia" w:cs="Microsoft JhengHei" w:hint="eastAsia"/>
                <w:kern w:val="0"/>
                <w:sz w:val="24"/>
              </w:rPr>
              <w:t>预算执行</w:t>
            </w:r>
          </w:p>
        </w:tc>
        <w:tc>
          <w:tcPr>
            <w:tcW w:w="3168" w:type="dxa"/>
            <w:tcBorders>
              <w:top w:val="single" w:sz="4" w:space="0" w:color="000000"/>
              <w:left w:val="single" w:sz="4" w:space="0" w:color="auto"/>
              <w:bottom w:val="single" w:sz="4" w:space="0" w:color="000000"/>
              <w:right w:val="single" w:sz="4" w:space="0" w:color="auto"/>
            </w:tcBorders>
            <w:vAlign w:val="center"/>
          </w:tcPr>
          <w:p w:rsidR="00482568" w:rsidRDefault="00482568" w:rsidP="00482568">
            <w:pPr>
              <w:autoSpaceDE w:val="0"/>
              <w:autoSpaceDN w:val="0"/>
              <w:adjustRightInd w:val="0"/>
              <w:snapToGrid w:val="0"/>
              <w:rPr>
                <w:rFonts w:ascii="楷体" w:eastAsia="楷体" w:hAnsi="楷体"/>
                <w:kern w:val="0"/>
                <w:sz w:val="24"/>
              </w:rPr>
            </w:pPr>
            <w:r w:rsidRPr="004D2DBD">
              <w:rPr>
                <w:rFonts w:ascii="楷体" w:eastAsia="楷体" w:hAnsi="楷体" w:hint="eastAsia"/>
                <w:kern w:val="0"/>
                <w:sz w:val="24"/>
              </w:rPr>
              <w:t>合计</w:t>
            </w:r>
            <w:r w:rsidR="00751C74">
              <w:rPr>
                <w:rFonts w:ascii="楷体" w:eastAsia="楷体" w:hAnsi="楷体" w:hint="eastAsia"/>
                <w:kern w:val="0"/>
                <w:sz w:val="24"/>
              </w:rPr>
              <w:t>:</w:t>
            </w:r>
            <w:r w:rsidR="004346DF">
              <w:rPr>
                <w:rFonts w:ascii="楷体" w:eastAsia="楷体" w:hAnsi="楷体" w:hint="eastAsia"/>
                <w:kern w:val="0"/>
                <w:sz w:val="24"/>
              </w:rPr>
              <w:t>765.36</w:t>
            </w:r>
            <w:r w:rsidRPr="004D2DBD">
              <w:rPr>
                <w:rFonts w:ascii="楷体" w:eastAsia="楷体" w:hAnsi="楷体" w:hint="eastAsia"/>
                <w:kern w:val="0"/>
                <w:sz w:val="24"/>
              </w:rPr>
              <w:t>万元</w:t>
            </w:r>
          </w:p>
          <w:p w:rsidR="00482568" w:rsidRPr="004D2DBD" w:rsidRDefault="00482568" w:rsidP="004346DF">
            <w:pPr>
              <w:autoSpaceDE w:val="0"/>
              <w:autoSpaceDN w:val="0"/>
              <w:adjustRightInd w:val="0"/>
              <w:snapToGrid w:val="0"/>
              <w:rPr>
                <w:rFonts w:ascii="楷体" w:eastAsia="楷体" w:hAnsi="楷体"/>
                <w:kern w:val="0"/>
                <w:sz w:val="24"/>
              </w:rPr>
            </w:pPr>
            <w:r w:rsidRPr="004D2DBD">
              <w:rPr>
                <w:rFonts w:ascii="楷体" w:eastAsia="楷体" w:hAnsi="楷体" w:hint="eastAsia"/>
                <w:kern w:val="0"/>
                <w:sz w:val="24"/>
              </w:rPr>
              <w:t>其中</w:t>
            </w:r>
            <w:r w:rsidR="00751C74">
              <w:rPr>
                <w:rFonts w:ascii="楷体" w:eastAsia="楷体" w:hAnsi="楷体" w:hint="eastAsia"/>
                <w:kern w:val="0"/>
                <w:sz w:val="24"/>
              </w:rPr>
              <w:t>:</w:t>
            </w:r>
            <w:r w:rsidRPr="004D2DBD">
              <w:rPr>
                <w:rFonts w:ascii="楷体" w:eastAsia="楷体" w:hAnsi="楷体" w:hint="eastAsia"/>
                <w:kern w:val="0"/>
                <w:sz w:val="24"/>
              </w:rPr>
              <w:t>区级</w:t>
            </w:r>
            <w:r w:rsidR="004346DF">
              <w:rPr>
                <w:rFonts w:ascii="楷体" w:eastAsia="楷体" w:hAnsi="楷体" w:hint="eastAsia"/>
                <w:kern w:val="0"/>
                <w:sz w:val="24"/>
              </w:rPr>
              <w:t>765.36</w:t>
            </w:r>
            <w:r w:rsidRPr="004D2DBD">
              <w:rPr>
                <w:rFonts w:ascii="楷体" w:eastAsia="楷体" w:hAnsi="楷体" w:hint="eastAsia"/>
                <w:kern w:val="0"/>
                <w:sz w:val="24"/>
              </w:rPr>
              <w:t>万元</w:t>
            </w:r>
          </w:p>
        </w:tc>
      </w:tr>
      <w:tr w:rsidR="009006F4" w:rsidRPr="00396C73" w:rsidTr="00751C74">
        <w:trPr>
          <w:trHeight w:hRule="exact" w:val="557"/>
          <w:jc w:val="center"/>
        </w:trPr>
        <w:tc>
          <w:tcPr>
            <w:tcW w:w="1270"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9006F4" w:rsidRPr="00482568" w:rsidRDefault="009006F4" w:rsidP="004D2DBD">
            <w:pPr>
              <w:tabs>
                <w:tab w:val="left" w:pos="3969"/>
                <w:tab w:val="left" w:pos="4111"/>
              </w:tabs>
              <w:autoSpaceDE w:val="0"/>
              <w:autoSpaceDN w:val="0"/>
              <w:adjustRightInd w:val="0"/>
              <w:snapToGrid w:val="0"/>
              <w:jc w:val="center"/>
              <w:rPr>
                <w:rFonts w:asciiTheme="minorEastAsia" w:eastAsiaTheme="minorEastAsia" w:hAnsiTheme="minorEastAsia"/>
                <w:kern w:val="0"/>
                <w:sz w:val="24"/>
              </w:rPr>
            </w:pPr>
            <w:r w:rsidRPr="00482568">
              <w:rPr>
                <w:rFonts w:asciiTheme="minorEastAsia" w:eastAsiaTheme="minorEastAsia" w:hAnsiTheme="minorEastAsia" w:cs="Microsoft JhengHei" w:hint="eastAsia"/>
                <w:kern w:val="0"/>
                <w:sz w:val="24"/>
              </w:rPr>
              <w:t>评价结果</w:t>
            </w:r>
          </w:p>
        </w:tc>
        <w:tc>
          <w:tcPr>
            <w:tcW w:w="3119"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9006F4" w:rsidRPr="009006F4" w:rsidRDefault="009006F4" w:rsidP="001E5D1B">
            <w:pPr>
              <w:tabs>
                <w:tab w:val="left" w:pos="3969"/>
                <w:tab w:val="left" w:pos="4111"/>
              </w:tabs>
              <w:autoSpaceDE w:val="0"/>
              <w:autoSpaceDN w:val="0"/>
              <w:adjustRightInd w:val="0"/>
              <w:snapToGrid w:val="0"/>
              <w:rPr>
                <w:rFonts w:ascii="楷体" w:eastAsia="楷体" w:hAnsi="楷体"/>
                <w:kern w:val="0"/>
                <w:sz w:val="24"/>
              </w:rPr>
            </w:pPr>
            <w:r w:rsidRPr="009006F4">
              <w:rPr>
                <w:rFonts w:ascii="楷体" w:eastAsia="楷体" w:hAnsi="楷体" w:hint="eastAsia"/>
                <w:kern w:val="0"/>
                <w:sz w:val="24"/>
              </w:rPr>
              <w:t>分数</w:t>
            </w:r>
            <w:r w:rsidR="00751C74">
              <w:rPr>
                <w:rFonts w:ascii="楷体" w:eastAsia="楷体" w:hAnsi="楷体" w:hint="eastAsia"/>
                <w:kern w:val="0"/>
                <w:sz w:val="24"/>
              </w:rPr>
              <w:t>:</w:t>
            </w:r>
            <w:r w:rsidR="001E5D1B">
              <w:rPr>
                <w:rFonts w:ascii="楷体" w:eastAsia="楷体" w:hAnsi="楷体" w:hint="eastAsia"/>
                <w:kern w:val="0"/>
                <w:sz w:val="24"/>
              </w:rPr>
              <w:t>81</w:t>
            </w:r>
            <w:r w:rsidRPr="009006F4">
              <w:rPr>
                <w:rFonts w:ascii="楷体" w:eastAsia="楷体" w:hAnsi="楷体" w:hint="eastAsia"/>
                <w:kern w:val="0"/>
                <w:sz w:val="24"/>
              </w:rPr>
              <w:t>分，</w:t>
            </w:r>
            <w:r>
              <w:rPr>
                <w:rFonts w:ascii="楷体" w:eastAsia="楷体" w:hAnsi="楷体" w:hint="eastAsia"/>
                <w:kern w:val="0"/>
                <w:sz w:val="24"/>
              </w:rPr>
              <w:t>等级</w:t>
            </w:r>
            <w:r w:rsidR="00751C74">
              <w:rPr>
                <w:rFonts w:ascii="楷体" w:eastAsia="楷体" w:hAnsi="楷体" w:hint="eastAsia"/>
                <w:kern w:val="0"/>
                <w:sz w:val="24"/>
              </w:rPr>
              <w:t>:</w:t>
            </w:r>
            <w:r w:rsidR="001E5D1B">
              <w:rPr>
                <w:rFonts w:ascii="楷体" w:eastAsia="楷体" w:hAnsi="楷体" w:hint="eastAsia"/>
                <w:kern w:val="0"/>
                <w:sz w:val="24"/>
              </w:rPr>
              <w:t>良</w:t>
            </w:r>
          </w:p>
        </w:tc>
        <w:tc>
          <w:tcPr>
            <w:tcW w:w="1275"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9006F4" w:rsidRPr="00482568" w:rsidRDefault="009006F4" w:rsidP="009006F4">
            <w:pPr>
              <w:tabs>
                <w:tab w:val="left" w:pos="3969"/>
                <w:tab w:val="left" w:pos="4111"/>
              </w:tabs>
              <w:autoSpaceDE w:val="0"/>
              <w:autoSpaceDN w:val="0"/>
              <w:adjustRightInd w:val="0"/>
              <w:snapToGrid w:val="0"/>
              <w:jc w:val="center"/>
              <w:rPr>
                <w:rFonts w:asciiTheme="minorEastAsia" w:eastAsiaTheme="minorEastAsia" w:hAnsiTheme="minorEastAsia"/>
                <w:kern w:val="0"/>
                <w:sz w:val="24"/>
              </w:rPr>
            </w:pPr>
            <w:r w:rsidRPr="00482568">
              <w:rPr>
                <w:rFonts w:asciiTheme="minorEastAsia" w:eastAsiaTheme="minorEastAsia" w:hAnsiTheme="minorEastAsia" w:hint="eastAsia"/>
                <w:kern w:val="0"/>
                <w:sz w:val="24"/>
              </w:rPr>
              <w:t>评价方式</w:t>
            </w:r>
          </w:p>
        </w:tc>
        <w:tc>
          <w:tcPr>
            <w:tcW w:w="3168"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9006F4" w:rsidRPr="009006F4" w:rsidRDefault="009006F4" w:rsidP="001E5D1B">
            <w:pPr>
              <w:tabs>
                <w:tab w:val="left" w:pos="3969"/>
                <w:tab w:val="left" w:pos="4111"/>
              </w:tabs>
              <w:autoSpaceDE w:val="0"/>
              <w:autoSpaceDN w:val="0"/>
              <w:adjustRightInd w:val="0"/>
              <w:snapToGrid w:val="0"/>
              <w:jc w:val="center"/>
              <w:rPr>
                <w:rFonts w:ascii="楷体" w:eastAsia="楷体" w:hAnsi="楷体"/>
                <w:kern w:val="0"/>
                <w:sz w:val="24"/>
              </w:rPr>
            </w:pPr>
            <w:r w:rsidRPr="009006F4">
              <w:rPr>
                <w:rFonts w:ascii="楷体" w:eastAsia="楷体" w:hAnsi="楷体" w:hint="eastAsia"/>
                <w:kern w:val="0"/>
                <w:sz w:val="24"/>
              </w:rPr>
              <w:t>自行组织</w:t>
            </w:r>
          </w:p>
        </w:tc>
      </w:tr>
      <w:tr w:rsidR="005A2087" w:rsidRPr="00396C73" w:rsidTr="00482568">
        <w:trPr>
          <w:trHeight w:val="1814"/>
          <w:jc w:val="center"/>
        </w:trPr>
        <w:tc>
          <w:tcPr>
            <w:tcW w:w="78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主</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要</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绩</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效</w:t>
            </w:r>
          </w:p>
        </w:tc>
        <w:tc>
          <w:tcPr>
            <w:tcW w:w="8052" w:type="dxa"/>
            <w:gridSpan w:val="4"/>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F004CF" w:rsidRPr="00F004CF" w:rsidRDefault="00F004CF" w:rsidP="004F1AA3">
            <w:pPr>
              <w:widowControl/>
              <w:ind w:firstLineChars="200" w:firstLine="480"/>
              <w:jc w:val="left"/>
              <w:rPr>
                <w:rFonts w:ascii="楷体" w:eastAsia="楷体" w:hAnsi="楷体" w:cs="Microsoft JhengHei"/>
                <w:kern w:val="0"/>
                <w:sz w:val="24"/>
              </w:rPr>
            </w:pPr>
            <w:r w:rsidRPr="00F004CF">
              <w:rPr>
                <w:rFonts w:ascii="楷体" w:eastAsia="楷体" w:hAnsi="楷体" w:cs="Microsoft JhengHei" w:hint="eastAsia"/>
                <w:kern w:val="0"/>
                <w:sz w:val="24"/>
              </w:rPr>
              <w:t>新区林权数据整合项目主要依据原国土资源部《关于做好不动产登记信息管理基础平台建设工作的通知》（国土资发〔2015〕103号）、自然资源部办公厅《关于加快推进不动产登记存量数据整合汇交工作的函》（自然资办函〔2018〕1331号）等文件要求，依据《不动产权籍调查技术方案》对森林林木等已有的登记信息按现行的数据标准和技术规范进行梳理与规范，形成符合相关技术标准的数据集。依据《不动产登记数据库标准》(试行）、《不动产登记数据整合建库技术规范（试行）》通过抽取、转换、补录、整合等方法，对已登记发证但游离于不动产登记系统外的登记数据进行数据处理整合，把林权登记数据迁移至青岛市不动产登记系统中，建立不动产登记数据库。2020年底前，力争基本完成所有存量历史登记数据整合汇交工作，夯实不动产登记信息基础。</w:t>
            </w:r>
          </w:p>
          <w:p w:rsidR="00F004CF" w:rsidRPr="00F004CF" w:rsidRDefault="00F004CF" w:rsidP="004F1AA3">
            <w:pPr>
              <w:widowControl/>
              <w:ind w:firstLineChars="200" w:firstLine="480"/>
              <w:jc w:val="left"/>
              <w:rPr>
                <w:rFonts w:ascii="楷体" w:eastAsia="楷体" w:hAnsi="楷体" w:cs="Microsoft JhengHei"/>
                <w:kern w:val="0"/>
                <w:sz w:val="24"/>
              </w:rPr>
            </w:pPr>
            <w:r w:rsidRPr="00F004CF">
              <w:rPr>
                <w:rFonts w:ascii="楷体" w:eastAsia="楷体" w:hAnsi="楷体" w:cs="Microsoft JhengHei" w:hint="eastAsia"/>
                <w:kern w:val="0"/>
                <w:sz w:val="24"/>
              </w:rPr>
              <w:t>集体土地发证相关经费项目根据《区财政局关于管委《国土资源分局关于对我区集体土地范围内房屋登记发证工作经费预算进行审定的请示》批办件办理情况的报告》（青开财发[2013]123号）的批示，2013年3月3日，青岛市国土资源和房屋管理局召开了工作部署会，下发了《青岛市集体土地范围内房屋登记发证工作实施方案》（青土资房发〔2013〕221号），对各区市集体土地范围内房屋登记发证工作进行了部署。要求各区市加快工作进度，确保8月底前完成集体土地范围内房屋登记发证工作。</w:t>
            </w:r>
          </w:p>
          <w:p w:rsidR="00F004CF" w:rsidRPr="00F004CF" w:rsidRDefault="00F004CF" w:rsidP="004F1AA3">
            <w:pPr>
              <w:widowControl/>
              <w:ind w:firstLineChars="150" w:firstLine="360"/>
              <w:jc w:val="left"/>
              <w:rPr>
                <w:rFonts w:ascii="楷体" w:eastAsia="楷体" w:hAnsi="楷体" w:cs="Microsoft JhengHei"/>
                <w:kern w:val="0"/>
                <w:sz w:val="24"/>
              </w:rPr>
            </w:pPr>
            <w:r w:rsidRPr="00F004CF">
              <w:rPr>
                <w:rFonts w:ascii="楷体" w:eastAsia="楷体" w:hAnsi="楷体" w:cs="Microsoft JhengHei" w:hint="eastAsia"/>
                <w:kern w:val="0"/>
                <w:sz w:val="24"/>
              </w:rPr>
              <w:t>不动产责任险费用项目自2015年不动产统一登记实施以来，业务范围不断扩大，登记业务数据量逐年增多。不动产登记中心现有工作人员250余人，仅2018年就办理各类登记70万多件。同时，历史遗留问题也不断显现。由于不动产涉及的财产价值高，办错一件，赔偿也非常高，登记人员压力很大。当前，中心与一些部门还没有实现信息共享，对于办证当事人提供的办理要件，有时难以辨别真伪；另外，不动产登记中心现在办理的业务，原来由房产、土地、林业等部门办理，不动产统一登记实施以后，历史遗留问题比较</w:t>
            </w:r>
            <w:r w:rsidRPr="00F004CF">
              <w:rPr>
                <w:rFonts w:ascii="楷体" w:eastAsia="楷体" w:hAnsi="楷体" w:cs="Microsoft JhengHei" w:hint="eastAsia"/>
                <w:kern w:val="0"/>
                <w:sz w:val="24"/>
              </w:rPr>
              <w:lastRenderedPageBreak/>
              <w:t>多，虽然大多数能够通过政府协调、部门会商等办法加以解决，但仍可能引发不必要的行政诉讼。在此背景下，我中心建立不动产登记责任保险制度。</w:t>
            </w:r>
          </w:p>
          <w:p w:rsidR="00F004CF" w:rsidRPr="00F004CF" w:rsidRDefault="00F004CF" w:rsidP="004F1AA3">
            <w:pPr>
              <w:widowControl/>
              <w:ind w:firstLineChars="150" w:firstLine="360"/>
              <w:jc w:val="left"/>
              <w:rPr>
                <w:rFonts w:ascii="楷体" w:eastAsia="楷体" w:hAnsi="楷体" w:cs="Microsoft JhengHei"/>
                <w:kern w:val="0"/>
                <w:sz w:val="24"/>
              </w:rPr>
            </w:pPr>
            <w:r w:rsidRPr="00F004CF">
              <w:rPr>
                <w:rFonts w:ascii="楷体" w:eastAsia="楷体" w:hAnsi="楷体" w:cs="Microsoft JhengHei" w:hint="eastAsia"/>
                <w:kern w:val="0"/>
                <w:sz w:val="24"/>
              </w:rPr>
              <w:t>继承公证费用、不动产权证及证明购买费用、不动产权证及证明邮寄费用项目《关于做好不动产登记证明证书订购工作的函》、《山东省人民政府办公厅关于印发山东省优化不动产登记专项行动方案的通知》、《关于印发青岛市优化不动产登记专项行动方案的通知》、《关于印发青岛西海岸新区优化不动产登记专项行动方案的通知》等，上述三个项目为必须支出项目，有利于优化我区营商环境，优化不动产登记工作，进一步便民利民，让人民群众更有获得感、幸福感。</w:t>
            </w:r>
          </w:p>
          <w:p w:rsidR="00F004CF" w:rsidRPr="00F004CF" w:rsidRDefault="00F004CF" w:rsidP="004F1AA3">
            <w:pPr>
              <w:widowControl/>
              <w:ind w:firstLineChars="150" w:firstLine="360"/>
              <w:jc w:val="left"/>
              <w:rPr>
                <w:rFonts w:ascii="楷体" w:eastAsia="楷体" w:hAnsi="楷体" w:cs="Microsoft JhengHei"/>
                <w:kern w:val="0"/>
                <w:sz w:val="24"/>
              </w:rPr>
            </w:pPr>
            <w:r w:rsidRPr="00F004CF">
              <w:rPr>
                <w:rFonts w:ascii="楷体" w:eastAsia="楷体" w:hAnsi="楷体" w:cs="Microsoft JhengHei" w:hint="eastAsia"/>
                <w:kern w:val="0"/>
                <w:sz w:val="24"/>
              </w:rPr>
              <w:t>一窗受理设备采购、登记系统软件开发项目、自助发证设备三个项目主要依据《青岛市聚焦企业和群众关切深化一窗受理.一次办好改革措施》、《国土资源部关于做好不动产登记信息管理基础平台建设工作的通知》及其它省市局各级文件要求；国土资源部办公厅关于印发《压缩不动产登记时间实施方案》（国土资厅函【2017】585号）的通知开展相关工作。</w:t>
            </w:r>
          </w:p>
          <w:p w:rsidR="001444D7" w:rsidRPr="00F004CF" w:rsidRDefault="00F004CF" w:rsidP="004F1AA3">
            <w:pPr>
              <w:widowControl/>
              <w:ind w:firstLineChars="150" w:firstLine="360"/>
              <w:jc w:val="left"/>
              <w:rPr>
                <w:rFonts w:ascii="楷体" w:eastAsia="楷体" w:hAnsi="楷体" w:cs="Microsoft JhengHei"/>
                <w:kern w:val="0"/>
                <w:sz w:val="24"/>
              </w:rPr>
            </w:pPr>
            <w:r w:rsidRPr="00F004CF">
              <w:rPr>
                <w:rFonts w:ascii="楷体" w:eastAsia="楷体" w:hAnsi="楷体" w:cs="Microsoft JhengHei" w:hint="eastAsia"/>
                <w:kern w:val="0"/>
                <w:sz w:val="24"/>
              </w:rPr>
              <w:t>硒鼓墨盒、印刷费、复印纸为保障中心日常办公及对外服务，中心目前提供档案复印，档案自助查询打印，免费提供复印、打印传真等便民服务。</w:t>
            </w:r>
          </w:p>
        </w:tc>
      </w:tr>
      <w:tr w:rsidR="005A2087" w:rsidRPr="00396C73" w:rsidTr="00482568">
        <w:trPr>
          <w:trHeight w:val="1814"/>
          <w:jc w:val="center"/>
        </w:trPr>
        <w:tc>
          <w:tcPr>
            <w:tcW w:w="78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lastRenderedPageBreak/>
              <w:t>存</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在</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问</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kern w:val="0"/>
                <w:sz w:val="24"/>
              </w:rPr>
            </w:pPr>
            <w:r w:rsidRPr="00482568">
              <w:rPr>
                <w:rFonts w:asciiTheme="minorEastAsia" w:eastAsiaTheme="minorEastAsia" w:hAnsiTheme="minorEastAsia" w:cs="Microsoft JhengHei" w:hint="eastAsia"/>
                <w:kern w:val="0"/>
                <w:sz w:val="24"/>
              </w:rPr>
              <w:t>题</w:t>
            </w:r>
          </w:p>
        </w:tc>
        <w:tc>
          <w:tcPr>
            <w:tcW w:w="8052" w:type="dxa"/>
            <w:gridSpan w:val="4"/>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B531BB" w:rsidRPr="00B531BB" w:rsidRDefault="00B531BB" w:rsidP="00B531BB">
            <w:pPr>
              <w:widowControl/>
              <w:ind w:firstLineChars="200" w:firstLine="480"/>
              <w:jc w:val="left"/>
              <w:rPr>
                <w:rFonts w:ascii="楷体" w:eastAsia="楷体" w:hAnsi="楷体"/>
                <w:kern w:val="0"/>
                <w:sz w:val="24"/>
              </w:rPr>
            </w:pPr>
            <w:r w:rsidRPr="00B531BB">
              <w:rPr>
                <w:rFonts w:ascii="楷体" w:eastAsia="楷体" w:hAnsi="楷体" w:hint="eastAsia"/>
                <w:kern w:val="0"/>
                <w:sz w:val="24"/>
              </w:rPr>
              <w:t>业务正在开展中，可能存在工作人员经验不足，要督促项目开展方加强业务培训学习，确保工作的顺利开展。</w:t>
            </w:r>
          </w:p>
          <w:p w:rsidR="00B531BB" w:rsidRPr="00B531BB" w:rsidRDefault="00B531BB" w:rsidP="00B531BB">
            <w:pPr>
              <w:widowControl/>
              <w:ind w:firstLineChars="200" w:firstLine="480"/>
              <w:jc w:val="left"/>
              <w:rPr>
                <w:rFonts w:ascii="楷体" w:eastAsia="楷体" w:hAnsi="楷体"/>
                <w:kern w:val="0"/>
                <w:sz w:val="24"/>
              </w:rPr>
            </w:pPr>
            <w:r w:rsidRPr="00B531BB">
              <w:rPr>
                <w:rFonts w:ascii="楷体" w:eastAsia="楷体" w:hAnsi="楷体" w:hint="eastAsia"/>
                <w:kern w:val="0"/>
                <w:sz w:val="24"/>
              </w:rPr>
              <w:t>农村房屋情况复杂，对于工作中遇到的问题，及时进行研究解决。</w:t>
            </w:r>
          </w:p>
          <w:p w:rsidR="00B531BB" w:rsidRPr="00B531BB" w:rsidRDefault="00B531BB" w:rsidP="00B531BB">
            <w:pPr>
              <w:widowControl/>
              <w:jc w:val="left"/>
              <w:rPr>
                <w:rFonts w:ascii="楷体" w:eastAsia="楷体" w:hAnsi="楷体"/>
                <w:kern w:val="0"/>
                <w:sz w:val="24"/>
              </w:rPr>
            </w:pPr>
            <w:r w:rsidRPr="00B531BB">
              <w:rPr>
                <w:rFonts w:ascii="楷体" w:eastAsia="楷体" w:hAnsi="楷体" w:hint="eastAsia"/>
                <w:kern w:val="0"/>
                <w:sz w:val="24"/>
              </w:rPr>
              <w:t>免费邮寄项目开展后，宣传效果有待一步加强。绩效评价工作不熟练，学习不系统。</w:t>
            </w:r>
          </w:p>
          <w:p w:rsidR="005A2087" w:rsidRPr="005A2087" w:rsidRDefault="00B531BB" w:rsidP="00B531BB">
            <w:pPr>
              <w:widowControl/>
              <w:ind w:firstLineChars="200" w:firstLine="480"/>
              <w:jc w:val="left"/>
              <w:rPr>
                <w:rFonts w:ascii="楷体" w:eastAsia="楷体" w:hAnsi="楷体"/>
                <w:kern w:val="0"/>
                <w:sz w:val="24"/>
              </w:rPr>
            </w:pPr>
            <w:r w:rsidRPr="00B531BB">
              <w:rPr>
                <w:rFonts w:ascii="楷体" w:eastAsia="楷体" w:hAnsi="楷体" w:hint="eastAsia"/>
                <w:kern w:val="0"/>
                <w:sz w:val="24"/>
              </w:rPr>
              <w:t>绩效目标不够细化、具体，对社会效益、生态效益、经济效益、持续影响力等考核指标内涵理解不够细化、具体。</w:t>
            </w:r>
          </w:p>
        </w:tc>
      </w:tr>
      <w:tr w:rsidR="005A2087" w:rsidRPr="00396C73" w:rsidTr="00482568">
        <w:trPr>
          <w:trHeight w:val="1814"/>
          <w:jc w:val="center"/>
        </w:trPr>
        <w:tc>
          <w:tcPr>
            <w:tcW w:w="78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整</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改</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建</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kern w:val="0"/>
                <w:sz w:val="24"/>
              </w:rPr>
            </w:pPr>
            <w:r w:rsidRPr="00482568">
              <w:rPr>
                <w:rFonts w:asciiTheme="minorEastAsia" w:eastAsiaTheme="minorEastAsia" w:hAnsiTheme="minorEastAsia" w:cs="Microsoft JhengHei" w:hint="eastAsia"/>
                <w:kern w:val="0"/>
                <w:sz w:val="24"/>
              </w:rPr>
              <w:t>议</w:t>
            </w:r>
          </w:p>
        </w:tc>
        <w:tc>
          <w:tcPr>
            <w:tcW w:w="8052" w:type="dxa"/>
            <w:gridSpan w:val="4"/>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9A6660" w:rsidRPr="009A6660" w:rsidRDefault="009A6660" w:rsidP="009A6660">
            <w:pPr>
              <w:widowControl/>
              <w:ind w:firstLineChars="200" w:firstLine="480"/>
              <w:jc w:val="left"/>
              <w:rPr>
                <w:rFonts w:ascii="楷体" w:eastAsia="楷体" w:hAnsi="楷体"/>
                <w:kern w:val="0"/>
                <w:sz w:val="24"/>
              </w:rPr>
            </w:pPr>
            <w:r w:rsidRPr="009A6660">
              <w:rPr>
                <w:rFonts w:ascii="楷体" w:eastAsia="楷体" w:hAnsi="楷体" w:hint="eastAsia"/>
                <w:kern w:val="0"/>
                <w:sz w:val="24"/>
              </w:rPr>
              <w:t>林权登记数据跨越时间长，情况复杂，可能存在林权内存在永久基本农田、建设用地等问题，针对每个项目存在的问题，按要求进行处理。</w:t>
            </w:r>
          </w:p>
          <w:p w:rsidR="009A6660" w:rsidRPr="009A6660" w:rsidRDefault="009A6660" w:rsidP="009A6660">
            <w:pPr>
              <w:widowControl/>
              <w:ind w:firstLineChars="200" w:firstLine="480"/>
              <w:jc w:val="left"/>
              <w:rPr>
                <w:rFonts w:ascii="楷体" w:eastAsia="楷体" w:hAnsi="楷体"/>
                <w:kern w:val="0"/>
                <w:sz w:val="24"/>
              </w:rPr>
            </w:pPr>
            <w:r w:rsidRPr="009A6660">
              <w:rPr>
                <w:rFonts w:ascii="楷体" w:eastAsia="楷体" w:hAnsi="楷体" w:hint="eastAsia"/>
                <w:kern w:val="0"/>
                <w:sz w:val="24"/>
              </w:rPr>
              <w:t>根据国家宅基地管理的有关规定，与时俱进，及时研究工作中出现的新问题，确保工作的顺利开展。</w:t>
            </w:r>
          </w:p>
          <w:p w:rsidR="005A2087" w:rsidRPr="005A2087" w:rsidRDefault="009A6660" w:rsidP="009A6660">
            <w:pPr>
              <w:widowControl/>
              <w:ind w:firstLineChars="200" w:firstLine="480"/>
              <w:jc w:val="left"/>
              <w:rPr>
                <w:rFonts w:ascii="楷体" w:eastAsia="楷体" w:hAnsi="楷体"/>
                <w:kern w:val="0"/>
                <w:sz w:val="24"/>
              </w:rPr>
            </w:pPr>
            <w:r w:rsidRPr="009A6660">
              <w:rPr>
                <w:rFonts w:ascii="楷体" w:eastAsia="楷体" w:hAnsi="楷体" w:hint="eastAsia"/>
                <w:kern w:val="0"/>
                <w:sz w:val="24"/>
              </w:rPr>
              <w:t>进一步加强对绩效评价的学习，促进单位从整体上提升预算绩效管理工作水平，强化支出责任，规范资金管理行为，提高财政资金使用效益，保障单位更好地履行职责。加强项目的预算绩效意识，多角度细化规划编制绩效目标，为绩效评价工作打下良好的基础。</w:t>
            </w:r>
          </w:p>
        </w:tc>
      </w:tr>
      <w:tr w:rsidR="005A2087" w:rsidRPr="00396C73" w:rsidTr="00482568">
        <w:trPr>
          <w:trHeight w:val="1814"/>
          <w:jc w:val="center"/>
        </w:trPr>
        <w:tc>
          <w:tcPr>
            <w:tcW w:w="78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整</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改</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情</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kern w:val="0"/>
                <w:sz w:val="24"/>
              </w:rPr>
            </w:pPr>
            <w:r w:rsidRPr="00482568">
              <w:rPr>
                <w:rFonts w:asciiTheme="minorEastAsia" w:eastAsiaTheme="minorEastAsia" w:hAnsiTheme="minorEastAsia" w:cs="Microsoft JhengHei" w:hint="eastAsia"/>
                <w:kern w:val="0"/>
                <w:sz w:val="24"/>
              </w:rPr>
              <w:t>况</w:t>
            </w:r>
          </w:p>
        </w:tc>
        <w:tc>
          <w:tcPr>
            <w:tcW w:w="8052" w:type="dxa"/>
            <w:gridSpan w:val="4"/>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4F1AA3" w:rsidRDefault="004F1AA3" w:rsidP="004F1AA3">
            <w:pPr>
              <w:widowControl/>
              <w:ind w:firstLineChars="200" w:firstLine="480"/>
              <w:jc w:val="left"/>
              <w:rPr>
                <w:rFonts w:ascii="楷体" w:eastAsia="楷体" w:hAnsi="楷体" w:hint="eastAsia"/>
                <w:kern w:val="0"/>
                <w:sz w:val="24"/>
              </w:rPr>
            </w:pPr>
            <w:r>
              <w:rPr>
                <w:rFonts w:ascii="楷体" w:eastAsia="楷体" w:hAnsi="楷体" w:hint="eastAsia"/>
                <w:kern w:val="0"/>
                <w:sz w:val="24"/>
              </w:rPr>
              <w:t>成立项目整改绩效小组，结合项目自评结果，开展</w:t>
            </w:r>
            <w:r w:rsidR="00DF4AFF">
              <w:rPr>
                <w:rFonts w:ascii="楷体" w:eastAsia="楷体" w:hAnsi="楷体" w:hint="eastAsia"/>
                <w:kern w:val="0"/>
                <w:sz w:val="24"/>
              </w:rPr>
              <w:t>了</w:t>
            </w:r>
            <w:r>
              <w:rPr>
                <w:rFonts w:ascii="楷体" w:eastAsia="楷体" w:hAnsi="楷体" w:hint="eastAsia"/>
                <w:kern w:val="0"/>
                <w:sz w:val="24"/>
              </w:rPr>
              <w:t>以下措施：</w:t>
            </w:r>
          </w:p>
          <w:p w:rsidR="004F1AA3" w:rsidRPr="004F1AA3" w:rsidRDefault="004F1AA3" w:rsidP="004F1AA3">
            <w:pPr>
              <w:widowControl/>
              <w:ind w:firstLineChars="200" w:firstLine="480"/>
              <w:jc w:val="left"/>
              <w:rPr>
                <w:rFonts w:ascii="楷体" w:eastAsia="楷体" w:hAnsi="楷体"/>
                <w:kern w:val="0"/>
                <w:sz w:val="24"/>
              </w:rPr>
            </w:pPr>
            <w:r w:rsidRPr="004F1AA3">
              <w:rPr>
                <w:rFonts w:ascii="楷体" w:eastAsia="楷体" w:hAnsi="楷体" w:hint="eastAsia"/>
                <w:kern w:val="0"/>
                <w:sz w:val="24"/>
              </w:rPr>
              <w:t>1.科学设置绩效目标</w:t>
            </w:r>
            <w:r w:rsidR="00DF4AFF">
              <w:rPr>
                <w:rFonts w:ascii="楷体" w:eastAsia="楷体" w:hAnsi="楷体" w:hint="eastAsia"/>
                <w:kern w:val="0"/>
                <w:sz w:val="24"/>
              </w:rPr>
              <w:t>, 定期组织</w:t>
            </w:r>
            <w:r w:rsidR="00DF4AFF" w:rsidRPr="003706F3">
              <w:rPr>
                <w:rFonts w:ascii="楷体" w:eastAsia="楷体" w:hAnsi="楷体" w:hint="eastAsia"/>
                <w:kern w:val="0"/>
                <w:sz w:val="24"/>
              </w:rPr>
              <w:t>预算绩效学习，</w:t>
            </w:r>
            <w:r w:rsidRPr="004F1AA3">
              <w:rPr>
                <w:rFonts w:ascii="楷体" w:eastAsia="楷体" w:hAnsi="楷体" w:hint="eastAsia"/>
                <w:kern w:val="0"/>
                <w:sz w:val="24"/>
              </w:rPr>
              <w:t>坚持目标导向，强化预算绩效目标管理，保证绩效目标能够全面、准确地反映项目任务，保证绩效目标量化、细化。</w:t>
            </w:r>
          </w:p>
          <w:p w:rsidR="004F1AA3" w:rsidRPr="004F1AA3" w:rsidRDefault="004F1AA3" w:rsidP="004F1AA3">
            <w:pPr>
              <w:widowControl/>
              <w:ind w:firstLineChars="200" w:firstLine="480"/>
              <w:jc w:val="left"/>
              <w:rPr>
                <w:rFonts w:ascii="楷体" w:eastAsia="楷体" w:hAnsi="楷体"/>
                <w:kern w:val="0"/>
                <w:sz w:val="24"/>
              </w:rPr>
            </w:pPr>
            <w:r w:rsidRPr="004F1AA3">
              <w:rPr>
                <w:rFonts w:ascii="楷体" w:eastAsia="楷体" w:hAnsi="楷体" w:hint="eastAsia"/>
                <w:kern w:val="0"/>
                <w:sz w:val="24"/>
              </w:rPr>
              <w:t>2.提高预算编制准确率，提高项目资金执行率。</w:t>
            </w:r>
            <w:r w:rsidR="00DF4AFF">
              <w:rPr>
                <w:rFonts w:ascii="楷体" w:eastAsia="楷体" w:hAnsi="楷体" w:hint="eastAsia"/>
                <w:kern w:val="0"/>
                <w:sz w:val="24"/>
              </w:rPr>
              <w:t>为</w:t>
            </w:r>
            <w:r w:rsidRPr="004F1AA3">
              <w:rPr>
                <w:rFonts w:ascii="楷体" w:eastAsia="楷体" w:hAnsi="楷体" w:hint="eastAsia"/>
                <w:kern w:val="0"/>
                <w:sz w:val="24"/>
              </w:rPr>
              <w:t>提高预算编制准确率，</w:t>
            </w:r>
            <w:r w:rsidR="00DF4AFF">
              <w:rPr>
                <w:rFonts w:ascii="楷体" w:eastAsia="楷体" w:hAnsi="楷体" w:hint="eastAsia"/>
                <w:kern w:val="0"/>
                <w:sz w:val="24"/>
              </w:rPr>
              <w:t>将任务分解至各科室，加大</w:t>
            </w:r>
            <w:r w:rsidRPr="004F1AA3">
              <w:rPr>
                <w:rFonts w:ascii="楷体" w:eastAsia="楷体" w:hAnsi="楷体" w:hint="eastAsia"/>
                <w:kern w:val="0"/>
                <w:sz w:val="24"/>
              </w:rPr>
              <w:t>事前监督，注重项目过程中的预算执行情况分析，</w:t>
            </w:r>
            <w:r w:rsidR="00DF4AFF">
              <w:rPr>
                <w:rFonts w:ascii="楷体" w:eastAsia="楷体" w:hAnsi="楷体" w:hint="eastAsia"/>
                <w:kern w:val="0"/>
                <w:sz w:val="24"/>
              </w:rPr>
              <w:t>以</w:t>
            </w:r>
            <w:r w:rsidRPr="004F1AA3">
              <w:rPr>
                <w:rFonts w:ascii="楷体" w:eastAsia="楷体" w:hAnsi="楷体" w:hint="eastAsia"/>
                <w:kern w:val="0"/>
                <w:sz w:val="24"/>
              </w:rPr>
              <w:t>提高项目资金执行率。</w:t>
            </w:r>
          </w:p>
          <w:p w:rsidR="005A2087" w:rsidRPr="005A2087" w:rsidRDefault="004F1AA3" w:rsidP="00DF4AFF">
            <w:pPr>
              <w:widowControl/>
              <w:ind w:firstLineChars="200" w:firstLine="480"/>
              <w:jc w:val="left"/>
              <w:rPr>
                <w:rFonts w:ascii="楷体" w:eastAsia="楷体" w:hAnsi="楷体"/>
                <w:kern w:val="0"/>
                <w:sz w:val="24"/>
              </w:rPr>
            </w:pPr>
            <w:r w:rsidRPr="004F1AA3">
              <w:rPr>
                <w:rFonts w:ascii="楷体" w:eastAsia="楷体" w:hAnsi="楷体" w:hint="eastAsia"/>
                <w:kern w:val="0"/>
                <w:sz w:val="24"/>
              </w:rPr>
              <w:t>3.不断完善专项经费管理机制</w:t>
            </w:r>
            <w:r w:rsidR="00DF4AFF">
              <w:rPr>
                <w:rFonts w:ascii="楷体" w:eastAsia="楷体" w:hAnsi="楷体" w:hint="eastAsia"/>
                <w:kern w:val="0"/>
                <w:sz w:val="24"/>
              </w:rPr>
              <w:t>，</w:t>
            </w:r>
            <w:r w:rsidRPr="004F1AA3">
              <w:rPr>
                <w:rFonts w:ascii="楷体" w:eastAsia="楷体" w:hAnsi="楷体" w:hint="eastAsia"/>
                <w:kern w:val="0"/>
                <w:sz w:val="24"/>
              </w:rPr>
              <w:t>完善机构设置和权责分配，遵循制衡性原则，</w:t>
            </w:r>
            <w:r w:rsidR="00DF4AFF">
              <w:rPr>
                <w:rFonts w:ascii="楷体" w:eastAsia="楷体" w:hAnsi="楷体" w:hint="eastAsia"/>
                <w:kern w:val="0"/>
                <w:sz w:val="24"/>
              </w:rPr>
              <w:t>不相容岗位相分离。</w:t>
            </w:r>
            <w:r w:rsidR="00DF4AFF" w:rsidRPr="005A2087">
              <w:rPr>
                <w:rFonts w:ascii="楷体" w:eastAsia="楷体" w:hAnsi="楷体"/>
                <w:kern w:val="0"/>
                <w:sz w:val="24"/>
              </w:rPr>
              <w:t xml:space="preserve"> </w:t>
            </w:r>
          </w:p>
        </w:tc>
      </w:tr>
    </w:tbl>
    <w:p w:rsidR="003440C6" w:rsidRPr="005A2087" w:rsidRDefault="003440C6" w:rsidP="005A2087">
      <w:pPr>
        <w:rPr>
          <w:rFonts w:asciiTheme="minorEastAsia" w:eastAsiaTheme="minorEastAsia" w:hAnsiTheme="minorEastAsia"/>
          <w:spacing w:val="-4"/>
          <w:sz w:val="24"/>
        </w:rPr>
      </w:pPr>
    </w:p>
    <w:sectPr w:rsidR="003440C6" w:rsidRPr="005A2087" w:rsidSect="00F06723">
      <w:footerReference w:type="even" r:id="rId6"/>
      <w:footerReference w:type="default" r:id="rId7"/>
      <w:pgSz w:w="11906" w:h="16838" w:code="9"/>
      <w:pgMar w:top="1871" w:right="1474" w:bottom="1871"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F8A" w:rsidRDefault="00F11F8A">
      <w:r>
        <w:separator/>
      </w:r>
    </w:p>
  </w:endnote>
  <w:endnote w:type="continuationSeparator" w:id="1">
    <w:p w:rsidR="00F11F8A" w:rsidRDefault="00F11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0C6" w:rsidRPr="00CA14F6" w:rsidRDefault="003440C6" w:rsidP="0050475E">
    <w:pPr>
      <w:pStyle w:val="a3"/>
      <w:framePr w:wrap="around" w:vAnchor="text" w:hAnchor="margin" w:xAlign="outside" w:y="1"/>
      <w:ind w:leftChars="200" w:left="420"/>
      <w:rPr>
        <w:rStyle w:val="a4"/>
        <w:rFonts w:ascii="宋体"/>
        <w:sz w:val="28"/>
        <w:szCs w:val="28"/>
      </w:rPr>
    </w:pPr>
    <w:r>
      <w:rPr>
        <w:rStyle w:val="a4"/>
        <w:rFonts w:ascii="宋体" w:hAnsi="宋体"/>
        <w:sz w:val="28"/>
        <w:szCs w:val="28"/>
      </w:rPr>
      <w:t xml:space="preserve">— </w:t>
    </w:r>
    <w:r w:rsidR="005D7177" w:rsidRPr="00CA14F6">
      <w:rPr>
        <w:rStyle w:val="a4"/>
        <w:rFonts w:ascii="宋体" w:hAnsi="宋体"/>
        <w:sz w:val="28"/>
        <w:szCs w:val="28"/>
      </w:rPr>
      <w:fldChar w:fldCharType="begin"/>
    </w:r>
    <w:r w:rsidRPr="00CA14F6">
      <w:rPr>
        <w:rStyle w:val="a4"/>
        <w:rFonts w:ascii="宋体" w:hAnsi="宋体"/>
        <w:sz w:val="28"/>
        <w:szCs w:val="28"/>
      </w:rPr>
      <w:instrText xml:space="preserve">PAGE  </w:instrText>
    </w:r>
    <w:r w:rsidR="005D7177" w:rsidRPr="00CA14F6">
      <w:rPr>
        <w:rStyle w:val="a4"/>
        <w:rFonts w:ascii="宋体" w:hAnsi="宋体"/>
        <w:sz w:val="28"/>
        <w:szCs w:val="28"/>
      </w:rPr>
      <w:fldChar w:fldCharType="separate"/>
    </w:r>
    <w:r w:rsidR="00DF4AFF">
      <w:rPr>
        <w:rStyle w:val="a4"/>
        <w:rFonts w:ascii="宋体" w:hAnsi="宋体"/>
        <w:noProof/>
        <w:sz w:val="28"/>
        <w:szCs w:val="28"/>
      </w:rPr>
      <w:t>2</w:t>
    </w:r>
    <w:r w:rsidR="005D7177" w:rsidRPr="00CA14F6">
      <w:rPr>
        <w:rStyle w:val="a4"/>
        <w:rFonts w:ascii="宋体" w:hAnsi="宋体"/>
        <w:sz w:val="28"/>
        <w:szCs w:val="28"/>
      </w:rPr>
      <w:fldChar w:fldCharType="end"/>
    </w:r>
    <w:r>
      <w:rPr>
        <w:rStyle w:val="a4"/>
        <w:rFonts w:ascii="宋体" w:hAnsi="宋体"/>
        <w:sz w:val="28"/>
        <w:szCs w:val="28"/>
      </w:rPr>
      <w:t xml:space="preserve"> —</w:t>
    </w:r>
  </w:p>
  <w:p w:rsidR="003440C6" w:rsidRDefault="003440C6" w:rsidP="00F0672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0C6" w:rsidRPr="00F06723" w:rsidRDefault="003440C6" w:rsidP="0050475E">
    <w:pPr>
      <w:pStyle w:val="a3"/>
      <w:framePr w:wrap="around" w:vAnchor="text" w:hAnchor="margin" w:xAlign="outside" w:y="1"/>
      <w:ind w:rightChars="200" w:right="420"/>
      <w:rPr>
        <w:rStyle w:val="a4"/>
        <w:rFonts w:ascii="宋体"/>
        <w:sz w:val="28"/>
        <w:szCs w:val="28"/>
      </w:rPr>
    </w:pPr>
    <w:r>
      <w:rPr>
        <w:rStyle w:val="a4"/>
        <w:rFonts w:ascii="宋体" w:hAnsi="宋体"/>
        <w:sz w:val="28"/>
        <w:szCs w:val="28"/>
      </w:rPr>
      <w:t xml:space="preserve">— </w:t>
    </w:r>
    <w:r w:rsidR="005D7177" w:rsidRPr="00F06723">
      <w:rPr>
        <w:rStyle w:val="a4"/>
        <w:rFonts w:ascii="宋体" w:hAnsi="宋体"/>
        <w:sz w:val="28"/>
        <w:szCs w:val="28"/>
      </w:rPr>
      <w:fldChar w:fldCharType="begin"/>
    </w:r>
    <w:r w:rsidRPr="00F06723">
      <w:rPr>
        <w:rStyle w:val="a4"/>
        <w:rFonts w:ascii="宋体" w:hAnsi="宋体"/>
        <w:sz w:val="28"/>
        <w:szCs w:val="28"/>
      </w:rPr>
      <w:instrText xml:space="preserve">PAGE  </w:instrText>
    </w:r>
    <w:r w:rsidR="005D7177" w:rsidRPr="00F06723">
      <w:rPr>
        <w:rStyle w:val="a4"/>
        <w:rFonts w:ascii="宋体" w:hAnsi="宋体"/>
        <w:sz w:val="28"/>
        <w:szCs w:val="28"/>
      </w:rPr>
      <w:fldChar w:fldCharType="separate"/>
    </w:r>
    <w:r w:rsidR="00DF4AFF">
      <w:rPr>
        <w:rStyle w:val="a4"/>
        <w:rFonts w:ascii="宋体" w:hAnsi="宋体"/>
        <w:noProof/>
        <w:sz w:val="28"/>
        <w:szCs w:val="28"/>
      </w:rPr>
      <w:t>1</w:t>
    </w:r>
    <w:r w:rsidR="005D7177" w:rsidRPr="00F06723">
      <w:rPr>
        <w:rStyle w:val="a4"/>
        <w:rFonts w:ascii="宋体" w:hAnsi="宋体"/>
        <w:sz w:val="28"/>
        <w:szCs w:val="28"/>
      </w:rPr>
      <w:fldChar w:fldCharType="end"/>
    </w:r>
    <w:r>
      <w:rPr>
        <w:rStyle w:val="a4"/>
        <w:rFonts w:ascii="宋体" w:hAnsi="宋体"/>
        <w:sz w:val="28"/>
        <w:szCs w:val="28"/>
      </w:rPr>
      <w:t xml:space="preserve"> —</w:t>
    </w:r>
  </w:p>
  <w:p w:rsidR="003440C6" w:rsidRDefault="003440C6" w:rsidP="00F06723">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F8A" w:rsidRDefault="00F11F8A">
      <w:r>
        <w:separator/>
      </w:r>
    </w:p>
  </w:footnote>
  <w:footnote w:type="continuationSeparator" w:id="1">
    <w:p w:rsidR="00F11F8A" w:rsidRDefault="00F11F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5D34"/>
    <w:rsid w:val="00002296"/>
    <w:rsid w:val="000563E8"/>
    <w:rsid w:val="000829E4"/>
    <w:rsid w:val="0009094F"/>
    <w:rsid w:val="00097C06"/>
    <w:rsid w:val="000E36C0"/>
    <w:rsid w:val="00140AA5"/>
    <w:rsid w:val="001444D7"/>
    <w:rsid w:val="00147C75"/>
    <w:rsid w:val="0015246C"/>
    <w:rsid w:val="001836C6"/>
    <w:rsid w:val="001B2D0A"/>
    <w:rsid w:val="001C1E4B"/>
    <w:rsid w:val="001E5D1B"/>
    <w:rsid w:val="00225C0F"/>
    <w:rsid w:val="00262BE7"/>
    <w:rsid w:val="003440C6"/>
    <w:rsid w:val="003535FE"/>
    <w:rsid w:val="00380978"/>
    <w:rsid w:val="00396C73"/>
    <w:rsid w:val="003B760B"/>
    <w:rsid w:val="003C42B0"/>
    <w:rsid w:val="003F38B1"/>
    <w:rsid w:val="0041522A"/>
    <w:rsid w:val="004346DF"/>
    <w:rsid w:val="004414CF"/>
    <w:rsid w:val="00482568"/>
    <w:rsid w:val="00497164"/>
    <w:rsid w:val="004D2DBD"/>
    <w:rsid w:val="004F1AA3"/>
    <w:rsid w:val="004F42E4"/>
    <w:rsid w:val="0050475E"/>
    <w:rsid w:val="00561E7C"/>
    <w:rsid w:val="005827B5"/>
    <w:rsid w:val="005873E5"/>
    <w:rsid w:val="005A2087"/>
    <w:rsid w:val="005C117B"/>
    <w:rsid w:val="005C22CC"/>
    <w:rsid w:val="005D7177"/>
    <w:rsid w:val="005E2DD5"/>
    <w:rsid w:val="00624B5E"/>
    <w:rsid w:val="00653B3C"/>
    <w:rsid w:val="00661545"/>
    <w:rsid w:val="00664ECA"/>
    <w:rsid w:val="006730E7"/>
    <w:rsid w:val="006C1BE1"/>
    <w:rsid w:val="006E5BA0"/>
    <w:rsid w:val="007102CE"/>
    <w:rsid w:val="00751C74"/>
    <w:rsid w:val="007662B5"/>
    <w:rsid w:val="007971DF"/>
    <w:rsid w:val="007A118B"/>
    <w:rsid w:val="007C28DA"/>
    <w:rsid w:val="007D7C03"/>
    <w:rsid w:val="008326DB"/>
    <w:rsid w:val="00872F8E"/>
    <w:rsid w:val="00880A88"/>
    <w:rsid w:val="008A5D34"/>
    <w:rsid w:val="008E265C"/>
    <w:rsid w:val="009006F4"/>
    <w:rsid w:val="00961371"/>
    <w:rsid w:val="009A6660"/>
    <w:rsid w:val="009C6F85"/>
    <w:rsid w:val="009E4990"/>
    <w:rsid w:val="00A060A8"/>
    <w:rsid w:val="00A461F1"/>
    <w:rsid w:val="00A91953"/>
    <w:rsid w:val="00AB1073"/>
    <w:rsid w:val="00AF17D8"/>
    <w:rsid w:val="00B257CA"/>
    <w:rsid w:val="00B531BB"/>
    <w:rsid w:val="00B944B7"/>
    <w:rsid w:val="00C85AAC"/>
    <w:rsid w:val="00CA14F6"/>
    <w:rsid w:val="00CC003A"/>
    <w:rsid w:val="00CE4473"/>
    <w:rsid w:val="00D661A2"/>
    <w:rsid w:val="00D71BAE"/>
    <w:rsid w:val="00D96EB3"/>
    <w:rsid w:val="00DC79BB"/>
    <w:rsid w:val="00DF4AFF"/>
    <w:rsid w:val="00E1247E"/>
    <w:rsid w:val="00EA6BA8"/>
    <w:rsid w:val="00F004CF"/>
    <w:rsid w:val="00F06723"/>
    <w:rsid w:val="00F11F8A"/>
    <w:rsid w:val="00F541C6"/>
    <w:rsid w:val="00F668E1"/>
    <w:rsid w:val="00F71AAA"/>
    <w:rsid w:val="00F84A33"/>
    <w:rsid w:val="00F96C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99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06723"/>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B069A"/>
    <w:rPr>
      <w:sz w:val="18"/>
      <w:szCs w:val="18"/>
    </w:rPr>
  </w:style>
  <w:style w:type="character" w:styleId="a4">
    <w:name w:val="page number"/>
    <w:basedOn w:val="a0"/>
    <w:uiPriority w:val="99"/>
    <w:rsid w:val="00F06723"/>
    <w:rPr>
      <w:rFonts w:cs="Times New Roman"/>
    </w:rPr>
  </w:style>
  <w:style w:type="paragraph" w:styleId="a5">
    <w:name w:val="header"/>
    <w:basedOn w:val="a"/>
    <w:link w:val="Char0"/>
    <w:uiPriority w:val="99"/>
    <w:rsid w:val="00F067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B069A"/>
    <w:rPr>
      <w:sz w:val="18"/>
      <w:szCs w:val="18"/>
    </w:rPr>
  </w:style>
  <w:style w:type="paragraph" w:styleId="a6">
    <w:name w:val="Balloon Text"/>
    <w:basedOn w:val="a"/>
    <w:link w:val="Char1"/>
    <w:uiPriority w:val="99"/>
    <w:semiHidden/>
    <w:unhideWhenUsed/>
    <w:rsid w:val="00002296"/>
    <w:rPr>
      <w:sz w:val="18"/>
      <w:szCs w:val="18"/>
    </w:rPr>
  </w:style>
  <w:style w:type="character" w:customStyle="1" w:styleId="Char1">
    <w:name w:val="批注框文本 Char"/>
    <w:basedOn w:val="a0"/>
    <w:link w:val="a6"/>
    <w:uiPriority w:val="99"/>
    <w:semiHidden/>
    <w:rsid w:val="0000229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323</Words>
  <Characters>1843</Characters>
  <Application>Microsoft Office Word</Application>
  <DocSecurity>0</DocSecurity>
  <Lines>15</Lines>
  <Paragraphs>4</Paragraphs>
  <ScaleCrop>false</ScaleCrop>
  <Company>Microsoft</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czuser</dc:creator>
  <cp:lastModifiedBy>微软用户</cp:lastModifiedBy>
  <cp:revision>45</cp:revision>
  <cp:lastPrinted>2020-03-08T09:59:00Z</cp:lastPrinted>
  <dcterms:created xsi:type="dcterms:W3CDTF">2019-09-18T06:33:00Z</dcterms:created>
  <dcterms:modified xsi:type="dcterms:W3CDTF">2020-10-19T09:39:00Z</dcterms:modified>
</cp:coreProperties>
</file>