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left="880" w:hanging="880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20" w:lineRule="exact"/>
        <w:ind w:left="880" w:hanging="880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</w:p>
    <w:p>
      <w:pPr>
        <w:spacing w:line="520" w:lineRule="exact"/>
        <w:ind w:left="880" w:hanging="880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年度社会工作创新引导资金</w:t>
      </w:r>
    </w:p>
    <w:p>
      <w:pPr>
        <w:spacing w:line="520" w:lineRule="exact"/>
        <w:ind w:left="880" w:hanging="880"/>
        <w:jc w:val="center"/>
        <w:rPr>
          <w:rFonts w:ascii="方正小标宋_GBK" w:eastAsia="方正小标宋_GBK" w:cs="文星简黑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绩效自评抽查复核报告</w:t>
      </w:r>
    </w:p>
    <w:p>
      <w:pPr>
        <w:spacing w:line="520" w:lineRule="exact"/>
        <w:ind w:left="1040" w:hanging="1040"/>
        <w:jc w:val="right"/>
        <w:rPr>
          <w:rFonts w:ascii="文星简黑体" w:eastAsia="文星简黑体"/>
          <w:sz w:val="52"/>
          <w:szCs w:val="52"/>
        </w:rPr>
      </w:pPr>
    </w:p>
    <w:p>
      <w:pPr>
        <w:spacing w:line="520" w:lineRule="exact"/>
        <w:ind w:left="1040" w:hanging="1040"/>
        <w:jc w:val="center"/>
        <w:rPr>
          <w:rFonts w:ascii="文星简黑体" w:eastAsia="文星简黑体"/>
          <w:sz w:val="52"/>
          <w:szCs w:val="52"/>
        </w:rPr>
      </w:pPr>
    </w:p>
    <w:p>
      <w:pPr>
        <w:pStyle w:val="16"/>
      </w:pPr>
    </w:p>
    <w:p>
      <w:pPr>
        <w:pStyle w:val="16"/>
      </w:pPr>
    </w:p>
    <w:p>
      <w:pPr>
        <w:pStyle w:val="16"/>
      </w:pPr>
    </w:p>
    <w:p>
      <w:pPr>
        <w:pStyle w:val="16"/>
      </w:pPr>
    </w:p>
    <w:p>
      <w:pPr>
        <w:pStyle w:val="16"/>
      </w:pPr>
    </w:p>
    <w:p>
      <w:pPr>
        <w:pStyle w:val="16"/>
      </w:pPr>
    </w:p>
    <w:p>
      <w:pPr>
        <w:pStyle w:val="16"/>
        <w:ind w:firstLine="1040"/>
        <w:rPr>
          <w:rFonts w:ascii="文星简黑体" w:eastAsia="文星简黑体"/>
          <w:sz w:val="52"/>
          <w:szCs w:val="52"/>
        </w:rPr>
      </w:pPr>
    </w:p>
    <w:p>
      <w:pPr>
        <w:pStyle w:val="16"/>
        <w:ind w:firstLine="1040"/>
        <w:rPr>
          <w:rFonts w:ascii="文星简黑体" w:eastAsia="文星简黑体"/>
          <w:sz w:val="52"/>
          <w:szCs w:val="52"/>
        </w:rPr>
      </w:pPr>
    </w:p>
    <w:p>
      <w:pPr>
        <w:pStyle w:val="16"/>
        <w:ind w:firstLine="1040"/>
        <w:rPr>
          <w:rFonts w:ascii="文星简黑体" w:eastAsia="文星简黑体"/>
          <w:sz w:val="52"/>
          <w:szCs w:val="52"/>
        </w:rPr>
      </w:pPr>
    </w:p>
    <w:p>
      <w:pPr>
        <w:pStyle w:val="16"/>
        <w:ind w:firstLine="1040"/>
        <w:rPr>
          <w:rFonts w:ascii="文星简黑体" w:eastAsia="文星简黑体"/>
          <w:sz w:val="52"/>
          <w:szCs w:val="52"/>
        </w:rPr>
      </w:pPr>
    </w:p>
    <w:p>
      <w:pPr>
        <w:spacing w:line="520" w:lineRule="exact"/>
        <w:jc w:val="both"/>
        <w:rPr>
          <w:rFonts w:ascii="文星简黑体" w:eastAsia="文星简黑体"/>
          <w:sz w:val="52"/>
          <w:szCs w:val="52"/>
        </w:rPr>
      </w:pPr>
    </w:p>
    <w:p>
      <w:pPr>
        <w:spacing w:before="120" w:after="120" w:line="520" w:lineRule="exact"/>
        <w:ind w:left="2240" w:hanging="2240" w:hangingChars="7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文星简黑体"/>
          <w:sz w:val="32"/>
          <w:szCs w:val="32"/>
        </w:rPr>
        <w:t>被评价单位：</w:t>
      </w:r>
      <w:r>
        <w:rPr>
          <w:rFonts w:hint="eastAsia" w:ascii="黑体" w:hAnsi="黑体" w:eastAsia="黑体" w:cs="文星简黑体"/>
          <w:sz w:val="32"/>
          <w:szCs w:val="32"/>
          <w:lang w:eastAsia="zh-CN"/>
        </w:rPr>
        <w:t>西海岸新区工委社会工作部</w:t>
      </w:r>
      <w:r>
        <w:rPr>
          <w:rFonts w:ascii="黑体" w:hAnsi="黑体" w:eastAsia="黑体"/>
          <w:sz w:val="32"/>
          <w:szCs w:val="32"/>
        </w:rPr>
        <w:t xml:space="preserve"> </w:t>
      </w:r>
    </w:p>
    <w:p>
      <w:pPr>
        <w:spacing w:before="120" w:after="120" w:line="520" w:lineRule="exact"/>
        <w:ind w:left="640" w:hanging="64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文星简黑体"/>
          <w:spacing w:val="53"/>
          <w:kern w:val="0"/>
          <w:sz w:val="32"/>
          <w:szCs w:val="32"/>
        </w:rPr>
        <w:t>评价机</w:t>
      </w:r>
      <w:r>
        <w:rPr>
          <w:rFonts w:hint="eastAsia" w:ascii="黑体" w:hAnsi="黑体" w:eastAsia="黑体" w:cs="文星简黑体"/>
          <w:spacing w:val="1"/>
          <w:kern w:val="0"/>
          <w:sz w:val="32"/>
          <w:szCs w:val="32"/>
        </w:rPr>
        <w:t>构</w:t>
      </w:r>
      <w:r>
        <w:rPr>
          <w:rFonts w:hint="eastAsia" w:ascii="黑体" w:hAnsi="黑体" w:eastAsia="黑体" w:cs="文星简黑体"/>
          <w:sz w:val="32"/>
          <w:szCs w:val="32"/>
        </w:rPr>
        <w:t>：</w:t>
      </w:r>
      <w:r>
        <w:rPr>
          <w:rFonts w:hint="eastAsia" w:ascii="黑体" w:hAnsi="黑体" w:eastAsia="黑体" w:cs="文星简黑体"/>
          <w:sz w:val="32"/>
          <w:szCs w:val="32"/>
          <w:lang w:eastAsia="zh-CN"/>
        </w:rPr>
        <w:t>青岛西海岸新区财政局</w:t>
      </w:r>
      <w:r>
        <w:rPr>
          <w:rFonts w:ascii="黑体" w:hAnsi="黑体" w:eastAsia="黑体"/>
          <w:sz w:val="32"/>
          <w:szCs w:val="32"/>
        </w:rPr>
        <w:t xml:space="preserve"> </w:t>
      </w:r>
    </w:p>
    <w:p>
      <w:pPr>
        <w:spacing w:before="120" w:after="120"/>
        <w:jc w:val="both"/>
        <w:rPr>
          <w:rFonts w:ascii="黑体" w:hAnsi="黑体" w:eastAsia="黑体" w:cs="文星简黑体"/>
          <w:sz w:val="32"/>
          <w:szCs w:val="32"/>
        </w:rPr>
      </w:pPr>
    </w:p>
    <w:p>
      <w:pPr>
        <w:spacing w:before="120" w:after="120"/>
        <w:jc w:val="center"/>
        <w:rPr>
          <w:rFonts w:ascii="黑体" w:hAnsi="黑体" w:eastAsia="黑体" w:cs="文星简黑体"/>
          <w:sz w:val="32"/>
          <w:szCs w:val="32"/>
          <w:highlight w:val="none"/>
        </w:rPr>
      </w:pPr>
      <w:r>
        <w:rPr>
          <w:rFonts w:hint="eastAsia" w:ascii="黑体" w:hAnsi="黑体" w:eastAsia="黑体" w:cs="文星简黑体"/>
          <w:sz w:val="32"/>
          <w:szCs w:val="32"/>
          <w:highlight w:val="none"/>
        </w:rPr>
        <w:t>202</w:t>
      </w:r>
      <w:r>
        <w:rPr>
          <w:rFonts w:hint="eastAsia" w:ascii="黑体" w:hAnsi="黑体" w:eastAsia="黑体" w:cs="文星简黑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黑体" w:eastAsia="黑体" w:cs="文星简黑体"/>
          <w:sz w:val="32"/>
          <w:szCs w:val="32"/>
          <w:highlight w:val="none"/>
        </w:rPr>
        <w:t xml:space="preserve">年 </w:t>
      </w:r>
      <w:r>
        <w:rPr>
          <w:rFonts w:hint="eastAsia" w:ascii="黑体" w:hAnsi="黑体" w:eastAsia="黑体" w:cs="文星简黑体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黑体" w:hAnsi="黑体" w:eastAsia="黑体" w:cs="文星简黑体"/>
          <w:sz w:val="32"/>
          <w:szCs w:val="32"/>
          <w:highlight w:val="none"/>
        </w:rPr>
        <w:t>月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黑体"/>
          <w:sz w:val="32"/>
          <w:szCs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目  录</w:t>
      </w:r>
    </w:p>
    <w:p>
      <w:pPr>
        <w:pStyle w:val="10"/>
        <w:tabs>
          <w:tab w:val="right" w:leader="dot" w:pos="8306"/>
        </w:tabs>
        <w:adjustRightInd w:val="0"/>
        <w:spacing w:line="360" w:lineRule="auto"/>
        <w:rPr>
          <w:sz w:val="32"/>
          <w:szCs w:val="32"/>
        </w:rPr>
      </w:pPr>
      <w:r>
        <w:rPr>
          <w:rFonts w:ascii="Times New Roman" w:hAnsi="Times New Roman" w:eastAsia="宋体"/>
          <w:sz w:val="32"/>
          <w:szCs w:val="32"/>
        </w:rPr>
        <w:fldChar w:fldCharType="begin"/>
      </w:r>
      <w:r>
        <w:rPr>
          <w:rFonts w:ascii="Times New Roman" w:hAnsi="Times New Roman" w:eastAsia="宋体"/>
          <w:sz w:val="32"/>
          <w:szCs w:val="32"/>
        </w:rPr>
        <w:instrText xml:space="preserve">TOC \o "1-3" \h \u </w:instrText>
      </w:r>
      <w:r>
        <w:rPr>
          <w:rFonts w:ascii="Times New Roman" w:hAnsi="Times New Roman" w:eastAsia="宋体"/>
          <w:sz w:val="32"/>
          <w:szCs w:val="32"/>
        </w:rPr>
        <w:fldChar w:fldCharType="separate"/>
      </w:r>
      <w:r>
        <w:fldChar w:fldCharType="begin"/>
      </w:r>
      <w:r>
        <w:instrText xml:space="preserve"> HYPERLINK \l "_Toc20850" </w:instrText>
      </w:r>
      <w:r>
        <w:fldChar w:fldCharType="separate"/>
      </w:r>
      <w:r>
        <w:rPr>
          <w:rFonts w:hint="eastAsia" w:ascii="黑体" w:hAnsi="黑体" w:eastAsia="黑体" w:cs="黑体"/>
          <w:sz w:val="32"/>
          <w:szCs w:val="32"/>
        </w:rPr>
        <w:t>一、组织情况（抽查组织情况）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_Toc20850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1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firstLine="300" w:firstLineChars="100"/>
        <w:rPr>
          <w:sz w:val="32"/>
          <w:szCs w:val="32"/>
        </w:rPr>
      </w:pPr>
      <w:r>
        <w:fldChar w:fldCharType="begin"/>
      </w:r>
      <w:r>
        <w:instrText xml:space="preserve"> HYPERLINK \l "_Toc23777" </w:instrText>
      </w:r>
      <w:r>
        <w:fldChar w:fldCharType="separate"/>
      </w:r>
      <w:r>
        <w:rPr>
          <w:rFonts w:hint="eastAsia" w:ascii="Cambria" w:hAnsi="Cambria" w:eastAsia="楷体"/>
          <w:kern w:val="0"/>
          <w:sz w:val="32"/>
          <w:szCs w:val="32"/>
        </w:rPr>
        <w:t>（一）抽查复核目的和对象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_Toc23777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1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firstLine="300" w:firstLineChars="100"/>
        <w:rPr>
          <w:sz w:val="32"/>
          <w:szCs w:val="32"/>
        </w:rPr>
      </w:pPr>
      <w:r>
        <w:fldChar w:fldCharType="begin"/>
      </w:r>
      <w:r>
        <w:instrText xml:space="preserve"> HYPERLINK \l "_Toc3668" </w:instrText>
      </w:r>
      <w:r>
        <w:fldChar w:fldCharType="separate"/>
      </w:r>
      <w:r>
        <w:rPr>
          <w:rFonts w:hint="eastAsia" w:ascii="Cambria" w:hAnsi="Cambria" w:eastAsia="楷体"/>
          <w:kern w:val="0"/>
          <w:sz w:val="32"/>
          <w:szCs w:val="32"/>
        </w:rPr>
        <w:t>（二）</w:t>
      </w:r>
      <w:r>
        <w:rPr>
          <w:rFonts w:hint="eastAsia" w:ascii="Cambria" w:hAnsi="Cambria" w:eastAsia="楷体" w:cstheme="majorBidi"/>
          <w:kern w:val="0"/>
          <w:sz w:val="32"/>
          <w:szCs w:val="32"/>
        </w:rPr>
        <w:t>抽查复核</w:t>
      </w:r>
      <w:r>
        <w:rPr>
          <w:rFonts w:hint="eastAsia" w:ascii="Cambria" w:hAnsi="Cambria" w:eastAsia="楷体"/>
          <w:kern w:val="0"/>
          <w:sz w:val="32"/>
          <w:szCs w:val="32"/>
        </w:rPr>
        <w:t>依据、方法和标准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_Toc3668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1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0"/>
        <w:tabs>
          <w:tab w:val="right" w:leader="dot" w:pos="8306"/>
        </w:tabs>
        <w:adjustRightInd w:val="0"/>
        <w:spacing w:line="360" w:lineRule="auto"/>
        <w:rPr>
          <w:sz w:val="32"/>
          <w:szCs w:val="32"/>
        </w:rPr>
      </w:pPr>
      <w:r>
        <w:fldChar w:fldCharType="begin"/>
      </w:r>
      <w:r>
        <w:instrText xml:space="preserve"> HYPERLINK \l "_Toc17066" </w:instrText>
      </w:r>
      <w:r>
        <w:fldChar w:fldCharType="separate"/>
      </w:r>
      <w:r>
        <w:rPr>
          <w:rFonts w:hint="eastAsia" w:ascii="黑体" w:hAnsi="黑体" w:eastAsia="黑体" w:cs="黑体"/>
          <w:sz w:val="32"/>
          <w:szCs w:val="32"/>
        </w:rPr>
        <w:t>二、绩效自评开展情况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_Toc17066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2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left="739" w:leftChars="352"/>
        <w:rPr>
          <w:sz w:val="32"/>
          <w:szCs w:val="32"/>
        </w:rPr>
      </w:pPr>
      <w:r>
        <w:fldChar w:fldCharType="begin"/>
      </w:r>
      <w:r>
        <w:instrText xml:space="preserve"> HYPERLINK \l "_Toc16329" </w:instrText>
      </w:r>
      <w:r>
        <w:fldChar w:fldCharType="separate"/>
      </w:r>
      <w:r>
        <w:rPr>
          <w:rFonts w:hint="eastAsia" w:ascii="楷体_GB2312" w:hAnsi="楷体_GB2312" w:eastAsia="楷体_GB2312" w:cs="楷体_GB2312"/>
          <w:spacing w:val="-4"/>
          <w:sz w:val="32"/>
          <w:szCs w:val="32"/>
        </w:rPr>
        <w:t>（一）绩效自评整体情况（单位自评情况，不是抽查复核情况）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_Toc16329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2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firstLine="300" w:firstLineChars="100"/>
        <w:rPr>
          <w:sz w:val="32"/>
          <w:szCs w:val="32"/>
        </w:rPr>
      </w:pPr>
      <w:r>
        <w:fldChar w:fldCharType="begin"/>
      </w:r>
      <w:r>
        <w:instrText xml:space="preserve"> HYPERLINK \l "_Toc23927" </w:instrText>
      </w:r>
      <w:r>
        <w:fldChar w:fldCharType="separate"/>
      </w:r>
      <w:r>
        <w:rPr>
          <w:rFonts w:hint="eastAsia" w:ascii="楷体_GB2312" w:hAnsi="楷体_GB2312" w:eastAsia="楷体_GB2312" w:cs="楷体_GB2312"/>
          <w:spacing w:val="-4"/>
          <w:sz w:val="32"/>
          <w:szCs w:val="32"/>
        </w:rPr>
        <w:t>（二）主要成效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_Toc23927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2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0"/>
        <w:tabs>
          <w:tab w:val="right" w:leader="dot" w:pos="8306"/>
        </w:tabs>
        <w:adjustRightInd w:val="0"/>
        <w:spacing w:line="360" w:lineRule="auto"/>
        <w:rPr>
          <w:sz w:val="32"/>
          <w:szCs w:val="32"/>
        </w:rPr>
      </w:pPr>
      <w:r>
        <w:fldChar w:fldCharType="begin"/>
      </w:r>
      <w:r>
        <w:instrText xml:space="preserve"> HYPERLINK \l "_Toc23295" </w:instrText>
      </w:r>
      <w:r>
        <w:fldChar w:fldCharType="separate"/>
      </w:r>
      <w:r>
        <w:rPr>
          <w:rFonts w:hint="eastAsia" w:ascii="黑体" w:hAnsi="黑体" w:eastAsia="黑体" w:cs="黑体"/>
          <w:sz w:val="32"/>
          <w:szCs w:val="32"/>
        </w:rPr>
        <w:t>三、绩效自评抽查复核情况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_Toc23295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2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firstLine="300" w:firstLineChars="100"/>
        <w:rPr>
          <w:sz w:val="32"/>
          <w:szCs w:val="32"/>
        </w:rPr>
      </w:pPr>
      <w:r>
        <w:fldChar w:fldCharType="begin"/>
      </w:r>
      <w:r>
        <w:instrText xml:space="preserve"> HYPERLINK \l "_Toc23965" </w:instrText>
      </w:r>
      <w:r>
        <w:fldChar w:fldCharType="separate"/>
      </w:r>
      <w:r>
        <w:rPr>
          <w:rFonts w:hint="eastAsia" w:ascii="楷体_GB2312" w:hAnsi="楷体_GB2312" w:eastAsia="楷体_GB2312" w:cs="楷体_GB2312"/>
          <w:sz w:val="32"/>
          <w:szCs w:val="32"/>
        </w:rPr>
        <w:t>（一）自评和抽查复核评分结果差异率分析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_Toc23965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2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1"/>
        <w:tabs>
          <w:tab w:val="right" w:leader="dot" w:pos="8306"/>
        </w:tabs>
        <w:adjustRightInd w:val="0"/>
        <w:snapToGrid w:val="0"/>
        <w:spacing w:line="360" w:lineRule="auto"/>
        <w:ind w:firstLine="300" w:firstLineChars="100"/>
        <w:rPr>
          <w:sz w:val="32"/>
          <w:szCs w:val="32"/>
        </w:rPr>
      </w:pPr>
      <w:r>
        <w:fldChar w:fldCharType="begin"/>
      </w:r>
      <w:r>
        <w:instrText xml:space="preserve"> HYPERLINK \l "_Toc10063" </w:instrText>
      </w:r>
      <w:r>
        <w:fldChar w:fldCharType="separate"/>
      </w:r>
      <w:r>
        <w:rPr>
          <w:rFonts w:hint="eastAsia" w:ascii="楷体_GB2312" w:hAnsi="楷体_GB2312" w:eastAsia="楷体_GB2312" w:cs="楷体_GB2312"/>
          <w:sz w:val="32"/>
          <w:szCs w:val="32"/>
        </w:rPr>
        <w:t>（二）抽查复核发现的问题</w:t>
      </w:r>
      <w:r>
        <w:rPr>
          <w:sz w:val="32"/>
          <w:szCs w:val="32"/>
        </w:rPr>
        <w:tab/>
      </w:r>
      <w:r>
        <w:rPr>
          <w:rFonts w:ascii="仿宋_GB2312" w:hAnsi="Calibri"/>
          <w:color w:val="000000"/>
          <w:sz w:val="32"/>
          <w:szCs w:val="32"/>
        </w:rPr>
        <w:fldChar w:fldCharType="begin"/>
      </w:r>
      <w:r>
        <w:rPr>
          <w:rFonts w:ascii="仿宋_GB2312" w:hAnsi="Calibri"/>
          <w:color w:val="000000"/>
          <w:sz w:val="32"/>
          <w:szCs w:val="32"/>
        </w:rPr>
        <w:instrText xml:space="preserve"> PAGEREF _Toc10063 \h </w:instrText>
      </w:r>
      <w:r>
        <w:rPr>
          <w:rFonts w:ascii="仿宋_GB2312" w:hAnsi="Calibri"/>
          <w:color w:val="000000"/>
          <w:sz w:val="32"/>
          <w:szCs w:val="32"/>
        </w:rPr>
        <w:fldChar w:fldCharType="separate"/>
      </w:r>
      <w:r>
        <w:rPr>
          <w:rFonts w:ascii="仿宋_GB2312" w:hAnsi="Calibri"/>
          <w:color w:val="000000"/>
          <w:sz w:val="32"/>
          <w:szCs w:val="32"/>
        </w:rPr>
        <w:t>2</w:t>
      </w:r>
      <w:r>
        <w:rPr>
          <w:rFonts w:ascii="仿宋_GB2312" w:hAnsi="Calibri"/>
          <w:color w:val="000000"/>
          <w:sz w:val="32"/>
          <w:szCs w:val="32"/>
        </w:rPr>
        <w:fldChar w:fldCharType="end"/>
      </w:r>
      <w:r>
        <w:rPr>
          <w:rFonts w:ascii="仿宋_GB2312" w:hAnsi="Calibri"/>
          <w:color w:val="000000"/>
          <w:sz w:val="32"/>
          <w:szCs w:val="32"/>
        </w:rPr>
        <w:fldChar w:fldCharType="end"/>
      </w:r>
    </w:p>
    <w:p>
      <w:pPr>
        <w:pStyle w:val="10"/>
        <w:tabs>
          <w:tab w:val="right" w:leader="dot" w:pos="8306"/>
        </w:tabs>
        <w:adjustRightInd w:val="0"/>
        <w:spacing w:line="360" w:lineRule="auto"/>
        <w:rPr>
          <w:sz w:val="32"/>
          <w:szCs w:val="32"/>
        </w:rPr>
      </w:pPr>
      <w:r>
        <w:fldChar w:fldCharType="begin"/>
      </w:r>
      <w:r>
        <w:instrText xml:space="preserve"> HYPERLINK \l "_Toc19466" </w:instrText>
      </w:r>
      <w:r>
        <w:fldChar w:fldCharType="separate"/>
      </w:r>
      <w:r>
        <w:rPr>
          <w:rFonts w:hint="eastAsia" w:ascii="黑体" w:hAnsi="黑体" w:eastAsia="黑体" w:cs="黑体"/>
          <w:sz w:val="32"/>
          <w:szCs w:val="32"/>
        </w:rPr>
        <w:t>四、意见建议</w:t>
      </w:r>
      <w:r>
        <w:rPr>
          <w:sz w:val="32"/>
          <w:szCs w:val="32"/>
        </w:rPr>
        <w:tab/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PAGEREF _Toc19466 \h </w:instrText>
      </w:r>
      <w:r>
        <w:rPr>
          <w:sz w:val="32"/>
          <w:szCs w:val="32"/>
        </w:rPr>
        <w:fldChar w:fldCharType="separate"/>
      </w:r>
      <w:r>
        <w:rPr>
          <w:sz w:val="32"/>
          <w:szCs w:val="32"/>
        </w:rPr>
        <w:t>3</w:t>
      </w:r>
      <w:r>
        <w:rPr>
          <w:sz w:val="32"/>
          <w:szCs w:val="32"/>
        </w:rPr>
        <w:fldChar w:fldCharType="end"/>
      </w:r>
      <w:r>
        <w:rPr>
          <w:sz w:val="32"/>
          <w:szCs w:val="32"/>
        </w:rPr>
        <w:fldChar w:fldCharType="end"/>
      </w:r>
    </w:p>
    <w:p>
      <w:pPr>
        <w:pStyle w:val="25"/>
        <w:numPr>
          <w:ilvl w:val="255"/>
          <w:numId w:val="0"/>
        </w:numPr>
        <w:adjustRightInd w:val="0"/>
        <w:snapToGrid w:val="0"/>
        <w:spacing w:line="360" w:lineRule="auto"/>
        <w:ind w:left="2730"/>
        <w:rPr>
          <w:rFonts w:ascii="黑体" w:hAnsi="黑体" w:eastAsia="黑体" w:cs="黑体"/>
          <w:sz w:val="32"/>
          <w:szCs w:val="32"/>
        </w:rPr>
      </w:pPr>
      <w:r>
        <w:rPr>
          <w:rFonts w:eastAsia="宋体"/>
          <w:bCs/>
          <w:sz w:val="32"/>
          <w:szCs w:val="32"/>
        </w:rPr>
        <w:fldChar w:fldCharType="end"/>
      </w:r>
    </w:p>
    <w:p>
      <w:pPr>
        <w:pStyle w:val="2"/>
        <w:widowControl/>
        <w:overflowPunct w:val="0"/>
        <w:autoSpaceDE w:val="0"/>
        <w:autoSpaceDN w:val="0"/>
        <w:adjustRightInd w:val="0"/>
        <w:snapToGrid w:val="0"/>
        <w:spacing w:line="240" w:lineRule="auto"/>
        <w:ind w:firstLine="480" w:firstLineChars="200"/>
        <w:textAlignment w:val="baseline"/>
        <w:rPr>
          <w:rFonts w:eastAsia="宋体"/>
          <w:b w:val="0"/>
          <w:bCs/>
          <w:sz w:val="24"/>
        </w:rPr>
      </w:pPr>
    </w:p>
    <w:p>
      <w:pPr>
        <w:sectPr>
          <w:footerReference r:id="rId3" w:type="default"/>
          <w:pgSz w:w="11906" w:h="16838"/>
          <w:pgMar w:top="2098" w:right="1474" w:bottom="1871" w:left="1587" w:header="737" w:footer="851" w:gutter="0"/>
          <w:pgNumType w:start="1"/>
          <w:cols w:space="720" w:num="1"/>
          <w:docGrid w:type="lines" w:linePitch="408" w:charSpace="0"/>
        </w:sectPr>
      </w:pPr>
      <w:r>
        <w:rPr>
          <w:rFonts w:hint="eastAsia"/>
        </w:rPr>
        <w:t xml:space="preserve"> </w:t>
      </w: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42" w:name="_GoBack"/>
      <w:bookmarkEnd w:id="42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年度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社会工作创新引导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资金</w:t>
      </w:r>
    </w:p>
    <w:p>
      <w:pPr>
        <w:spacing w:line="58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绩效自评抽查复核报告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5"/>
        <w:spacing w:line="580" w:lineRule="exact"/>
        <w:ind w:left="640" w:firstLine="0" w:firstLineChars="0"/>
        <w:outlineLvl w:val="0"/>
        <w:rPr>
          <w:rFonts w:ascii="黑体" w:hAnsi="黑体" w:eastAsia="黑体" w:cs="黑体"/>
          <w:sz w:val="32"/>
          <w:szCs w:val="32"/>
        </w:rPr>
      </w:pPr>
      <w:bookmarkStart w:id="0" w:name="_Toc20850"/>
      <w:bookmarkStart w:id="1" w:name="_Toc11904"/>
      <w:bookmarkStart w:id="2" w:name="_Toc4413"/>
      <w:bookmarkStart w:id="3" w:name="_Toc27098"/>
      <w:r>
        <w:rPr>
          <w:rFonts w:hint="eastAsia" w:ascii="黑体" w:hAnsi="黑体" w:eastAsia="黑体" w:cs="黑体"/>
          <w:sz w:val="32"/>
          <w:szCs w:val="32"/>
        </w:rPr>
        <w:t>一、组织情况（抽查组织情况）</w:t>
      </w:r>
      <w:bookmarkEnd w:id="0"/>
      <w:bookmarkEnd w:id="1"/>
      <w:bookmarkEnd w:id="2"/>
      <w:bookmarkEnd w:id="3"/>
    </w:p>
    <w:p>
      <w:pPr>
        <w:pStyle w:val="3"/>
        <w:keepNext w:val="0"/>
        <w:widowControl/>
        <w:overflowPunct w:val="0"/>
        <w:autoSpaceDE w:val="0"/>
        <w:autoSpaceDN w:val="0"/>
        <w:adjustRightInd w:val="0"/>
        <w:snapToGrid w:val="0"/>
        <w:spacing w:before="0" w:after="0" w:line="580" w:lineRule="exact"/>
        <w:ind w:firstLine="640" w:firstLineChars="200"/>
        <w:textAlignment w:val="baseline"/>
        <w:rPr>
          <w:rFonts w:ascii="Cambria" w:hAnsi="Cambria" w:eastAsia="楷体"/>
          <w:b w:val="0"/>
          <w:bCs w:val="0"/>
          <w:kern w:val="0"/>
        </w:rPr>
      </w:pPr>
      <w:bookmarkStart w:id="4" w:name="_Toc11751"/>
      <w:bookmarkStart w:id="5" w:name="_Toc23777"/>
      <w:bookmarkStart w:id="6" w:name="_Toc78653001"/>
      <w:bookmarkStart w:id="7" w:name="_Toc11369"/>
      <w:bookmarkStart w:id="8" w:name="_Toc21684"/>
      <w:r>
        <w:rPr>
          <w:rFonts w:hint="eastAsia" w:ascii="Cambria" w:hAnsi="Cambria" w:eastAsia="楷体"/>
          <w:b w:val="0"/>
          <w:bCs w:val="0"/>
          <w:kern w:val="0"/>
        </w:rPr>
        <w:t>（一）抽查复核目的和对象</w:t>
      </w:r>
      <w:bookmarkEnd w:id="4"/>
      <w:bookmarkEnd w:id="5"/>
      <w:bookmarkEnd w:id="6"/>
      <w:bookmarkEnd w:id="7"/>
      <w:bookmarkEnd w:id="8"/>
    </w:p>
    <w:p>
      <w:pPr>
        <w:spacing w:line="580" w:lineRule="exact"/>
        <w:ind w:firstLine="640" w:firstLineChars="200"/>
        <w:rPr>
          <w:rFonts w:ascii="仿宋_GB2312" w:hAnsi="仿宋"/>
          <w:sz w:val="32"/>
          <w:szCs w:val="32"/>
        </w:rPr>
      </w:pPr>
      <w:r>
        <w:rPr>
          <w:rFonts w:hint="eastAsia" w:ascii="仿宋_GB2312" w:hAnsi="仿宋"/>
          <w:sz w:val="32"/>
          <w:szCs w:val="32"/>
        </w:rPr>
        <w:t>1.</w:t>
      </w:r>
      <w:r>
        <w:rPr>
          <w:rFonts w:hint="eastAsia" w:ascii="Cambria" w:hAnsi="Cambria" w:eastAsia="楷体"/>
          <w:b/>
          <w:bCs/>
          <w:kern w:val="0"/>
        </w:rPr>
        <w:t xml:space="preserve"> 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抽查复核目的</w:t>
      </w:r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bookmarkStart w:id="9" w:name="_Toc32652"/>
      <w:bookmarkStart w:id="10" w:name="_Toc14593"/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通过对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2025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年度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社会工作创新引导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资金单位自评的预算执行和绩效目标完成情况进行客观、公正的复核，总结项目实施过程中的经验做法，发现完整性方面存在的问题，提出改进建议，提高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社会工作创新引导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专项资金的使用效率。</w:t>
      </w:r>
      <w:bookmarkEnd w:id="9"/>
      <w:bookmarkEnd w:id="10"/>
    </w:p>
    <w:p>
      <w:pPr>
        <w:spacing w:line="580" w:lineRule="exact"/>
        <w:ind w:firstLine="640" w:firstLineChars="200"/>
        <w:rPr>
          <w:rFonts w:ascii="仿宋_GB2312" w:hAnsi="仿宋"/>
          <w:sz w:val="32"/>
          <w:szCs w:val="32"/>
        </w:rPr>
      </w:pPr>
      <w:r>
        <w:rPr>
          <w:rFonts w:hint="eastAsia" w:ascii="仿宋_GB2312" w:hAnsi="仿宋"/>
          <w:sz w:val="32"/>
          <w:szCs w:val="32"/>
        </w:rPr>
        <w:t>2.</w:t>
      </w:r>
      <w:r>
        <w:rPr>
          <w:rFonts w:hint="eastAsia" w:ascii="Cambria" w:hAnsi="Cambria" w:eastAsia="楷体"/>
          <w:b/>
          <w:bCs/>
          <w:kern w:val="0"/>
        </w:rPr>
        <w:t xml:space="preserve"> 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抽查复核对象</w:t>
      </w:r>
    </w:p>
    <w:p>
      <w:pPr>
        <w:spacing w:line="580" w:lineRule="exact"/>
        <w:ind w:firstLine="624" w:firstLineChars="200"/>
        <w:rPr>
          <w:rFonts w:hint="eastAsia"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2025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年度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社会工作创新引导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专项资金单位自评表及证明资料，包括：</w:t>
      </w:r>
    </w:p>
    <w:p>
      <w:pPr>
        <w:spacing w:line="59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（1）</w:t>
      </w:r>
      <w:r>
        <w:rPr>
          <w:rFonts w:hint="eastAsia" w:ascii="仿宋" w:hAnsi="仿宋" w:eastAsia="仿宋"/>
          <w:spacing w:val="-4"/>
          <w:sz w:val="32"/>
          <w:szCs w:val="32"/>
        </w:rPr>
        <w:t>202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pacing w:val="-4"/>
          <w:sz w:val="32"/>
          <w:szCs w:val="32"/>
        </w:rPr>
        <w:t>年度项目支出绩效目标申报表和相关执行数据资料；</w:t>
      </w:r>
    </w:p>
    <w:p>
      <w:pPr>
        <w:spacing w:line="59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（2）</w:t>
      </w:r>
      <w:r>
        <w:rPr>
          <w:rFonts w:hint="eastAsia" w:ascii="仿宋" w:hAnsi="仿宋" w:eastAsia="仿宋"/>
          <w:spacing w:val="-4"/>
          <w:sz w:val="32"/>
          <w:szCs w:val="32"/>
        </w:rPr>
        <w:t>202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pacing w:val="-4"/>
          <w:sz w:val="32"/>
          <w:szCs w:val="32"/>
        </w:rPr>
        <w:t>年度项目支出绩效单位自评表以及自评相关的佐证资料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。</w:t>
      </w:r>
    </w:p>
    <w:p>
      <w:pPr>
        <w:pStyle w:val="3"/>
        <w:keepNext w:val="0"/>
        <w:widowControl/>
        <w:overflowPunct w:val="0"/>
        <w:autoSpaceDE w:val="0"/>
        <w:autoSpaceDN w:val="0"/>
        <w:adjustRightInd w:val="0"/>
        <w:snapToGrid w:val="0"/>
        <w:spacing w:before="0" w:after="0" w:line="580" w:lineRule="exact"/>
        <w:ind w:firstLine="640" w:firstLineChars="200"/>
        <w:textAlignment w:val="baseline"/>
        <w:rPr>
          <w:rFonts w:ascii="Cambria" w:hAnsi="Cambria" w:eastAsia="楷体"/>
          <w:b w:val="0"/>
          <w:bCs w:val="0"/>
          <w:kern w:val="0"/>
        </w:rPr>
      </w:pPr>
      <w:bookmarkStart w:id="11" w:name="_Toc3668"/>
      <w:bookmarkStart w:id="12" w:name="_Toc3766"/>
      <w:bookmarkStart w:id="13" w:name="_Toc78653003"/>
      <w:bookmarkStart w:id="14" w:name="_Toc19067"/>
      <w:bookmarkStart w:id="15" w:name="_Toc419"/>
      <w:r>
        <w:rPr>
          <w:rFonts w:hint="eastAsia" w:ascii="Cambria" w:hAnsi="Cambria" w:eastAsia="楷体"/>
          <w:b w:val="0"/>
          <w:bCs w:val="0"/>
          <w:kern w:val="0"/>
        </w:rPr>
        <w:t>（二）抽查复核依据、方法和标准</w:t>
      </w:r>
      <w:bookmarkEnd w:id="11"/>
      <w:bookmarkEnd w:id="12"/>
      <w:bookmarkEnd w:id="13"/>
      <w:bookmarkEnd w:id="14"/>
      <w:bookmarkEnd w:id="15"/>
    </w:p>
    <w:p>
      <w:pPr>
        <w:spacing w:line="580" w:lineRule="exact"/>
        <w:ind w:firstLine="624" w:firstLineChars="200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1. 抽查复核依据</w:t>
      </w:r>
    </w:p>
    <w:p>
      <w:pPr>
        <w:spacing w:line="580" w:lineRule="exact"/>
        <w:ind w:firstLine="624" w:firstLineChars="200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本次绩效评价依据的财政相关文件包括《关于全面实施预算绩效管理的意见》（中发〔2018〕34号）、《关于印发&lt;项目支出绩效评价管理办法&gt;的通知》（财预〔2020〕10号）等文件精神。</w:t>
      </w:r>
    </w:p>
    <w:p>
      <w:pPr>
        <w:spacing w:line="580" w:lineRule="exact"/>
        <w:ind w:firstLine="624" w:firstLineChars="200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2. 抽查复核方法</w:t>
      </w:r>
    </w:p>
    <w:p>
      <w:pPr>
        <w:spacing w:line="580" w:lineRule="exact"/>
        <w:ind w:firstLine="624" w:firstLineChars="200"/>
        <w:rPr>
          <w:rFonts w:ascii="仿宋_GB2312" w:hAnsi="楷体_GB2312" w:eastAsia="仿宋_GB2312" w:cs="楷体_GB2312"/>
          <w:spacing w:val="-4"/>
          <w:sz w:val="32"/>
          <w:szCs w:val="32"/>
        </w:rPr>
      </w:pPr>
      <w:bookmarkStart w:id="16" w:name="_Toc78653004"/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为保证评价工作的科学性，根据预算部门及单位提供的材料，采取资料审核及现场勘查等方式抽查复核。</w:t>
      </w:r>
      <w:bookmarkEnd w:id="16"/>
    </w:p>
    <w:p>
      <w:pPr>
        <w:spacing w:line="580" w:lineRule="exact"/>
        <w:ind w:firstLine="624" w:firstLineChars="200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3. 抽查复核标准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right="0" w:rightChars="0" w:firstLine="624" w:firstLineChars="200"/>
        <w:jc w:val="left"/>
        <w:textAlignment w:val="auto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根据《关于印发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&lt;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青岛西海岸新区预算绩效管理结果应用暂行办法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&gt;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的通知》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(</w:t>
      </w:r>
      <w:r>
        <w:rPr>
          <w:rFonts w:hint="eastAsia" w:ascii="仿宋_GB2312" w:eastAsia="仿宋_GB2312"/>
          <w:sz w:val="32"/>
        </w:rPr>
        <w:t>青西新财〔2023〕225号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)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，本次绩效评价综合绩效级别具体分为4个等级：</w:t>
      </w:r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综合得分在90分（含90分）以上为“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A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”；</w:t>
      </w:r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综合得分在80～90分（含80分）为“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B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”；</w:t>
      </w:r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综合得分在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60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～80分（含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6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0分）为“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C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”；</w:t>
      </w:r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综合得分在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60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分以下为“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D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”。</w:t>
      </w:r>
    </w:p>
    <w:p>
      <w:pPr>
        <w:spacing w:line="580" w:lineRule="exact"/>
        <w:ind w:firstLine="640" w:firstLineChars="200"/>
        <w:outlineLvl w:val="0"/>
        <w:rPr>
          <w:rFonts w:ascii="黑体" w:hAnsi="黑体" w:eastAsia="黑体" w:cs="黑体"/>
          <w:sz w:val="32"/>
          <w:szCs w:val="32"/>
        </w:rPr>
      </w:pPr>
      <w:bookmarkStart w:id="17" w:name="_Toc17066"/>
      <w:bookmarkStart w:id="18" w:name="_Toc28438"/>
      <w:bookmarkStart w:id="19" w:name="_Toc3191"/>
      <w:bookmarkStart w:id="20" w:name="_Toc12238"/>
      <w:r>
        <w:rPr>
          <w:rFonts w:hint="eastAsia" w:ascii="黑体" w:hAnsi="黑体" w:eastAsia="黑体" w:cs="黑体"/>
          <w:sz w:val="32"/>
          <w:szCs w:val="32"/>
        </w:rPr>
        <w:t>二、绩效自评开展情况</w:t>
      </w:r>
      <w:bookmarkEnd w:id="17"/>
      <w:bookmarkEnd w:id="18"/>
      <w:bookmarkEnd w:id="19"/>
      <w:bookmarkEnd w:id="20"/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outlineLvl w:val="1"/>
        <w:rPr>
          <w:rFonts w:hint="eastAsia" w:ascii="楷体_GB2312" w:hAnsi="楷体_GB2312" w:eastAsia="楷体_GB2312" w:cs="楷体_GB2312"/>
          <w:spacing w:val="-4"/>
          <w:sz w:val="32"/>
          <w:szCs w:val="32"/>
        </w:rPr>
      </w:pPr>
      <w:bookmarkStart w:id="21" w:name="_Toc5665"/>
      <w:bookmarkStart w:id="22" w:name="_Toc13477"/>
      <w:bookmarkStart w:id="23" w:name="_Toc26575"/>
      <w:bookmarkStart w:id="24" w:name="_Toc16329"/>
      <w:r>
        <w:rPr>
          <w:rFonts w:hint="eastAsia" w:ascii="楷体_GB2312" w:hAnsi="楷体_GB2312" w:eastAsia="楷体_GB2312" w:cs="楷体_GB2312"/>
          <w:spacing w:val="-4"/>
          <w:sz w:val="32"/>
          <w:szCs w:val="32"/>
        </w:rPr>
        <w:t>（一）绩效自评整体情况</w:t>
      </w:r>
      <w:bookmarkEnd w:id="21"/>
      <w:bookmarkEnd w:id="22"/>
      <w:bookmarkEnd w:id="23"/>
      <w:bookmarkEnd w:id="24"/>
      <w:bookmarkStart w:id="25" w:name="_Toc23927"/>
      <w:bookmarkStart w:id="26" w:name="_Toc8801"/>
      <w:bookmarkStart w:id="27" w:name="_Toc14915"/>
      <w:bookmarkStart w:id="28" w:name="_Toc10272"/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outlineLvl w:val="1"/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2025年度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社会工作创新引导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资金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自评表自评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完整、规范、报送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及时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、审核及时；总得分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100分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，评价等级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为“优”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。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2025年度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社会工作创新引导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资金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预算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34万元，全年执行数34万元，执行率100%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执行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得分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10分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；绩效目标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个数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7个，完成个数7个。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="624" w:firstLineChars="200"/>
        <w:jc w:val="left"/>
        <w:outlineLvl w:val="1"/>
        <w:rPr>
          <w:rFonts w:hint="eastAsia" w:ascii="楷体_GB2312" w:hAnsi="楷体_GB2312" w:eastAsia="楷体_GB2312" w:cs="楷体_GB2312"/>
          <w:spacing w:val="-4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-4"/>
          <w:sz w:val="32"/>
          <w:szCs w:val="32"/>
        </w:rPr>
        <w:t>主要成效</w:t>
      </w:r>
      <w:bookmarkEnd w:id="25"/>
      <w:bookmarkEnd w:id="26"/>
      <w:bookmarkEnd w:id="27"/>
      <w:bookmarkEnd w:id="28"/>
    </w:p>
    <w:p>
      <w:pPr>
        <w:autoSpaceDE w:val="0"/>
        <w:autoSpaceDN w:val="0"/>
        <w:adjustRightInd w:val="0"/>
        <w:spacing w:line="580" w:lineRule="exact"/>
        <w:ind w:firstLine="624" w:firstLineChars="200"/>
        <w:jc w:val="left"/>
        <w:outlineLvl w:val="1"/>
        <w:rPr>
          <w:rFonts w:hint="eastAsia"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2025年度绩效目标全面高质量达成，各项指标均按期或超额完成。青岛西海岸新区开展城市居民小区公共资源管理规范提升行动，着力以“小切口”推动基层治理“大提升”，取得丰硕成果。新区以“规范居民小区公共资源管理 致力提升城市基层治理效能”为实验主题，获评全省基层治理创新实验区，相关经验做法先后被人民网、光明日报、山东新闻联播等中央、省、市媒体广泛报道。</w:t>
      </w:r>
    </w:p>
    <w:p>
      <w:pPr>
        <w:spacing w:line="580" w:lineRule="exact"/>
        <w:ind w:firstLine="640" w:firstLineChars="200"/>
        <w:outlineLvl w:val="0"/>
        <w:rPr>
          <w:rFonts w:ascii="黑体" w:hAnsi="黑体" w:eastAsia="黑体" w:cs="黑体"/>
          <w:sz w:val="32"/>
          <w:szCs w:val="32"/>
        </w:rPr>
      </w:pPr>
      <w:bookmarkStart w:id="29" w:name="_Toc5430"/>
      <w:bookmarkStart w:id="30" w:name="_Toc23295"/>
      <w:bookmarkStart w:id="31" w:name="_Toc19161"/>
      <w:bookmarkStart w:id="32" w:name="_Toc16284"/>
      <w:r>
        <w:rPr>
          <w:rFonts w:hint="eastAsia" w:ascii="黑体" w:hAnsi="黑体" w:eastAsia="黑体" w:cs="黑体"/>
          <w:sz w:val="32"/>
          <w:szCs w:val="32"/>
        </w:rPr>
        <w:t>三、绩效自评抽查复核情况</w:t>
      </w:r>
      <w:bookmarkEnd w:id="29"/>
      <w:bookmarkEnd w:id="30"/>
      <w:bookmarkEnd w:id="31"/>
      <w:bookmarkEnd w:id="32"/>
    </w:p>
    <w:p>
      <w:pPr>
        <w:tabs>
          <w:tab w:val="left" w:pos="7230"/>
          <w:tab w:val="left" w:pos="7938"/>
        </w:tabs>
        <w:ind w:firstLine="640" w:firstLineChars="200"/>
        <w:jc w:val="left"/>
        <w:outlineLvl w:val="1"/>
        <w:rPr>
          <w:rFonts w:ascii="楷体_GB2312" w:hAnsi="楷体_GB2312" w:eastAsia="楷体_GB2312" w:cs="楷体_GB2312"/>
          <w:bCs/>
          <w:spacing w:val="-4"/>
          <w:sz w:val="32"/>
          <w:szCs w:val="32"/>
        </w:rPr>
      </w:pPr>
      <w:bookmarkStart w:id="33" w:name="_Toc13544"/>
      <w:bookmarkStart w:id="34" w:name="_Toc20219"/>
      <w:bookmarkStart w:id="35" w:name="_Toc23965"/>
      <w:bookmarkStart w:id="36" w:name="_Toc31627"/>
      <w:r>
        <w:rPr>
          <w:rFonts w:hint="eastAsia" w:ascii="楷体_GB2312" w:hAnsi="楷体_GB2312" w:eastAsia="楷体_GB2312" w:cs="楷体_GB2312"/>
          <w:sz w:val="32"/>
          <w:szCs w:val="32"/>
        </w:rPr>
        <w:t>（一）自评和抽查复核评分结果差异率分析</w:t>
      </w:r>
      <w:bookmarkEnd w:id="33"/>
      <w:bookmarkEnd w:id="34"/>
      <w:bookmarkEnd w:id="35"/>
      <w:bookmarkEnd w:id="36"/>
    </w:p>
    <w:p>
      <w:pPr>
        <w:tabs>
          <w:tab w:val="left" w:pos="7230"/>
          <w:tab w:val="left" w:pos="7938"/>
        </w:tabs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1.差异率整体情况</w:t>
      </w:r>
    </w:p>
    <w:p>
      <w:pPr>
        <w:spacing w:line="580" w:lineRule="exact"/>
        <w:ind w:firstLine="624" w:firstLineChars="200"/>
        <w:rPr>
          <w:rFonts w:ascii="仿宋_GB2312" w:hAnsi="楷体_GB2312" w:eastAsia="仿宋_GB2312" w:cs="楷体_GB2312"/>
          <w:spacing w:val="-4"/>
          <w:sz w:val="32"/>
          <w:szCs w:val="32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自评得分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100分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，复核得分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98分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，差异值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2分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，差异率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2%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绩效目标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差异个数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1个，自评项目绩效目标个数7个，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差异个数占自评项目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绩效目标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总数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的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14.28%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。</w:t>
      </w:r>
    </w:p>
    <w:p>
      <w:pPr>
        <w:tabs>
          <w:tab w:val="left" w:pos="7230"/>
          <w:tab w:val="left" w:pos="7938"/>
        </w:tabs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2.差异率主要原因</w:t>
      </w:r>
    </w:p>
    <w:p>
      <w:pPr>
        <w:spacing w:line="580" w:lineRule="exact"/>
        <w:ind w:firstLine="624" w:firstLineChars="200"/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</w:pPr>
      <w:bookmarkStart w:id="37" w:name="_Toc10063"/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效益指标的社会效益指标“提高基层治理体系和治理能力现代化水平”自评得分30分，复核得分28分，原因为：效益指标过程支撑材料较为分散。</w:t>
      </w:r>
    </w:p>
    <w:p>
      <w:pPr>
        <w:tabs>
          <w:tab w:val="left" w:pos="7230"/>
          <w:tab w:val="left" w:pos="7938"/>
        </w:tabs>
        <w:ind w:firstLine="640" w:firstLineChars="200"/>
        <w:jc w:val="left"/>
        <w:outlineLvl w:val="1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（二）抽查复核发现的问题</w:t>
      </w:r>
      <w:bookmarkEnd w:id="37"/>
    </w:p>
    <w:p>
      <w:pPr>
        <w:spacing w:line="580" w:lineRule="exact"/>
        <w:ind w:firstLine="624" w:firstLineChars="200"/>
        <w:rPr>
          <w:rFonts w:hint="default" w:ascii="仿宋_GB2312" w:hAnsi="楷体_GB2312" w:eastAsia="仿宋_GB2312" w:cs="楷体_GB2312"/>
          <w:spacing w:val="-4"/>
          <w:sz w:val="32"/>
          <w:szCs w:val="32"/>
          <w:lang w:val="en-US" w:eastAsia="zh-CN"/>
        </w:rPr>
      </w:pPr>
      <w:bookmarkStart w:id="38" w:name="_Toc10337"/>
      <w:bookmarkStart w:id="39" w:name="_Toc23144"/>
      <w:bookmarkStart w:id="40" w:name="_Toc19466"/>
      <w:bookmarkStart w:id="41" w:name="_Toc23943"/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2025年度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社会工作创新引导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</w:rPr>
        <w:t>资金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项目绩效目标设置数量不充足，其中产出指标的质量、数量指标可适当增加。</w:t>
      </w:r>
    </w:p>
    <w:p>
      <w:pPr>
        <w:spacing w:line="580" w:lineRule="exact"/>
        <w:ind w:firstLine="640" w:firstLineChars="200"/>
        <w:outlineLvl w:val="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四、意见建议</w:t>
      </w:r>
      <w:bookmarkEnd w:id="38"/>
      <w:bookmarkEnd w:id="39"/>
      <w:bookmarkEnd w:id="40"/>
      <w:bookmarkEnd w:id="41"/>
    </w:p>
    <w:p>
      <w:pPr>
        <w:spacing w:line="580" w:lineRule="exact"/>
        <w:ind w:firstLine="624" w:firstLineChars="200"/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val="en-US" w:eastAsia="zh-CN"/>
        </w:rPr>
        <w:t>1.优化绩效指标的成本指标，结合工作任务和项目具体情况，进一步增加项目成本绩效指标数量，设定科学合理的绩效指标，使指标更加清晰，提高绩效目标的精准度，更加全面、精准反映项目产出的预期值。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楷体_GB2312" w:eastAsia="仿宋_GB2312" w:cs="楷体_GB2312"/>
          <w:spacing w:val="-4"/>
          <w:sz w:val="32"/>
          <w:szCs w:val="32"/>
          <w:lang w:eastAsia="zh-CN"/>
        </w:rPr>
        <w:t>社会工作创新引导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资金单位自评抽查复核差异率统计表</w:t>
      </w:r>
    </w:p>
    <w:sectPr>
      <w:footerReference r:id="rId4" w:type="default"/>
      <w:pgSz w:w="11906" w:h="16838"/>
      <w:pgMar w:top="2098" w:right="1417" w:bottom="1871" w:left="1531" w:header="851" w:footer="992" w:gutter="0"/>
      <w:pgNumType w:start="1"/>
      <w:cols w:space="0" w:num="1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文星简黑体">
    <w:altName w:val="黑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pict>
        <v:shape id="_x0000_s6146" o:spid="_x0000_s6146" o:spt="202" type="#_x0000_t202" style="position:absolute;left:0pt;margin-top:0pt;height:10.35pt;width:6pt;mso-position-horizontal:center;mso-position-horizontal-relative:margin;mso-wrap-style:none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8"/>
                  <w:rPr>
                    <w:rFonts w:eastAsia="仿宋_GB2312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pict>
        <v:shape id="文本框 1025" o:spid="_x0000_s614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sdt>
                <w:sdtPr>
                  <w:id w:val="2009340"/>
                </w:sdtPr>
                <w:sdtContent>
                  <w:p>
                    <w:pPr>
                      <w:pStyle w:val="8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3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sdtContent>
              </w:sdt>
              <w:p/>
            </w:txbxContent>
          </v:textbox>
        </v:shape>
      </w:pict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97A96"/>
    <w:multiLevelType w:val="singleLevel"/>
    <w:tmpl w:val="3F097A9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VerticalDrawingGridEvery w:val="2"/>
  <w:noPunctuationKerning w:val="1"/>
  <w:characterSpacingControl w:val="compressPunctuation"/>
  <w:hdrShapeDefaults>
    <o:shapelayout v:ext="edit">
      <o:idmap v:ext="edit" data="6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2C6E0A"/>
    <w:rsid w:val="00010727"/>
    <w:rsid w:val="00014EA2"/>
    <w:rsid w:val="0003589F"/>
    <w:rsid w:val="00043DF3"/>
    <w:rsid w:val="000563D5"/>
    <w:rsid w:val="000577B9"/>
    <w:rsid w:val="000636F9"/>
    <w:rsid w:val="0006647B"/>
    <w:rsid w:val="000737AA"/>
    <w:rsid w:val="000801F1"/>
    <w:rsid w:val="0008748A"/>
    <w:rsid w:val="0009575E"/>
    <w:rsid w:val="00095B50"/>
    <w:rsid w:val="000A40EE"/>
    <w:rsid w:val="000B1D08"/>
    <w:rsid w:val="000C3C1B"/>
    <w:rsid w:val="000D3373"/>
    <w:rsid w:val="001135BA"/>
    <w:rsid w:val="001206F0"/>
    <w:rsid w:val="0012565A"/>
    <w:rsid w:val="0015068A"/>
    <w:rsid w:val="00152A35"/>
    <w:rsid w:val="00161D22"/>
    <w:rsid w:val="00174BA7"/>
    <w:rsid w:val="00176583"/>
    <w:rsid w:val="00183181"/>
    <w:rsid w:val="0018610B"/>
    <w:rsid w:val="001B2FB5"/>
    <w:rsid w:val="001B3197"/>
    <w:rsid w:val="001D1D99"/>
    <w:rsid w:val="001E3E39"/>
    <w:rsid w:val="002048EB"/>
    <w:rsid w:val="00237242"/>
    <w:rsid w:val="002468EB"/>
    <w:rsid w:val="0026070A"/>
    <w:rsid w:val="00273295"/>
    <w:rsid w:val="002813FC"/>
    <w:rsid w:val="00283E33"/>
    <w:rsid w:val="00290E2D"/>
    <w:rsid w:val="00290F07"/>
    <w:rsid w:val="002957FC"/>
    <w:rsid w:val="0029636A"/>
    <w:rsid w:val="002A1998"/>
    <w:rsid w:val="002A1C20"/>
    <w:rsid w:val="002A61F2"/>
    <w:rsid w:val="002B51FD"/>
    <w:rsid w:val="002C3530"/>
    <w:rsid w:val="002C6E0A"/>
    <w:rsid w:val="002C7185"/>
    <w:rsid w:val="002C7FB7"/>
    <w:rsid w:val="002E5A6B"/>
    <w:rsid w:val="002F2930"/>
    <w:rsid w:val="002F544F"/>
    <w:rsid w:val="00310B92"/>
    <w:rsid w:val="00313DFD"/>
    <w:rsid w:val="00324D55"/>
    <w:rsid w:val="003517B5"/>
    <w:rsid w:val="003536DF"/>
    <w:rsid w:val="00360AFD"/>
    <w:rsid w:val="00393121"/>
    <w:rsid w:val="0039481A"/>
    <w:rsid w:val="003A6426"/>
    <w:rsid w:val="003B3CC8"/>
    <w:rsid w:val="003B79A7"/>
    <w:rsid w:val="003C2355"/>
    <w:rsid w:val="003D73C3"/>
    <w:rsid w:val="003E2EFB"/>
    <w:rsid w:val="003E6275"/>
    <w:rsid w:val="003F1160"/>
    <w:rsid w:val="003F244E"/>
    <w:rsid w:val="003F3E83"/>
    <w:rsid w:val="00400287"/>
    <w:rsid w:val="00416DB7"/>
    <w:rsid w:val="0042136C"/>
    <w:rsid w:val="004227A7"/>
    <w:rsid w:val="004331AE"/>
    <w:rsid w:val="00433E27"/>
    <w:rsid w:val="00440748"/>
    <w:rsid w:val="004439C8"/>
    <w:rsid w:val="00444B55"/>
    <w:rsid w:val="00461372"/>
    <w:rsid w:val="00472B5A"/>
    <w:rsid w:val="004752CF"/>
    <w:rsid w:val="004931D3"/>
    <w:rsid w:val="004A3F52"/>
    <w:rsid w:val="004A7821"/>
    <w:rsid w:val="004B24EE"/>
    <w:rsid w:val="004B3F4D"/>
    <w:rsid w:val="004B787E"/>
    <w:rsid w:val="004C1728"/>
    <w:rsid w:val="004D59E2"/>
    <w:rsid w:val="004D64CA"/>
    <w:rsid w:val="004E0471"/>
    <w:rsid w:val="00501429"/>
    <w:rsid w:val="00502674"/>
    <w:rsid w:val="005031D7"/>
    <w:rsid w:val="00505169"/>
    <w:rsid w:val="00510185"/>
    <w:rsid w:val="00512841"/>
    <w:rsid w:val="00523A5F"/>
    <w:rsid w:val="00524F42"/>
    <w:rsid w:val="00530A97"/>
    <w:rsid w:val="0057107B"/>
    <w:rsid w:val="00571AF0"/>
    <w:rsid w:val="00571E4F"/>
    <w:rsid w:val="00573DF7"/>
    <w:rsid w:val="00581B67"/>
    <w:rsid w:val="00582EBE"/>
    <w:rsid w:val="0058412E"/>
    <w:rsid w:val="00584546"/>
    <w:rsid w:val="005A0B71"/>
    <w:rsid w:val="005A3B28"/>
    <w:rsid w:val="005B3F93"/>
    <w:rsid w:val="005C24BB"/>
    <w:rsid w:val="005C265A"/>
    <w:rsid w:val="005E02B8"/>
    <w:rsid w:val="005E24D8"/>
    <w:rsid w:val="005F5B75"/>
    <w:rsid w:val="006065EE"/>
    <w:rsid w:val="006141C7"/>
    <w:rsid w:val="006159A5"/>
    <w:rsid w:val="006172E3"/>
    <w:rsid w:val="006231C2"/>
    <w:rsid w:val="00624043"/>
    <w:rsid w:val="006319D0"/>
    <w:rsid w:val="00635C66"/>
    <w:rsid w:val="00641F0B"/>
    <w:rsid w:val="00661B5C"/>
    <w:rsid w:val="00665615"/>
    <w:rsid w:val="00670426"/>
    <w:rsid w:val="0067156B"/>
    <w:rsid w:val="00681B50"/>
    <w:rsid w:val="006A077F"/>
    <w:rsid w:val="006A15F8"/>
    <w:rsid w:val="006A55E7"/>
    <w:rsid w:val="006A759F"/>
    <w:rsid w:val="006B01FF"/>
    <w:rsid w:val="006C09BE"/>
    <w:rsid w:val="006C44BB"/>
    <w:rsid w:val="006D4355"/>
    <w:rsid w:val="006E056C"/>
    <w:rsid w:val="006E1764"/>
    <w:rsid w:val="006F1B1F"/>
    <w:rsid w:val="006F6449"/>
    <w:rsid w:val="006F760D"/>
    <w:rsid w:val="00703267"/>
    <w:rsid w:val="0070447B"/>
    <w:rsid w:val="007164AD"/>
    <w:rsid w:val="00740DAC"/>
    <w:rsid w:val="00741D32"/>
    <w:rsid w:val="00755168"/>
    <w:rsid w:val="00761E2E"/>
    <w:rsid w:val="00772A2A"/>
    <w:rsid w:val="00777A8E"/>
    <w:rsid w:val="0079762D"/>
    <w:rsid w:val="007D4A53"/>
    <w:rsid w:val="007E4C19"/>
    <w:rsid w:val="007E6ED1"/>
    <w:rsid w:val="008115C6"/>
    <w:rsid w:val="00815BD8"/>
    <w:rsid w:val="008202F9"/>
    <w:rsid w:val="0082476D"/>
    <w:rsid w:val="00832D23"/>
    <w:rsid w:val="00835275"/>
    <w:rsid w:val="0083688E"/>
    <w:rsid w:val="0084261B"/>
    <w:rsid w:val="00847DB7"/>
    <w:rsid w:val="008571BB"/>
    <w:rsid w:val="00887F03"/>
    <w:rsid w:val="008968AC"/>
    <w:rsid w:val="00896E17"/>
    <w:rsid w:val="008A2816"/>
    <w:rsid w:val="008B461D"/>
    <w:rsid w:val="008C7CEA"/>
    <w:rsid w:val="00901FD7"/>
    <w:rsid w:val="009043CE"/>
    <w:rsid w:val="00914EF7"/>
    <w:rsid w:val="00915DE2"/>
    <w:rsid w:val="00920952"/>
    <w:rsid w:val="00925C04"/>
    <w:rsid w:val="00925D9B"/>
    <w:rsid w:val="00926636"/>
    <w:rsid w:val="00926D7C"/>
    <w:rsid w:val="00937E9B"/>
    <w:rsid w:val="0094570E"/>
    <w:rsid w:val="00950A48"/>
    <w:rsid w:val="009556F6"/>
    <w:rsid w:val="0096180C"/>
    <w:rsid w:val="009700EC"/>
    <w:rsid w:val="00973A87"/>
    <w:rsid w:val="009A33C8"/>
    <w:rsid w:val="009A6A1D"/>
    <w:rsid w:val="009B3E81"/>
    <w:rsid w:val="009B5BDF"/>
    <w:rsid w:val="009C5F1E"/>
    <w:rsid w:val="009C5F7C"/>
    <w:rsid w:val="009C79CB"/>
    <w:rsid w:val="009D3EAB"/>
    <w:rsid w:val="009E7B34"/>
    <w:rsid w:val="00A031C5"/>
    <w:rsid w:val="00A14DF0"/>
    <w:rsid w:val="00A33A1A"/>
    <w:rsid w:val="00A60EC5"/>
    <w:rsid w:val="00A73369"/>
    <w:rsid w:val="00A86278"/>
    <w:rsid w:val="00A87A99"/>
    <w:rsid w:val="00A97BFE"/>
    <w:rsid w:val="00AA32F1"/>
    <w:rsid w:val="00AA3529"/>
    <w:rsid w:val="00AC2533"/>
    <w:rsid w:val="00AC26CB"/>
    <w:rsid w:val="00AE35FF"/>
    <w:rsid w:val="00AF01F5"/>
    <w:rsid w:val="00B012DD"/>
    <w:rsid w:val="00B01E8E"/>
    <w:rsid w:val="00B0369A"/>
    <w:rsid w:val="00B1546B"/>
    <w:rsid w:val="00B331B5"/>
    <w:rsid w:val="00B56938"/>
    <w:rsid w:val="00B56ED5"/>
    <w:rsid w:val="00B6277C"/>
    <w:rsid w:val="00B81185"/>
    <w:rsid w:val="00B93653"/>
    <w:rsid w:val="00B97B8B"/>
    <w:rsid w:val="00BB2C7E"/>
    <w:rsid w:val="00C03A2D"/>
    <w:rsid w:val="00C04675"/>
    <w:rsid w:val="00C138DD"/>
    <w:rsid w:val="00C2774E"/>
    <w:rsid w:val="00C30D74"/>
    <w:rsid w:val="00C40D02"/>
    <w:rsid w:val="00C421EA"/>
    <w:rsid w:val="00C47C34"/>
    <w:rsid w:val="00C5036C"/>
    <w:rsid w:val="00C51F4A"/>
    <w:rsid w:val="00C55705"/>
    <w:rsid w:val="00C56EBC"/>
    <w:rsid w:val="00C631EB"/>
    <w:rsid w:val="00C8087B"/>
    <w:rsid w:val="00C81CBF"/>
    <w:rsid w:val="00C8264A"/>
    <w:rsid w:val="00C835E7"/>
    <w:rsid w:val="00CA1EF1"/>
    <w:rsid w:val="00CA328F"/>
    <w:rsid w:val="00CA4E70"/>
    <w:rsid w:val="00CC1CCC"/>
    <w:rsid w:val="00CD4B33"/>
    <w:rsid w:val="00CE081E"/>
    <w:rsid w:val="00CE6A93"/>
    <w:rsid w:val="00D02460"/>
    <w:rsid w:val="00D11A07"/>
    <w:rsid w:val="00D2497C"/>
    <w:rsid w:val="00D25E00"/>
    <w:rsid w:val="00D32585"/>
    <w:rsid w:val="00D60637"/>
    <w:rsid w:val="00D64DF4"/>
    <w:rsid w:val="00D64EA0"/>
    <w:rsid w:val="00D7277D"/>
    <w:rsid w:val="00D77327"/>
    <w:rsid w:val="00D83B6C"/>
    <w:rsid w:val="00D84FA8"/>
    <w:rsid w:val="00D9039A"/>
    <w:rsid w:val="00D938B2"/>
    <w:rsid w:val="00D96C90"/>
    <w:rsid w:val="00DA7515"/>
    <w:rsid w:val="00DB01F4"/>
    <w:rsid w:val="00DC0538"/>
    <w:rsid w:val="00DC3116"/>
    <w:rsid w:val="00DD4B4E"/>
    <w:rsid w:val="00DE7148"/>
    <w:rsid w:val="00DE7A62"/>
    <w:rsid w:val="00E34CBE"/>
    <w:rsid w:val="00EA11FD"/>
    <w:rsid w:val="00EA49BF"/>
    <w:rsid w:val="00EA686A"/>
    <w:rsid w:val="00EB0908"/>
    <w:rsid w:val="00EB5F4C"/>
    <w:rsid w:val="00EC44FE"/>
    <w:rsid w:val="00EC49EF"/>
    <w:rsid w:val="00ED56AE"/>
    <w:rsid w:val="00EE095C"/>
    <w:rsid w:val="00EE13AC"/>
    <w:rsid w:val="00EE605D"/>
    <w:rsid w:val="00EF1837"/>
    <w:rsid w:val="00EF7A06"/>
    <w:rsid w:val="00EF7DB1"/>
    <w:rsid w:val="00F13BF8"/>
    <w:rsid w:val="00F22ACA"/>
    <w:rsid w:val="00F23ED9"/>
    <w:rsid w:val="00F25602"/>
    <w:rsid w:val="00F3134F"/>
    <w:rsid w:val="00F40FD6"/>
    <w:rsid w:val="00F63DDC"/>
    <w:rsid w:val="00F8452B"/>
    <w:rsid w:val="00FA54D2"/>
    <w:rsid w:val="00FA567D"/>
    <w:rsid w:val="00FA6648"/>
    <w:rsid w:val="00FB068F"/>
    <w:rsid w:val="00FC3354"/>
    <w:rsid w:val="00FC45AC"/>
    <w:rsid w:val="00FC7C71"/>
    <w:rsid w:val="015D6B2A"/>
    <w:rsid w:val="0267688D"/>
    <w:rsid w:val="02870911"/>
    <w:rsid w:val="03155B98"/>
    <w:rsid w:val="037A01B8"/>
    <w:rsid w:val="03B827BF"/>
    <w:rsid w:val="04B279D4"/>
    <w:rsid w:val="04DF17C6"/>
    <w:rsid w:val="0550199D"/>
    <w:rsid w:val="056C0963"/>
    <w:rsid w:val="05BD4723"/>
    <w:rsid w:val="073F1F74"/>
    <w:rsid w:val="07646DE7"/>
    <w:rsid w:val="080E30EF"/>
    <w:rsid w:val="08B62674"/>
    <w:rsid w:val="0973342D"/>
    <w:rsid w:val="09F04623"/>
    <w:rsid w:val="0ABC43F9"/>
    <w:rsid w:val="0ADF7419"/>
    <w:rsid w:val="0B491872"/>
    <w:rsid w:val="0D903025"/>
    <w:rsid w:val="0EA165E3"/>
    <w:rsid w:val="0EF04EC5"/>
    <w:rsid w:val="10080393"/>
    <w:rsid w:val="103D1135"/>
    <w:rsid w:val="12202D6C"/>
    <w:rsid w:val="12412140"/>
    <w:rsid w:val="124327EE"/>
    <w:rsid w:val="12FD4E8E"/>
    <w:rsid w:val="13952316"/>
    <w:rsid w:val="1469418D"/>
    <w:rsid w:val="14D95941"/>
    <w:rsid w:val="14E74742"/>
    <w:rsid w:val="15826171"/>
    <w:rsid w:val="178D1F65"/>
    <w:rsid w:val="1A3C42E1"/>
    <w:rsid w:val="1A81150C"/>
    <w:rsid w:val="1B354396"/>
    <w:rsid w:val="1B3D683B"/>
    <w:rsid w:val="1B625380"/>
    <w:rsid w:val="1C57189A"/>
    <w:rsid w:val="1D285695"/>
    <w:rsid w:val="1D2D74A9"/>
    <w:rsid w:val="1E5B1196"/>
    <w:rsid w:val="1F162B03"/>
    <w:rsid w:val="1FFB048E"/>
    <w:rsid w:val="21125231"/>
    <w:rsid w:val="214C265F"/>
    <w:rsid w:val="21A47D8E"/>
    <w:rsid w:val="21C8576E"/>
    <w:rsid w:val="21CB0B0B"/>
    <w:rsid w:val="227A1201"/>
    <w:rsid w:val="22D84689"/>
    <w:rsid w:val="22E23BA3"/>
    <w:rsid w:val="232A42A8"/>
    <w:rsid w:val="237B0B06"/>
    <w:rsid w:val="23CA1FC4"/>
    <w:rsid w:val="25547F56"/>
    <w:rsid w:val="26F51708"/>
    <w:rsid w:val="27714360"/>
    <w:rsid w:val="2A9A7CB3"/>
    <w:rsid w:val="2BAA6B11"/>
    <w:rsid w:val="2C7417D9"/>
    <w:rsid w:val="2D113951"/>
    <w:rsid w:val="2E281AEC"/>
    <w:rsid w:val="2F0A4535"/>
    <w:rsid w:val="2F2551EC"/>
    <w:rsid w:val="2F3822B1"/>
    <w:rsid w:val="2F610930"/>
    <w:rsid w:val="2F9E1C45"/>
    <w:rsid w:val="2FAC25A0"/>
    <w:rsid w:val="2FC50F33"/>
    <w:rsid w:val="2FF20302"/>
    <w:rsid w:val="2FF7475A"/>
    <w:rsid w:val="302745E4"/>
    <w:rsid w:val="30FC7E10"/>
    <w:rsid w:val="31F51B43"/>
    <w:rsid w:val="32CC548D"/>
    <w:rsid w:val="32E97D8A"/>
    <w:rsid w:val="330F0462"/>
    <w:rsid w:val="33127246"/>
    <w:rsid w:val="332D3382"/>
    <w:rsid w:val="33F8024A"/>
    <w:rsid w:val="35247266"/>
    <w:rsid w:val="365D2844"/>
    <w:rsid w:val="38197B9E"/>
    <w:rsid w:val="38B42E51"/>
    <w:rsid w:val="39082401"/>
    <w:rsid w:val="39CD7C90"/>
    <w:rsid w:val="39CF53D1"/>
    <w:rsid w:val="3A9F22C2"/>
    <w:rsid w:val="3AAF0167"/>
    <w:rsid w:val="3AE34A17"/>
    <w:rsid w:val="3BAE1B1B"/>
    <w:rsid w:val="3CBE2CE1"/>
    <w:rsid w:val="3D9F63B3"/>
    <w:rsid w:val="3E4B5DA1"/>
    <w:rsid w:val="3E7B7458"/>
    <w:rsid w:val="3EB428C3"/>
    <w:rsid w:val="3EF65C0B"/>
    <w:rsid w:val="3F272BF3"/>
    <w:rsid w:val="3F5FC4BB"/>
    <w:rsid w:val="3F735962"/>
    <w:rsid w:val="3FE95C21"/>
    <w:rsid w:val="40026FFD"/>
    <w:rsid w:val="41000C7A"/>
    <w:rsid w:val="41E1394C"/>
    <w:rsid w:val="420425F2"/>
    <w:rsid w:val="421524D4"/>
    <w:rsid w:val="422C35B8"/>
    <w:rsid w:val="427B0CF1"/>
    <w:rsid w:val="431F553A"/>
    <w:rsid w:val="43CC61A6"/>
    <w:rsid w:val="4409111F"/>
    <w:rsid w:val="463830C3"/>
    <w:rsid w:val="473D413F"/>
    <w:rsid w:val="475844C0"/>
    <w:rsid w:val="47A23DCF"/>
    <w:rsid w:val="47D223C0"/>
    <w:rsid w:val="48C844AD"/>
    <w:rsid w:val="48CC0F4C"/>
    <w:rsid w:val="492D5DC1"/>
    <w:rsid w:val="4A061863"/>
    <w:rsid w:val="4AE85167"/>
    <w:rsid w:val="4B4810C0"/>
    <w:rsid w:val="4BBA3DCF"/>
    <w:rsid w:val="4BD45F6D"/>
    <w:rsid w:val="4C8E53B2"/>
    <w:rsid w:val="4D611793"/>
    <w:rsid w:val="4E060B7F"/>
    <w:rsid w:val="4ED202BE"/>
    <w:rsid w:val="4F6B0D1B"/>
    <w:rsid w:val="4FAA647E"/>
    <w:rsid w:val="4FE03DC4"/>
    <w:rsid w:val="51046304"/>
    <w:rsid w:val="51DE085F"/>
    <w:rsid w:val="521F6CFF"/>
    <w:rsid w:val="529C5C4F"/>
    <w:rsid w:val="54C62619"/>
    <w:rsid w:val="565F7067"/>
    <w:rsid w:val="56687704"/>
    <w:rsid w:val="5712282D"/>
    <w:rsid w:val="57777933"/>
    <w:rsid w:val="58D03479"/>
    <w:rsid w:val="59281352"/>
    <w:rsid w:val="59D800F7"/>
    <w:rsid w:val="59F21B57"/>
    <w:rsid w:val="59FFA87E"/>
    <w:rsid w:val="5A745763"/>
    <w:rsid w:val="5AD9207B"/>
    <w:rsid w:val="5B8D6070"/>
    <w:rsid w:val="5C3C6C14"/>
    <w:rsid w:val="5CEB1CAA"/>
    <w:rsid w:val="5D640436"/>
    <w:rsid w:val="5D782258"/>
    <w:rsid w:val="5E143576"/>
    <w:rsid w:val="5F3C14CE"/>
    <w:rsid w:val="5F9B20D6"/>
    <w:rsid w:val="5FBB6B27"/>
    <w:rsid w:val="5FC41423"/>
    <w:rsid w:val="5FF71689"/>
    <w:rsid w:val="613B6954"/>
    <w:rsid w:val="61D6427A"/>
    <w:rsid w:val="61F3446A"/>
    <w:rsid w:val="627827B6"/>
    <w:rsid w:val="628B6808"/>
    <w:rsid w:val="63647610"/>
    <w:rsid w:val="63E07A4B"/>
    <w:rsid w:val="66500518"/>
    <w:rsid w:val="66612F82"/>
    <w:rsid w:val="668805B0"/>
    <w:rsid w:val="66F414C0"/>
    <w:rsid w:val="677F7C97"/>
    <w:rsid w:val="686178C3"/>
    <w:rsid w:val="69575426"/>
    <w:rsid w:val="699E327A"/>
    <w:rsid w:val="69D321B0"/>
    <w:rsid w:val="69E7297B"/>
    <w:rsid w:val="6A2302A6"/>
    <w:rsid w:val="6B492EB8"/>
    <w:rsid w:val="6B5D2645"/>
    <w:rsid w:val="6C147D85"/>
    <w:rsid w:val="6DC203D1"/>
    <w:rsid w:val="6E024173"/>
    <w:rsid w:val="6EB446F7"/>
    <w:rsid w:val="6EF94790"/>
    <w:rsid w:val="6F2621DB"/>
    <w:rsid w:val="6F377B8A"/>
    <w:rsid w:val="70F765A9"/>
    <w:rsid w:val="710C31C0"/>
    <w:rsid w:val="729448F9"/>
    <w:rsid w:val="72E83AAB"/>
    <w:rsid w:val="73A47383"/>
    <w:rsid w:val="73E73473"/>
    <w:rsid w:val="74370D0F"/>
    <w:rsid w:val="74606462"/>
    <w:rsid w:val="74AD7722"/>
    <w:rsid w:val="75060144"/>
    <w:rsid w:val="77771CF3"/>
    <w:rsid w:val="78780E3A"/>
    <w:rsid w:val="798D6117"/>
    <w:rsid w:val="79A71A1B"/>
    <w:rsid w:val="7A9B7953"/>
    <w:rsid w:val="7AE13552"/>
    <w:rsid w:val="7B574551"/>
    <w:rsid w:val="7CCB68BD"/>
    <w:rsid w:val="7E7F12A1"/>
    <w:rsid w:val="7F3C317E"/>
    <w:rsid w:val="7FAB6AA8"/>
    <w:rsid w:val="7FAF32BE"/>
    <w:rsid w:val="7FE36FCB"/>
    <w:rsid w:val="7FFA1303"/>
    <w:rsid w:val="F5FF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20"/>
    <w:qFormat/>
    <w:uiPriority w:val="0"/>
    <w:rPr>
      <w:rFonts w:ascii="宋体" w:eastAsia="宋体"/>
      <w:sz w:val="18"/>
      <w:szCs w:val="18"/>
    </w:rPr>
  </w:style>
  <w:style w:type="paragraph" w:styleId="6">
    <w:name w:val="Date"/>
    <w:basedOn w:val="1"/>
    <w:next w:val="1"/>
    <w:link w:val="19"/>
    <w:qFormat/>
    <w:uiPriority w:val="0"/>
    <w:pPr>
      <w:ind w:left="100" w:leftChars="2500"/>
    </w:pPr>
  </w:style>
  <w:style w:type="paragraph" w:styleId="7">
    <w:name w:val="Balloon Text"/>
    <w:basedOn w:val="1"/>
    <w:link w:val="21"/>
    <w:qFormat/>
    <w:uiPriority w:val="0"/>
    <w:rPr>
      <w:sz w:val="18"/>
      <w:szCs w:val="18"/>
    </w:rPr>
  </w:style>
  <w:style w:type="paragraph" w:styleId="8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qFormat/>
    <w:uiPriority w:val="39"/>
    <w:pPr>
      <w:snapToGrid w:val="0"/>
      <w:spacing w:line="640" w:lineRule="exact"/>
      <w:ind w:firstLine="705"/>
    </w:pPr>
    <w:rPr>
      <w:rFonts w:ascii="仿宋_GB2312" w:hAnsi="Calibri" w:eastAsia="仿宋_GB2312" w:cs="Times New Roman"/>
      <w:color w:val="000000"/>
      <w:sz w:val="36"/>
      <w:szCs w:val="36"/>
    </w:rPr>
  </w:style>
  <w:style w:type="paragraph" w:styleId="11">
    <w:name w:val="toc 2"/>
    <w:basedOn w:val="1"/>
    <w:next w:val="1"/>
    <w:qFormat/>
    <w:uiPriority w:val="39"/>
    <w:pPr>
      <w:ind w:left="420" w:leftChars="200"/>
    </w:pPr>
    <w:rPr>
      <w:rFonts w:ascii="Times New Roman" w:hAnsi="Times New Roman" w:eastAsia="仿宋_GB2312" w:cs="Times New Roman"/>
      <w:sz w:val="30"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qFormat/>
    <w:uiPriority w:val="99"/>
    <w:rPr>
      <w:color w:val="333333"/>
      <w:u w:val="none"/>
    </w:rPr>
  </w:style>
  <w:style w:type="paragraph" w:customStyle="1" w:styleId="16">
    <w:name w:val="列出段落1"/>
    <w:basedOn w:val="1"/>
    <w:unhideWhenUsed/>
    <w:qFormat/>
    <w:uiPriority w:val="34"/>
    <w:pPr>
      <w:ind w:firstLine="420" w:firstLineChars="200"/>
    </w:pPr>
  </w:style>
  <w:style w:type="character" w:customStyle="1" w:styleId="17">
    <w:name w:val="页眉 Char"/>
    <w:basedOn w:val="14"/>
    <w:link w:val="9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8">
    <w:name w:val="页脚 Char"/>
    <w:basedOn w:val="14"/>
    <w:link w:val="8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9">
    <w:name w:val="日期 Char"/>
    <w:basedOn w:val="14"/>
    <w:link w:val="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0">
    <w:name w:val="文档结构图 Char"/>
    <w:basedOn w:val="14"/>
    <w:link w:val="5"/>
    <w:qFormat/>
    <w:uiPriority w:val="0"/>
    <w:rPr>
      <w:rFonts w:ascii="宋体" w:hAnsiTheme="minorHAnsi" w:cstheme="minorBidi"/>
      <w:kern w:val="2"/>
      <w:sz w:val="18"/>
      <w:szCs w:val="18"/>
    </w:rPr>
  </w:style>
  <w:style w:type="character" w:customStyle="1" w:styleId="21">
    <w:name w:val="批注框文本 Char"/>
    <w:basedOn w:val="14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2">
    <w:name w:val="标题 2 Char"/>
    <w:basedOn w:val="14"/>
    <w:link w:val="3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3">
    <w:name w:val="标题 3 Char"/>
    <w:basedOn w:val="14"/>
    <w:link w:val="4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paragraph" w:customStyle="1" w:styleId="24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6146"/>
    <customShpInfo spid="_x0000_s61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966</Words>
  <Characters>717</Characters>
  <Lines>5</Lines>
  <Paragraphs>3</Paragraphs>
  <TotalTime>4</TotalTime>
  <ScaleCrop>false</ScaleCrop>
  <LinksUpToDate>false</LinksUpToDate>
  <CharactersWithSpaces>1680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2023-06-16T03:24:00Z</dcterms:created>
  <dc:creator>user</dc:creator>
  <cp:lastModifiedBy>Administrator</cp:lastModifiedBy>
  <cp:lastPrinted>2021-10-08T02:21:00Z</cp:lastPrinted>
  <dcterms:modified xsi:type="dcterms:W3CDTF">2026-06-29T01:33:49Z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3F207902D39F4CB2A175CE6BB3F6781A</vt:lpwstr>
  </property>
</Properties>
</file>